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0"/>
        </w:rPr>
        <w:t>ЛАБОРАТОРНАЯ РАБОТА</w:t>
      </w:r>
    </w:p>
    <w:p>
      <w:pPr>
        <w:jc w:val="center"/>
      </w:pPr>
      <w:r>
        <w:rPr>
          <w:b/>
          <w:i w:val="0"/>
          <w:sz w:val="32"/>
        </w:rPr>
        <w:t>Полный цикл обработки больших данных (Big Data)</w:t>
      </w:r>
    </w:p>
    <w:p>
      <w:pPr>
        <w:jc w:val="center"/>
      </w:pPr>
      <w:r>
        <w:rPr>
          <w:b w:val="0"/>
          <w:i w:val="0"/>
          <w:sz w:val="28"/>
        </w:rPr>
        <w:t>Малые и средние предприятия лёгкой промышленности России, 2016–2023 гг.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/>
        </w:rPr>
        <w:t>Защищённый аналитический пайплайн: сбор и подготовка данных → хранение и ETL → аналитика → прогнозные модели → интерактивный дашборд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Правовой контур: 152-ФЗ «О персональных данных», 242-ФЗ (локализация), ГОСТ Р ИСО/МЭК 27001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Автор: SemenchenkoND</w:t>
      </w:r>
    </w:p>
    <w:p>
      <w:pPr>
        <w:jc w:val="center"/>
      </w:pPr>
      <w:r>
        <w:rPr>
          <w:b w:val="0"/>
          <w:i w:val="0"/>
        </w:rPr>
        <w:t>Дата: 05.10.2026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rPr>
          <w:b w:val="0"/>
          <w:i w:val="0"/>
        </w:rPr>
        <w:t>1. Введение: цель, задачи, данные</w:t>
      </w:r>
    </w:p>
    <w:p>
      <w:r>
        <w:rPr>
          <w:b w:val="0"/>
          <w:i w:val="0"/>
        </w:rPr>
        <w:t>2. Этап 1. Сбор и подготовка данных. Аудит на наличие ПДн</w:t>
      </w:r>
    </w:p>
    <w:p>
      <w:r>
        <w:rPr>
          <w:b w:val="0"/>
          <w:i w:val="0"/>
        </w:rPr>
        <w:t>3. Этап 2. Хранение и первичная обработка (СУБД DuckDB, ETL, контроль качества)</w:t>
      </w:r>
    </w:p>
    <w:p>
      <w:r>
        <w:rPr>
          <w:b w:val="0"/>
          <w:i w:val="0"/>
        </w:rPr>
        <w:t>4. Этап 3. Аналитика и поиск закономерностей</w:t>
      </w:r>
    </w:p>
    <w:p>
      <w:r>
        <w:rPr>
          <w:b w:val="0"/>
          <w:i w:val="0"/>
        </w:rPr>
        <w:t>5. Этап 4. Прогнозная аналитика: тренд, ML-модели, «что если», кластеризация</w:t>
      </w:r>
    </w:p>
    <w:p>
      <w:r>
        <w:rPr>
          <w:b w:val="0"/>
          <w:i w:val="0"/>
        </w:rPr>
        <w:t>6. Этап 5. Интерактивный дашборд</w:t>
      </w:r>
    </w:p>
    <w:p>
      <w:r>
        <w:rPr>
          <w:b w:val="0"/>
          <w:i w:val="0"/>
        </w:rPr>
        <w:t>7. Этап 6. Правовая и этическая гигиена, стоимость ошибки</w:t>
      </w:r>
    </w:p>
    <w:p>
      <w:r>
        <w:rPr>
          <w:b w:val="0"/>
          <w:i w:val="0"/>
        </w:rPr>
        <w:t>8. Заключение</w:t>
      </w:r>
    </w:p>
    <w:p>
      <w:r>
        <w:rPr>
          <w:b w:val="0"/>
          <w:i w:val="0"/>
        </w:rPr>
        <w:t>9. Ограничения исследования и воспроизведение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pStyle w:val="Heading2"/>
      </w:pPr>
      <w:r>
        <w:t>1.1. Цель работы</w:t>
      </w:r>
    </w:p>
    <w:p>
      <w:r>
        <w:rPr>
          <w:b w:val="0"/>
          <w:i w:val="0"/>
        </w:rPr>
        <w:t>Формирование компетенций по проектированию и реализации полного цикла обработки больших данных в условиях российской нормативно-правовой базы: от парсинга и хранения до построения прогнозных моделей и визуализации, с обеспечением требований 152-ФЗ, 242-ФЗ и ГОСТ Р ИСО/МЭК 27001.</w:t>
      </w:r>
    </w:p>
    <w:p>
      <w:pPr>
        <w:pStyle w:val="Heading2"/>
      </w:pPr>
      <w:r>
        <w:t>1.2. Данные</w:t>
      </w:r>
    </w:p>
    <w:p>
      <w:r>
        <w:rPr>
          <w:b w:val="0"/>
          <w:i w:val="0"/>
        </w:rPr>
        <w:t>Использованы открытые наборы ФНС России (лицензия CC BY-SA, постобработка П.О. Сёмина, ПГНИУ): «Единый реестр субъектов малого и среднего предпринимательства» (7707329152-rsmp), «Сведения о доходах и расходах организаций» (7707329152-revexp), «Среднесписочная численность работников» (7707329152-sshr2019).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21"/>
              </w:rPr>
              <w:t>Таблица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21"/>
              </w:rPr>
              <w:t>Строк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21"/>
              </w:rPr>
              <w:t>Содержимое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1"/>
              </w:rPr>
              <w:t>smb.csv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36 213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Реестр МСП: категория, ОКВЭД (13/14/15), регион, координаты, периоды актуальности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1"/>
              </w:rPr>
              <w:t>revexp.csv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80 963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Годовые доходы/расходы (2018–2022)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1"/>
              </w:rPr>
              <w:t>empl.csv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84 976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Среднесписочная численность (2018–2022)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1"/>
              </w:rPr>
              <w:t>panel.csv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146 561</w:t>
            </w:r>
          </w:p>
        </w:tc>
        <w:tc>
          <w:tcPr>
            <w:tcW w:type="dxa" w:w="3324"/>
          </w:tcPr>
          <w:p>
            <w:r/>
            <w:r>
              <w:rPr>
                <w:sz w:val="21"/>
              </w:rPr>
              <w:t>Производная панельная таблица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Генеральная совокупность: 31 088 юридических лиц — субъектов МСП лёгкой промышленности (текстильное производство, производство одежды, кожи и изделий из кожи) в 83 субъектах РФ за период август 2016 — ноябрь 2023 г.</w:t>
      </w:r>
    </w:p>
    <w:p>
      <w:pPr>
        <w:pStyle w:val="Heading2"/>
      </w:pPr>
      <w:r>
        <w:t>1.3. Инструменты</w:t>
      </w:r>
    </w:p>
    <w:p>
      <w:r>
        <w:rPr>
          <w:b w:val="0"/>
          <w:i w:val="0"/>
        </w:rPr>
        <w:t>Python 3.12 / Jupyter Notebook; библиотеки: pandas, duckdb (аналитическая СУБД), matplotlib, seaborn, plotly (интерактивная визуализация), scikit-learn, CatBoost (машинное обучение), ipywidgets (дашборд). Весь пайплайн автоматизирован в одном ноутбуке Lab01_BigData.ipynb.</w:t>
      </w:r>
    </w:p>
    <w:p>
      <w:r>
        <w:br w:type="page"/>
      </w:r>
    </w:p>
    <w:p>
      <w:pPr>
        <w:pStyle w:val="Heading1"/>
      </w:pPr>
      <w:r>
        <w:t>2. Этап 1. Сбор и подготовка данных</w:t>
      </w:r>
    </w:p>
    <w:p>
      <w:pPr>
        <w:pStyle w:val="Heading2"/>
      </w:pPr>
      <w:r>
        <w:t>2.1. Первичная очистка</w:t>
      </w:r>
    </w:p>
    <w:p>
      <w:pPr>
        <w:pStyle w:val="ListBullet"/>
      </w:pPr>
      <w:r>
        <w:t>Дедупликация: полных дубликатов строк не обнаружено; естественные ключи (tin, start_date, end_date) и (tin, year) уникальны; повторные записи tin в smb.csv — это история изменений сведений (варианты периодов), а не мусор.</w:t>
      </w:r>
    </w:p>
    <w:p>
      <w:pPr>
        <w:pStyle w:val="ListBullet"/>
      </w:pPr>
      <w:r>
        <w:t>Типизация дат (start_date/end_date → datetime); при выгрузке очищенного CSV — российский формат ДД.ММ.ГГГГ.</w:t>
      </w:r>
    </w:p>
    <w:p>
      <w:pPr>
        <w:pStyle w:val="ListBullet"/>
      </w:pPr>
      <w:r>
        <w:t>Пропуски локализованы: area — 84% (регистрация в городах без района — норма), settlement — 27%, lat/lon — 1,6%; ключевое поле region заполнено на 100%.</w:t>
      </w:r>
    </w:p>
    <w:p>
      <w:pPr>
        <w:pStyle w:val="ListBullet"/>
      </w:pPr>
      <w:r>
        <w:t>Аномальные значения показателей: 21% записей с нулевой/отрицательной выручкой (ФНС публикует финансовый результат, а не оборот) — сохранены в хранилище, исключены из ML-выборки.</w:t>
      </w:r>
    </w:p>
    <w:p>
      <w:pPr>
        <w:pStyle w:val="Heading2"/>
      </w:pPr>
      <w:r>
        <w:t>2.2. Аудит на наличие персональных данных (152-ФЗ)</w:t>
      </w:r>
    </w:p>
    <w:p>
      <w:r>
        <w:rPr>
          <w:b w:val="0"/>
          <w:i w:val="0"/>
        </w:rPr>
        <w:t>Установлено: набор не содержит персональных данных физических лиц — все записи относятся к юридическим лицам, сведения об ИП исключены автором набора на этапе постобработки. Применён принцип минимизации (ст. 5 152-ФЗ):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21"/>
              </w:rPr>
              <w:t>Поле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21"/>
              </w:rPr>
              <w:t>Мера обезличивания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tin (ИНН), reg_number (ОГРН)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Маскирование: детерминированный хэш SHA-256 с солью (сохраняет возможность джойнов)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org_name, address_raw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Агрегация: адреса усечены до населённого пункта; наименования не используются в модели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revenue, expenditure, employees_count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Публикуются только агрегаты по регионам/категориям</w:t>
            </w:r>
          </w:p>
        </w:tc>
      </w:tr>
    </w:tbl>
    <w:p>
      <w:r>
        <w:rPr>
          <w:b w:val="0"/>
          <w:i w:val="0"/>
        </w:rPr>
      </w:r>
    </w:p>
    <w:p>
      <w:pPr>
        <w:pStyle w:val="Heading2"/>
      </w:pPr>
      <w:r>
        <w:t>2.3. Результат этапа</w:t>
      </w:r>
    </w:p>
    <w:p>
      <w:r>
        <w:rPr>
          <w:b w:val="0"/>
          <w:i w:val="0"/>
        </w:rPr>
        <w:t>Очищенный обезличенный реестр из 31 088 организаций выгружен в output/smb_clean_anonymized.csv (даты ДД.ММ.ГГГГ); составлен паспорт данных (источники, период, семантика полей); запущен журнал аудита операций пайплайна (требование ГОСТ Р ИСО/МЭК 27001).</w:t>
      </w:r>
    </w:p>
    <w:p>
      <w:r>
        <w:br w:type="page"/>
      </w:r>
    </w:p>
    <w:p>
      <w:pPr>
        <w:pStyle w:val="Heading1"/>
      </w:pPr>
      <w:r>
        <w:t>3. Этап 2. Хранение и первичная обработка</w:t>
      </w:r>
    </w:p>
    <w:p>
      <w:pPr>
        <w:pStyle w:val="Heading2"/>
      </w:pPr>
      <w:r>
        <w:t>3.1. Развёртывание СУБД</w:t>
      </w:r>
    </w:p>
    <w:p>
      <w:r>
        <w:rPr>
          <w:b w:val="0"/>
          <w:i w:val="0"/>
        </w:rPr>
        <w:t>Облачные сервисы (Yandex Managed ClickHouse / DataLens) заменяет DuckDB — встраиваемая аналитическая колоночная СУБД класса OLAP: как и ClickHouse, ориентирована на агрегации, работает на локальной инфраструктуре (соответствие 242-ФЗ — данные не покидают периметр), поддерживает стандартный SQL. Схема хранилища — «звезда»: таблица измерений dim_orgs (31 088 организаций) и таблица фактов fact_fin (65 196 организация-лет).</w:t>
      </w:r>
    </w:p>
    <w:p>
      <w:pPr>
        <w:pStyle w:val="Heading2"/>
      </w:pPr>
      <w:r>
        <w:t>3.2. ETL и обогащение</w:t>
      </w:r>
    </w:p>
    <w:p>
      <w:r>
        <w:rPr>
          <w:b w:val="0"/>
          <w:i w:val="0"/>
        </w:rPr>
        <w:t>Построена витрина mart_yearly с иерархией «Регион → Район → Населённый пункт», группировкой ОКВЭД до разделов (13/14/15) и расчётными показателями: производительность труда (выручка/работник), маржа ((доходы−расходы)/доходы). Контроль качества: суммы выручки по годам в витрине совпали с исходным файлом с точностью до копейки; дубликатов ключей и пустых регионов — 0.</w:t>
      </w:r>
    </w:p>
    <w:p>
      <w:pPr>
        <w:pStyle w:val="Heading2"/>
      </w:pPr>
      <w:r>
        <w:t>3.3. Контрольное задание: топ-3 региона по среднему значению показателя</w:t>
      </w:r>
    </w:p>
    <w:p>
      <w:r>
        <w:rPr>
          <w:b w:val="0"/>
          <w:i w:val="0"/>
        </w:rPr>
        <w:t>Целевой показатель — средняя выручка компании (по организациям с положительной выручкой):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/>
            <w:r>
              <w:rPr>
                <w:b/>
                <w:sz w:val="21"/>
              </w:rPr>
              <w:t>Регион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Компаний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Средняя выручка, млн ₽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Медианная, млн ₽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Суммарная, млрд ₽</w:t>
            </w:r>
          </w:p>
        </w:tc>
      </w:tr>
      <w:tr>
        <w:tc>
          <w:tcPr>
            <w:tcW w:type="dxa" w:w="1995"/>
          </w:tcPr>
          <w:p>
            <w:r/>
            <w:r>
              <w:rPr>
                <w:sz w:val="21"/>
              </w:rPr>
              <w:t>Республика Алтай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8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161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1,0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0,9</w:t>
            </w:r>
          </w:p>
        </w:tc>
      </w:tr>
      <w:tr>
        <w:tc>
          <w:tcPr>
            <w:tcW w:type="dxa" w:w="1995"/>
          </w:tcPr>
          <w:p>
            <w:r/>
            <w:r>
              <w:rPr>
                <w:sz w:val="21"/>
              </w:rPr>
              <w:t>Карачаево-Черкесская Республика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62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121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9,3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2,4*</w:t>
            </w:r>
          </w:p>
        </w:tc>
      </w:tr>
      <w:tr>
        <w:tc>
          <w:tcPr>
            <w:tcW w:type="dxa" w:w="1995"/>
          </w:tcPr>
          <w:p>
            <w:r/>
            <w:r>
              <w:rPr>
                <w:sz w:val="21"/>
              </w:rPr>
              <w:t>Магаданская область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120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164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0,2</w:t>
            </w:r>
          </w:p>
        </w:tc>
      </w:tr>
    </w:tbl>
    <w:p>
      <w:r>
        <w:rPr>
          <w:b w:val="0"/>
          <w:i/>
          <w:sz w:val="18"/>
        </w:rPr>
        <w:t>*максимальная выручка региона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Среднее по топ-3 регионам = 134 млн ₽ (против ≈19 млн ₽ в среднем по стране). Ответ на вопрос «почему именно эти регионы»: в топ-3 по средней попали субъекты с горсткой организаций (8, 62 и даже 1 компания с отчётностью), где среднюю «делают» одна-две компании-гиганты — классический эффект малого знаменателя: медианные выручки там 1–9 млн ₽. Это наглядная ловушка средней величины. Устойчивая картина — по суммарной выручке: Москва (962 млрд ₽), Ивановская область (414 млрд ₽), Московская область (392 млрд ₽): столицы концентрируют торговые дома и головные офиса, а Ивановская область — исторический текстильный кластер.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71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3_reg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7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1. Топ-3 региона по средней выручке (слева) и топ-10 по суммарной выручке (справа)</w:t>
      </w:r>
    </w:p>
    <w:p>
      <w:r>
        <w:br w:type="page"/>
      </w:r>
    </w:p>
    <w:p>
      <w:pPr>
        <w:pStyle w:val="Heading1"/>
      </w:pPr>
      <w:r>
        <w:t>4. Этап 3. Аналитика и поиск закономерностей</w:t>
      </w:r>
    </w:p>
    <w:p>
      <w:pPr>
        <w:pStyle w:val="Heading2"/>
      </w:pPr>
      <w:r>
        <w:t>4.1. Структура и распределения</w:t>
      </w:r>
    </w:p>
    <w:p>
      <w:r>
        <w:rPr>
          <w:b w:val="0"/>
          <w:i w:val="0"/>
        </w:rPr>
        <w:t>Сектор «микроскопичен»: 84% организаций — микропредприятия, медианная численность — 2 человека, медианная выручка ≈ 4 млн ₽; распределение выручки логнормально. Перекос в пользу столиц: Москва и Санкт-Петербург дают 34,5% суммарной выручки при 26,5% компаний.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88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k_spb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8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2. Доля Москвы и СПб в числе компаний и суммарной выручке сектора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672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67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3. Распределение выручки (лог-шкала), категории МСП, разделы ОКВЭД</w:t>
      </w:r>
    </w:p>
    <w:p>
      <w:pPr>
        <w:pStyle w:val="Heading2"/>
      </w:pPr>
      <w:r>
        <w:t>4.2. Корреляционный анализ</w:t>
      </w:r>
    </w:p>
    <w:p>
      <w:r>
        <w:rPr>
          <w:b w:val="0"/>
          <w:i w:val="0"/>
        </w:rPr>
        <w:t>Гипотеза «выручка зависит от численности работников» подтверждена: r(log выручка; log численность) = 0,66 при эластичности ≈ 1 — выручка масштабируется практически линейно с людьми, рост сектора упирается в кадры, а не в капитал. Ещё сильнее связка «доходы–расходы» (r = 0,92): финансовая модель микробизнеса — «оборот сразу уходит в затраты».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299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4. Матрица корреляций и диаграмма рассеяния «численность–выручка» (log-log)</w:t>
      </w:r>
    </w:p>
    <w:p>
      <w:pPr>
        <w:pStyle w:val="Heading2"/>
      </w:pPr>
      <w:r>
        <w:t>4.3. Географический анализ</w:t>
      </w:r>
    </w:p>
    <w:p>
      <w:r>
        <w:rPr>
          <w:b w:val="0"/>
          <w:i w:val="0"/>
        </w:rPr>
        <w:t>Построены интерактивная фоновая карта России (choropleth) по суммарной выручке регионов и точечная карта населённых пунктов регистрации компаний (plotly, в ноутбуке). Красные зоны — Москва, Московская и Ивановская области; зелёные — большая часть периферии с нишевыми рынками.</w:t>
      </w:r>
    </w:p>
    <w:p>
      <w:pPr>
        <w:pStyle w:val="Heading2"/>
      </w:pPr>
      <w:r>
        <w:t>4.4. Динамика и аномалии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870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8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5. Динамика сектора 2018–2022: число компаний, доходы/расходы, производительность</w:t>
      </w:r>
    </w:p>
    <w:p>
      <w:r>
        <w:rPr>
          <w:b w:val="0"/>
          <w:i w:val="0"/>
        </w:rPr>
        <w:t>Обнаружены и обоснованы аномалии: компании-гиганты в реестре МСП (выручка до 143,5 млрд ₽ — крупные торговые дома, формально проходящие по критериям МСП); пандемийный 2020 год (разовый спрос на текстиль); лидеры по добавленной стоимости на работника — столицы (выручка формируется торговлей, а не производством).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3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ue_ad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3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6. Добавленная стоимость на работника по регионам (прокси зарплатоёмкости)</w:t>
      </w:r>
    </w:p>
    <w:p>
      <w:pPr>
        <w:pStyle w:val="Heading2"/>
      </w:pPr>
      <w:r>
        <w:t>4.5. Выводы этапа и «неочевидная история»</w:t>
      </w:r>
    </w:p>
    <w:p>
      <w:pPr>
        <w:pStyle w:val="ListBullet"/>
      </w:pPr>
      <w:r>
        <w:t>1. Сектор микроскопичен и логнормален — «среднее по больнице» некорректно, нужны медианы и лог-шкалы.</w:t>
      </w:r>
    </w:p>
    <w:p>
      <w:pPr>
        <w:pStyle w:val="ListBullet"/>
      </w:pPr>
      <w:r>
        <w:t>2. Столичный перекос: Москва + СПб — 34,5% выручки при 26,5% компаний.</w:t>
      </w:r>
    </w:p>
    <w:p>
      <w:pPr>
        <w:pStyle w:val="ListBullet"/>
      </w:pPr>
      <w:r>
        <w:t>3. Неожиданный лидер — Ивановская область: 2-е место по суммарной выручке (414 млрд ₽) и по числу компаний, хотя по ВРП регион-середняк: исторический текстильный кластер («русский Манчестер»).</w:t>
      </w:r>
    </w:p>
    <w:p>
      <w:pPr>
        <w:pStyle w:val="ListBullet"/>
      </w:pPr>
      <w:r>
        <w:t>4. Численность — главный предиктор выручки (r = 0,66, эластичность ≈ 1).</w:t>
      </w:r>
    </w:p>
    <w:p>
      <w:pPr>
        <w:pStyle w:val="ListBullet"/>
      </w:pPr>
      <w:r>
        <w:t>5. Половина сектора «невидима» для модели: 21% наблюдений — нулевые/отрицательные результаты, 51% организаций покинули реестр до конца периода.</w:t>
      </w:r>
    </w:p>
    <w:p>
      <w:r>
        <w:rPr>
          <w:b/>
          <w:i w:val="0"/>
        </w:rPr>
        <w:t>Неочевидная история: лёгкая промышленность МСП — «торговля с производственным цехом». География выручки (столицы) не совпадает с географией занятости (Ивановская, Костромская, Новосибирская области): деньги зарабатываются по месту регистрации юрлица, рабочие места — по месту цеха. Субсидии «по месту выручки» поддержат офисы, а не производства.</w:t>
      </w:r>
    </w:p>
    <w:p>
      <w:r>
        <w:br w:type="page"/>
      </w:r>
    </w:p>
    <w:p>
      <w:pPr>
        <w:pStyle w:val="Heading1"/>
      </w:pPr>
      <w:r>
        <w:t>5. Этап 4. Прогнозная аналитика</w:t>
      </w:r>
    </w:p>
    <w:p>
      <w:pPr>
        <w:pStyle w:val="Heading2"/>
      </w:pPr>
      <w:r>
        <w:t>5.1. Трендовый анализ и экстраполяция</w:t>
      </w:r>
    </w:p>
    <w:p>
      <w:r>
        <w:rPr>
          <w:b w:val="0"/>
          <w:i w:val="0"/>
        </w:rPr>
        <w:t>Линейный тренд суммарной выручки сектора: +47,2 млрд ₽ в год (СКО остатков 57 млрд ₽). Экстраполяция на 2023 год: ≈ 856 ± 111 млрд ₽. Ограничение: финансовые данные годовые, классическая сезонность напрямую не оценивается — её след показан на месячной динамике обновлений реестра (пики после отчётных кампаний ФНС).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374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_forec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7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7. Суммарная выручка сектора: факт, тренд, 95%-интервал и зона прогноза</w:t>
      </w:r>
    </w:p>
    <w:p>
      <w:pPr>
        <w:pStyle w:val="Heading2"/>
      </w:pPr>
      <w:r>
        <w:t>5.2. Постановка задачи машинного обучения</w:t>
      </w:r>
    </w:p>
    <w:p>
      <w:r>
        <w:rPr>
          <w:b w:val="0"/>
          <w:i w:val="0"/>
        </w:rPr>
        <w:t>Задача регрессии: по наблюдаемым признакам организации за год N (log-выручка, log-расходы, численность, выручка на работника, маржа, категория МСП, раздел ОКВЭД, регион) предсказать log10 выручки за год N+1. Выборка: 57 691 пара последовательных лет (2018→2019 … 2021→2022, выручка &gt; 0 в обоих годах); валидация — hold-out 20% со стратификацией по году.</w:t>
      </w:r>
    </w:p>
    <w:p>
      <w:pPr>
        <w:pStyle w:val="Heading2"/>
      </w:pPr>
      <w:r>
        <w:t>5.3. Модели и 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/>
            <w:r>
              <w:rPr>
                <w:b/>
                <w:sz w:val="21"/>
              </w:rPr>
              <w:t>Модель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MAE (log10)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RMSE (log10)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R²</w:t>
            </w:r>
          </w:p>
        </w:tc>
        <w:tc>
          <w:tcPr>
            <w:tcW w:type="dxa" w:w="1995"/>
          </w:tcPr>
          <w:p>
            <w:r/>
            <w:r>
              <w:rPr>
                <w:b/>
                <w:sz w:val="21"/>
              </w:rPr>
              <w:t>Множитель ошибки</w:t>
            </w:r>
          </w:p>
        </w:tc>
      </w:tr>
      <w:tr>
        <w:tc>
          <w:tcPr>
            <w:tcW w:type="dxa" w:w="1995"/>
          </w:tcPr>
          <w:p>
            <w:r/>
            <w:r>
              <w:rPr>
                <w:sz w:val="21"/>
              </w:rPr>
              <w:t>CatBoost (градиентный бустинг)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0,294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0,508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0,718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×1,97</w:t>
            </w:r>
          </w:p>
        </w:tc>
      </w:tr>
      <w:tr>
        <w:tc>
          <w:tcPr>
            <w:tcW w:type="dxa" w:w="1995"/>
          </w:tcPr>
          <w:p>
            <w:r/>
            <w:r>
              <w:rPr>
                <w:sz w:val="21"/>
              </w:rPr>
              <w:t>RandomForest (бэггинг деревьев)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0,296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0,511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0,711</w:t>
            </w:r>
          </w:p>
        </w:tc>
        <w:tc>
          <w:tcPr>
            <w:tcW w:type="dxa" w:w="1995"/>
          </w:tcPr>
          <w:p>
            <w:r/>
            <w:r>
              <w:rPr>
                <w:sz w:val="21"/>
              </w:rPr>
              <w:t>×1,98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CatBoost выбран как основная модель: нативно обрабатывает категориальные признаки (регион, ОКВЭД) через упорядоченное целевое кодирование. Медианная ошибка ×2 означает: компания с фактической выручкой 10 млн ₽ прогнозируется в диапазоне ≈5–20 млн ₽ — приемлемо для волатильного микробизнеса. Важнейшие признаки — выручка и расходы текущего года; регион и категория МСП — вспомогательные.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404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8. CatBoost: важность признаков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15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_vs_fa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9. Прогноз vs факт на тестовой выборке (обе модели)</w:t>
      </w:r>
    </w:p>
    <w:p>
      <w:pPr>
        <w:pStyle w:val="Heading2"/>
      </w:pPr>
      <w:r>
        <w:t>5.4. Сценарный анализ «Что если?»</w:t>
      </w:r>
    </w:p>
    <w:p>
      <w:r>
        <w:rPr>
          <w:b w:val="0"/>
          <w:i w:val="0"/>
        </w:rPr>
        <w:t>Имитация на модели CatBoost: для медианной компании рост расходов на 5/10/15/20% снижает прогнозируемую выручку на ~1–3% — сектор low-margin, затраты переносятся в цены, а не съедают выручку напрямую; заметный эффект начинается при двузначной инфляции издержек.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278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_i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10. Сценарий: рост расходов → прогноз выручки медианной компании</w:t>
      </w:r>
    </w:p>
    <w:p>
      <w:pPr>
        <w:pStyle w:val="Heading2"/>
      </w:pPr>
      <w:r>
        <w:t>5.5. Кластеризация регионов (KMeans)</w:t>
      </w:r>
    </w:p>
    <w:p>
      <w:r>
        <w:rPr>
          <w:b w:val="0"/>
          <w:i w:val="0"/>
        </w:rPr>
        <w:t>Регионы разделены на 4 группы по показателям (масштаб сектора, средняя выручка, производительность, маржа, доля швейного производства), а не по географии:</w:t>
      </w:r>
    </w:p>
    <w:p>
      <w:pPr>
        <w:pStyle w:val="ListBullet"/>
      </w:pPr>
      <w:r>
        <w:t>«Нишевые рынки с компаниями-гигантами» (8 регионов) — малые субъекты, где средние делает 1–2 крупных игрока;</w:t>
      </w:r>
    </w:p>
    <w:p>
      <w:pPr>
        <w:pStyle w:val="ListBullet"/>
      </w:pPr>
      <w:r>
        <w:t>«Крупные развитые рынки» (45) — большинство регионов с плотным сектором;</w:t>
      </w:r>
    </w:p>
    <w:p>
      <w:pPr>
        <w:pStyle w:val="ListBullet"/>
      </w:pPr>
      <w:r>
        <w:t>«Средние рынки с высокой концентрацией» (11) — включая Москву;</w:t>
      </w:r>
    </w:p>
    <w:p>
      <w:pPr>
        <w:pStyle w:val="ListBullet"/>
      </w:pPr>
      <w:r>
        <w:t>«Небольшие периферийные рынки» (19).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032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s_scat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0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11. Кластеры регионов: масштаб сектора × средняя выручка</w:t>
      </w:r>
    </w:p>
    <w:p>
      <w:r>
        <w:rPr>
          <w:b w:val="0"/>
          <w:i w:val="0"/>
        </w:rPr>
        <w:t>Кластеризация подтверждает тезис «большие данные находят неочевидные сходства»: географические соседи попадают в разные группы, а столицы объединяются с сырьевыми регионами.</w:t>
      </w:r>
    </w:p>
    <w:p>
      <w:r>
        <w:br w:type="page"/>
      </w:r>
    </w:p>
    <w:p>
      <w:pPr>
        <w:pStyle w:val="Heading1"/>
      </w:pPr>
      <w:r>
        <w:t>6. Этап 5. Интерактивный дашборд</w:t>
      </w:r>
    </w:p>
    <w:p>
      <w:r>
        <w:rPr>
          <w:b w:val="0"/>
          <w:i w:val="0"/>
        </w:rPr>
        <w:t>В ноутбуке реализован BI-отчёт на plotly + ipywidgets: селекторы (год, категория МСП, раздел ОКВЭД), карточки KPI (число компаний, суммарная/медианная выручка, занятость, маржа), фоновая карта России и график динамики с заштрихованной зоной прогноза. Дашборд отвечает на ключевой вопрос исследования: «Где живёт выручка малого швейного бизнеса и что будет с сектором в 2023 году?» — переключение между сегментами занимает секунды.</w:t>
      </w:r>
    </w:p>
    <w:p>
      <w:pPr>
        <w:pStyle w:val="Heading1"/>
      </w:pPr>
      <w:r>
        <w:t>7. Правовая и этическая гигиена, стоимость ошибки</w:t>
      </w:r>
    </w:p>
    <w:p>
      <w:pPr>
        <w:pStyle w:val="Heading2"/>
      </w:pPr>
      <w:r>
        <w:t>7.1. Паспорт обработки данных</w:t>
      </w:r>
    </w:p>
    <w:p>
      <w:pPr>
        <w:pStyle w:val="ListBullet"/>
      </w:pPr>
      <w:r>
        <w:t>Оператор: учебная лаборатория; цели: образовательный статистический анализ.</w:t>
      </w:r>
    </w:p>
    <w:p>
      <w:pPr>
        <w:pStyle w:val="ListBullet"/>
      </w:pPr>
      <w:r>
        <w:t>Категории субъектов: юридические лица (публичные сведения); ПДн физлиц отсутствуют (ИП исключены).</w:t>
      </w:r>
    </w:p>
    <w:p>
      <w:pPr>
        <w:pStyle w:val="ListBullet"/>
      </w:pPr>
      <w:r>
        <w:t>Локализация: все вычисления на локальной инфраструктуре РФ (242-ФЗ).</w:t>
      </w:r>
    </w:p>
    <w:p>
      <w:pPr>
        <w:pStyle w:val="ListBullet"/>
      </w:pPr>
      <w:r>
        <w:t>Меры (27001): обезличивание идентификаторов, минимизация состава полей, журнал аудита операций (загружен в СУБД), контроль целостности контрольными суммами.</w:t>
      </w:r>
    </w:p>
    <w:p>
      <w:pPr>
        <w:pStyle w:val="Heading2"/>
      </w:pPr>
      <w:r>
        <w:t>7.2. Интерпретация vs манипуляция</w:t>
      </w:r>
    </w:p>
    <w:p>
      <w:r>
        <w:rPr>
          <w:b w:val="0"/>
          <w:i w:val="0"/>
        </w:rPr>
        <w:t>Один и тот же ряд выручки сектора даёт противоположные заголовки в зависимости от масштаба оси («стабильный рост» при оси от нуля против «рост выдохся» при обрезанной оси). Честная интерпретация: выручка растёт, но темп замедляется, а число компаний в реестре сокращается — рост обеспечен «укрупнением» выживших. Искажающие факторы: пересмотр критериев реестра МСП в 2021 г., пандемийная база 2020 г., публикация ФНС финансового результата вместо оборота.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702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ipu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12. Кейс «интерпретация vs манипуляция»: эффект масштаба оси</w:t>
      </w:r>
    </w:p>
    <w:p>
      <w:pPr>
        <w:pStyle w:val="Heading2"/>
      </w:pPr>
      <w:r>
        <w:t>7.3. Стоимость ошибки</w:t>
      </w:r>
    </w:p>
    <w:p>
      <w:r>
        <w:rPr>
          <w:b w:val="0"/>
          <w:i w:val="0"/>
        </w:rPr>
        <w:t>10%-я ошибка оценки выручки сектора (857 млрд ₽ в 2022 г.) — это ±86 млрд ₽ неверно адресованных решений. Через сектор занято ≈170 тыс. человек (по данным среднесписочной численности), поэтому ошибка в 10% эквивалентна рискам для тысяч рабочих мест. Вывод: модель обязана дообучаться на свежих данных ФНС и публиковаться с интервальной оценкой.</w:t>
      </w:r>
    </w:p>
    <w:p>
      <w:r>
        <w:br w:type="page"/>
      </w:r>
    </w:p>
    <w:p>
      <w:pPr>
        <w:pStyle w:val="Heading1"/>
      </w:pPr>
      <w:r>
        <w:t>8. Заключение</w:t>
      </w:r>
    </w:p>
    <w:p>
      <w:r>
        <w:rPr>
          <w:b w:val="0"/>
          <w:i w:val="0"/>
        </w:rPr>
        <w:t>Реализован полный цикл обработки больших данных: от открытых государственных источников до прогнозных моделей и интерактивного дашборда — с соблюдением российского правового контура.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21"/>
              </w:rPr>
              <w:t>Этап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21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1. Сбор и подготовка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4 таблицы ФНС очищены; идентификаторы обезличены (SHA-256); паспорт данных; CSV для загрузки в BI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2. Хранение и ETL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СУБД DuckDB (локально, 242-ФЗ), схема «звезда», витрина с иерархией; контрольные суммы сошлись; контрольное задание выполнено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3. Аналитика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5 выводов, карта России, аномалии; столичный перекос 34,5%/26,5%; Ивановская область — 2-е место по выручке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4. Прогнозы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Тренд +47,2 млрд ₽/год, прогноз 2023 ≈ 856 ± 111 млрд ₽; CatBoost R² = 0,72 (лучше RandomForest 0,71); 4 кластера регионов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5. Дашборд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Интерактивный BI-отчёт: селекторы, KPI, карта, прогноз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1"/>
              </w:rPr>
              <w:t>6. Право и этика</w:t>
            </w:r>
          </w:p>
        </w:tc>
        <w:tc>
          <w:tcPr>
            <w:tcW w:type="dxa" w:w="4986"/>
          </w:tcPr>
          <w:p>
            <w:r/>
            <w:r>
              <w:rPr>
                <w:sz w:val="21"/>
              </w:rPr>
              <w:t>Паспорт 152-ФЗ, журнал аудита, кейс манипуляции, стоимость ошибки 10% ≈ ±86 млрд ₽</w:t>
            </w:r>
          </w:p>
        </w:tc>
      </w:tr>
    </w:tbl>
    <w:p>
      <w:r>
        <w:rPr>
          <w:b w:val="0"/>
          <w:i w:val="0"/>
        </w:rPr>
      </w:r>
    </w:p>
    <w:p>
      <w:r>
        <w:rPr>
          <w:b/>
          <w:i w:val="0"/>
        </w:rPr>
        <w:t>Главный аналитический вывод: российская лёгкая промышленность МСП — бимодальный сектор «тысячи микропредприятий + десятки гигантов», в котором география выручки не совпадает с географией занятости. Политика поддержки, адресованная «по месту выручки», будет укреплять офисы, а не производства.</w:t>
      </w:r>
    </w:p>
    <w:p>
      <w:pPr>
        <w:pStyle w:val="Heading1"/>
      </w:pPr>
      <w:r>
        <w:t>9. Ограничения и воспроизведение</w:t>
      </w:r>
    </w:p>
    <w:p>
      <w:pPr>
        <w:pStyle w:val="ListBullet"/>
      </w:pPr>
      <w:r>
        <w:t>Финансовые данные ФНС — только 2018–2022 гг. с годовой детализацией (сезонность не оценивается напрямую).</w:t>
      </w:r>
    </w:p>
    <w:p>
      <w:pPr>
        <w:pStyle w:val="ListBullet"/>
      </w:pPr>
      <w:r>
        <w:t>21% наблюдений с нулевым/отрицательным результатом исключены из ML-выборки — модель описывает действующие компании.</w:t>
      </w:r>
    </w:p>
    <w:p>
      <w:pPr>
        <w:pStyle w:val="ListBullet"/>
      </w:pPr>
      <w:r>
        <w:t>Реестр МСП методически пересматривался (2021 г.) — межгодовые сравнения имеют структурные разрывы.</w:t>
      </w:r>
    </w:p>
    <w:p>
      <w:pPr>
        <w:pStyle w:val="ListBullet"/>
      </w:pPr>
      <w:r>
        <w:t>Прогноз линейной экстраполяции — базовый сценарий без учёта шоков (2022 г. в выборке заканчивается до их полного эффекта).</w:t>
      </w:r>
    </w:p>
    <w:p>
      <w:r>
        <w:rPr>
          <w:b w:val="0"/>
          <w:i w:val="0"/>
        </w:rPr>
        <w:t>Воспроизведение: Python 3.12+; pip install pandas numpy matplotlib seaborn plotly scikit-learn catboost duckdb statsmodels ipywidgets tabulate; запуск jupyter lab Lab01_BigData.ipynb из корня репозитория, Kernel → Restart &amp; Run All (~3 мин). Все артефакты (СУБД output/lab01.duckdb, обезличенный CSV) пересоздаются автоматически. Исходный код: репозиторий Lab-3-2-1 (GitHub, SemenchenkoND).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