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spacing w:before="240" w:after="120"/>
        <w:jc w:val="left"/>
        <w:rPr/>
      </w:pPr>
      <w:r>
        <w:rPr/>
        <w:t xml:space="preserve">Малые и средние предприятия в сфере лёгкой промышленности: наименование, местонахождение, доходы, расходы, среднесписочная численность работников </w:t>
      </w:r>
      <w:r>
        <w:rPr/>
        <w:t>за 2016–2023 гг.</w:t>
      </w:r>
    </w:p>
    <w:p>
      <w:pPr>
        <w:pStyle w:val="1"/>
        <w:numPr>
          <w:ilvl w:val="0"/>
          <w:numId w:val="2"/>
        </w:numPr>
        <w:bidi w:val="0"/>
        <w:jc w:val="left"/>
        <w:rPr/>
      </w:pPr>
      <w:r>
        <w:rPr/>
        <w:t>Категория</w:t>
      </w:r>
    </w:p>
    <w:p>
      <w:pPr>
        <w:pStyle w:val="Normal"/>
        <w:bidi w:val="0"/>
        <w:jc w:val="left"/>
        <w:rPr/>
      </w:pPr>
      <w:r>
        <w:rPr/>
        <w:t>экономика, геоданные</w:t>
      </w:r>
    </w:p>
    <w:p>
      <w:pPr>
        <w:pStyle w:val="1"/>
        <w:numPr>
          <w:ilvl w:val="0"/>
          <w:numId w:val="2"/>
        </w:numPr>
        <w:bidi w:val="0"/>
        <w:jc w:val="left"/>
        <w:rPr/>
      </w:pPr>
      <w:r>
        <w:rPr/>
        <w:t>Теги</w:t>
      </w:r>
    </w:p>
    <w:p>
      <w:pPr>
        <w:pStyle w:val="Normal"/>
        <w:bidi w:val="0"/>
        <w:jc w:val="left"/>
        <w:rPr/>
      </w:pPr>
      <w:r>
        <w:rPr/>
        <w:t>лёгкая промышленность, малый и средний бизнес, геоданные, координаты, малые и средние предприятия, предпринимательство, реестр МСП, доходы, расходы, число работников, микроданные</w:t>
      </w:r>
    </w:p>
    <w:p>
      <w:pPr>
        <w:pStyle w:val="1"/>
        <w:numPr>
          <w:ilvl w:val="0"/>
          <w:numId w:val="2"/>
        </w:numPr>
        <w:bidi w:val="0"/>
        <w:jc w:val="left"/>
        <w:rPr/>
      </w:pPr>
      <w:r>
        <w:rPr/>
        <w:t>Описание</w:t>
      </w:r>
    </w:p>
    <w:p>
      <w:pPr>
        <w:pStyle w:val="Style15"/>
        <w:bidi w:val="0"/>
        <w:jc w:val="left"/>
        <w:rPr/>
      </w:pPr>
      <w:r>
        <w:rPr/>
        <w:t>Набор данных содержит некоторую информацию о российских малых и средних организациях, ведущих деятельность в сфере лёгкой промышленности. Он сформирован на базе реестра субъектов малого и среднего предпринимательства и других открытых данных Федеральной налоговой службы России. К организациям в сфере лёгкой промышленности отнесены организации, у которых основной код ОКВЭД начинается с 13, 14 или 15.</w:t>
      </w:r>
    </w:p>
    <w:p>
      <w:pPr>
        <w:pStyle w:val="Style15"/>
        <w:bidi w:val="0"/>
        <w:jc w:val="left"/>
        <w:rPr/>
      </w:pPr>
      <w:r>
        <w:rPr/>
        <w:t>Набор содержит такие сведения, как ИНН и ОГРН, наименование (полное и сокращённое) юридического лица, его адрес регистрации (с точностью до населённого пункта), категорию в соответствии с классификацией малых и средних предприятий (микропредприятия, малые предприятия, средние предприятия), доходы, расходы и среднесписочная численность работников. Кроме того, он содержит географическую привязку: для каждой организации указаны географические координаты и код ОКТМО населённого пункта, в котором она зарегистрирована.</w:t>
      </w:r>
    </w:p>
    <w:p>
      <w:pPr>
        <w:pStyle w:val="Style15"/>
        <w:bidi w:val="0"/>
        <w:jc w:val="left"/>
        <w:rPr/>
      </w:pPr>
      <w:r>
        <w:rPr/>
        <w:t>Набор отражает хронологию изменения сведений за период с августа 2016 по ноябрь 2023 года. Данные о доходах, расходах и числе работников даются с детализацией по годам, остальные — с детализацией вплоть до месяцев. Данные о доходах, расходах и числе работников доступны не за все годы: обычно они имеются за период с 2019 по 2022 год.</w:t>
      </w:r>
    </w:p>
    <w:p>
      <w:pPr>
        <w:pStyle w:val="1"/>
        <w:numPr>
          <w:ilvl w:val="0"/>
          <w:numId w:val="2"/>
        </w:numPr>
        <w:bidi w:val="0"/>
        <w:jc w:val="left"/>
        <w:rPr/>
      </w:pPr>
      <w:r>
        <w:rPr/>
        <w:t>Лицензия</w:t>
      </w:r>
    </w:p>
    <w:p>
      <w:pPr>
        <w:pStyle w:val="Normal"/>
        <w:bidi w:val="0"/>
        <w:jc w:val="left"/>
        <w:rPr/>
      </w:pPr>
      <w:r>
        <w:rPr/>
        <w:t>CC BY-SA</w:t>
      </w:r>
    </w:p>
    <w:p>
      <w:pPr>
        <w:pStyle w:val="1"/>
        <w:numPr>
          <w:ilvl w:val="0"/>
          <w:numId w:val="2"/>
        </w:numPr>
        <w:bidi w:val="0"/>
        <w:jc w:val="left"/>
        <w:rPr/>
      </w:pPr>
      <w:r>
        <w:rPr/>
        <w:t>Источники данных</w:t>
      </w:r>
    </w:p>
    <w:p>
      <w:pPr>
        <w:pStyle w:val="Style15"/>
        <w:bidi w:val="0"/>
        <w:jc w:val="left"/>
        <w:rPr/>
      </w:pPr>
      <w:r>
        <w:rPr/>
        <w:t>Наборы открытых данных ФНС России:</w:t>
      </w:r>
    </w:p>
    <w:p>
      <w:pPr>
        <w:pStyle w:val="Style15"/>
        <w:numPr>
          <w:ilvl w:val="0"/>
          <w:numId w:val="3"/>
        </w:numPr>
        <w:bidi w:val="0"/>
        <w:jc w:val="left"/>
        <w:rPr/>
      </w:pPr>
      <w:r>
        <w:rPr/>
        <w:t>«</w:t>
      </w:r>
      <w:bookmarkStart w:id="0" w:name="ctl00_ctl03_ctl01_td_title"/>
      <w:bookmarkEnd w:id="0"/>
      <w:r>
        <w:rPr/>
        <w:t>Единый реестр субъектов малого и среднего предпринимательства</w:t>
      </w:r>
      <w:r>
        <w:rPr/>
        <w:t>» (</w:t>
      </w:r>
      <w:hyperlink r:id="rId2">
        <w:r>
          <w:rPr/>
          <w:t>https://www.nalog.gov.ru/opendata/7707329152-rsmp/</w:t>
        </w:r>
      </w:hyperlink>
      <w:hyperlink r:id="rId3">
        <w:r>
          <w:rPr/>
          <w:t>)</w:t>
        </w:r>
      </w:hyperlink>
    </w:p>
    <w:p>
      <w:pPr>
        <w:pStyle w:val="Style15"/>
        <w:numPr>
          <w:ilvl w:val="0"/>
          <w:numId w:val="3"/>
        </w:numPr>
        <w:bidi w:val="0"/>
        <w:jc w:val="left"/>
        <w:rPr/>
      </w:pPr>
      <w:r>
        <w:rPr/>
        <w:t>«</w:t>
      </w:r>
      <w:bookmarkStart w:id="1" w:name="ctl00_ctl03_ctl01_td_title1"/>
      <w:bookmarkEnd w:id="1"/>
      <w:r>
        <w:rPr/>
        <w:t>Сведения о суммах доходов и расходов по данным бухгалтерской (финансовой) отчетности организации за год, предшествующий году размещения таких сведений на сайте ФНС России</w:t>
      </w:r>
      <w:r>
        <w:rPr/>
        <w:t>» (</w:t>
      </w:r>
      <w:hyperlink r:id="rId4">
        <w:r>
          <w:rPr/>
          <w:t>https://www.nalog.gov.ru/opendata/7707329152-revexp/</w:t>
        </w:r>
      </w:hyperlink>
      <w:hyperlink r:id="rId5">
        <w:r>
          <w:rPr/>
          <w:t>)</w:t>
        </w:r>
      </w:hyperlink>
    </w:p>
    <w:p>
      <w:pPr>
        <w:pStyle w:val="Style15"/>
        <w:numPr>
          <w:ilvl w:val="0"/>
          <w:numId w:val="3"/>
        </w:numPr>
        <w:bidi w:val="0"/>
        <w:jc w:val="left"/>
        <w:rPr/>
      </w:pPr>
      <w:r>
        <w:rPr/>
        <w:t>«</w:t>
      </w:r>
      <w:bookmarkStart w:id="2" w:name="ctl00_ctl03_ctl01_td_title2"/>
      <w:bookmarkEnd w:id="2"/>
      <w:r>
        <w:rPr/>
        <w:t>Сведения о среднесписочной численности работников организации</w:t>
      </w:r>
      <w:r>
        <w:rPr/>
        <w:t>» (https://www.nalog.gov.ru/opendata/7707329152-sshr2019/)</w:t>
      </w:r>
    </w:p>
    <w:p>
      <w:pPr>
        <w:pStyle w:val="1"/>
        <w:numPr>
          <w:ilvl w:val="0"/>
          <w:numId w:val="2"/>
        </w:numPr>
        <w:bidi w:val="0"/>
        <w:jc w:val="left"/>
        <w:rPr/>
      </w:pPr>
      <w:r>
        <w:rPr/>
        <w:t>Автор набора</w:t>
      </w:r>
    </w:p>
    <w:p>
      <w:pPr>
        <w:pStyle w:val="Normal"/>
        <w:bidi w:val="0"/>
        <w:jc w:val="left"/>
        <w:rPr/>
      </w:pPr>
      <w:r>
        <w:rPr/>
        <w:t>Сёмин Павел Олегович (</w:t>
      </w:r>
      <w:r>
        <w:rPr/>
        <w:t xml:space="preserve">аспирант </w:t>
      </w:r>
      <w:r>
        <w:rPr/>
        <w:t>Пермск</w:t>
      </w:r>
      <w:r>
        <w:rPr/>
        <w:t xml:space="preserve">ого </w:t>
      </w:r>
      <w:r>
        <w:rPr/>
        <w:t>государственн</w:t>
      </w:r>
      <w:r>
        <w:rPr/>
        <w:t>ого</w:t>
      </w:r>
      <w:r>
        <w:rPr/>
        <w:t xml:space="preserve"> национальн</w:t>
      </w:r>
      <w:r>
        <w:rPr/>
        <w:t>ого</w:t>
      </w:r>
      <w:r>
        <w:rPr/>
        <w:t xml:space="preserve"> исследовательск</w:t>
      </w:r>
      <w:r>
        <w:rPr/>
        <w:t>ого</w:t>
      </w:r>
      <w:r>
        <w:rPr/>
        <w:t xml:space="preserve"> университет</w:t>
      </w:r>
      <w:r>
        <w:rPr/>
        <w:t>а</w:t>
      </w:r>
      <w:r>
        <w:rPr/>
        <w:t>)</w:t>
      </w:r>
    </w:p>
    <w:p>
      <w:pPr>
        <w:pStyle w:val="1"/>
        <w:numPr>
          <w:ilvl w:val="0"/>
          <w:numId w:val="2"/>
        </w:numPr>
        <w:bidi w:val="0"/>
        <w:jc w:val="left"/>
        <w:rPr/>
      </w:pPr>
      <w:r>
        <w:rPr/>
        <w:t>Постпроцессинг</w:t>
      </w:r>
    </w:p>
    <w:p>
      <w:pPr>
        <w:pStyle w:val="Style15"/>
        <w:bidi w:val="0"/>
        <w:jc w:val="left"/>
        <w:rPr/>
      </w:pPr>
      <w:r>
        <w:rPr/>
        <w:t>Исходные наборы открытых данных были преобразованы в CSV-формат. Сведения об индивидуальных предпринимателях были исключены, чтобы избежать проблем с персональными данными. Дублирующиеся записи, возникшие из-за особенностей публикации исходных данных, были удалены. Адреса были нормализованы, к ним добавлены коды ОКТМО и географические координаты населённых пунктов в соответствии с наборами данных «</w:t>
      </w:r>
      <w:r>
        <w:rPr/>
        <w:t>Населенные пункты России: численность населения и географические координаты</w:t>
      </w:r>
      <w:r>
        <w:rPr/>
        <w:t>» (</w:t>
      </w:r>
      <w:hyperlink r:id="rId6">
        <w:r>
          <w:rPr/>
          <w:t>https://data.rcsi.science/data-catalog/datasets/160</w:t>
        </w:r>
      </w:hyperlink>
      <w:r>
        <w:rPr/>
        <w:t>), «Города России» (</w:t>
      </w:r>
      <w:hyperlink r:id="rId7">
        <w:r>
          <w:rPr/>
          <w:t>https://github.com/hflabs/city</w:t>
        </w:r>
      </w:hyperlink>
      <w:r>
        <w:rPr/>
        <w:t>), а также с ФИАС (https://fias.nalog.ru/).</w:t>
      </w:r>
    </w:p>
    <w:p>
      <w:pPr>
        <w:pStyle w:val="1"/>
        <w:numPr>
          <w:ilvl w:val="0"/>
          <w:numId w:val="2"/>
        </w:numPr>
        <w:bidi w:val="0"/>
        <w:jc w:val="left"/>
        <w:rPr/>
      </w:pPr>
      <w:r>
        <w:rPr/>
        <w:t>Размер, формат файлов</w:t>
      </w:r>
    </w:p>
    <w:tbl>
      <w:tblPr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927"/>
        <w:gridCol w:w="2891"/>
        <w:gridCol w:w="4820"/>
      </w:tblGrid>
      <w:tr>
        <w:trPr>
          <w:tblHeader w:val="true"/>
        </w:trPr>
        <w:tc>
          <w:tcPr>
            <w:tcW w:w="1927" w:type="dxa"/>
            <w:tcBorders/>
          </w:tcPr>
          <w:p>
            <w:pPr>
              <w:pStyle w:val="Style21"/>
              <w:rPr/>
            </w:pPr>
            <w:r>
              <w:rPr/>
              <w:t>Имя файла</w:t>
            </w:r>
          </w:p>
        </w:tc>
        <w:tc>
          <w:tcPr>
            <w:tcW w:w="2891" w:type="dxa"/>
            <w:tcBorders/>
          </w:tcPr>
          <w:p>
            <w:pPr>
              <w:pStyle w:val="Style21"/>
              <w:rPr/>
            </w:pPr>
            <w:r>
              <w:rPr/>
              <w:t>Количество строк</w:t>
            </w:r>
          </w:p>
        </w:tc>
        <w:tc>
          <w:tcPr>
            <w:tcW w:w="4820" w:type="dxa"/>
            <w:tcBorders/>
          </w:tcPr>
          <w:p>
            <w:pPr>
              <w:pStyle w:val="Style21"/>
              <w:rPr/>
            </w:pPr>
            <w:r>
              <w:rPr/>
              <w:t>Несжатый объём (Мб)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Style20"/>
              <w:rPr/>
            </w:pPr>
            <w:r>
              <w:rPr/>
              <w:t>smb.csv</w:t>
            </w:r>
          </w:p>
        </w:tc>
        <w:tc>
          <w:tcPr>
            <w:tcW w:w="2891" w:type="dxa"/>
            <w:tcBorders/>
          </w:tcPr>
          <w:p>
            <w:pPr>
              <w:pStyle w:val="Style20"/>
              <w:rPr/>
            </w:pPr>
            <w:r>
              <w:rPr/>
              <w:t>36213</w:t>
            </w:r>
          </w:p>
        </w:tc>
        <w:tc>
          <w:tcPr>
            <w:tcW w:w="4820" w:type="dxa"/>
            <w:tcBorders/>
          </w:tcPr>
          <w:p>
            <w:pPr>
              <w:pStyle w:val="Style20"/>
              <w:rPr/>
            </w:pPr>
            <w:r>
              <w:rPr/>
              <w:t>12.4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Style20"/>
              <w:rPr/>
            </w:pPr>
            <w:r>
              <w:rPr/>
              <w:t>revexp.csv</w:t>
            </w:r>
          </w:p>
        </w:tc>
        <w:tc>
          <w:tcPr>
            <w:tcW w:w="2891" w:type="dxa"/>
            <w:tcBorders/>
          </w:tcPr>
          <w:p>
            <w:pPr>
              <w:pStyle w:val="Style20"/>
              <w:rPr/>
            </w:pPr>
            <w:r>
              <w:rPr/>
              <w:t>80963</w:t>
            </w:r>
          </w:p>
        </w:tc>
        <w:tc>
          <w:tcPr>
            <w:tcW w:w="4820" w:type="dxa"/>
            <w:tcBorders/>
          </w:tcPr>
          <w:p>
            <w:pPr>
              <w:pStyle w:val="Style20"/>
              <w:rPr/>
            </w:pPr>
            <w:r>
              <w:rPr/>
              <w:t>2.5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Style20"/>
              <w:rPr/>
            </w:pPr>
            <w:r>
              <w:rPr/>
              <w:t>empl.csv</w:t>
            </w:r>
          </w:p>
        </w:tc>
        <w:tc>
          <w:tcPr>
            <w:tcW w:w="2891" w:type="dxa"/>
            <w:tcBorders/>
          </w:tcPr>
          <w:p>
            <w:pPr>
              <w:pStyle w:val="Style20"/>
              <w:rPr/>
            </w:pPr>
            <w:r>
              <w:rPr/>
              <w:t>84976</w:t>
            </w:r>
          </w:p>
        </w:tc>
        <w:tc>
          <w:tcPr>
            <w:tcW w:w="4820" w:type="dxa"/>
            <w:tcBorders/>
          </w:tcPr>
          <w:p>
            <w:pPr>
              <w:pStyle w:val="Style20"/>
              <w:rPr/>
            </w:pPr>
            <w:r>
              <w:rPr/>
              <w:t>1.5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Style20"/>
              <w:rPr/>
            </w:pPr>
            <w:r>
              <w:rPr/>
              <w:t>panel.csv</w:t>
            </w:r>
          </w:p>
        </w:tc>
        <w:tc>
          <w:tcPr>
            <w:tcW w:w="2891" w:type="dxa"/>
            <w:tcBorders/>
          </w:tcPr>
          <w:p>
            <w:pPr>
              <w:pStyle w:val="Style20"/>
              <w:rPr/>
            </w:pPr>
            <w:r>
              <w:rPr/>
              <w:t>146561</w:t>
            </w:r>
          </w:p>
        </w:tc>
        <w:tc>
          <w:tcPr>
            <w:tcW w:w="4820" w:type="dxa"/>
            <w:tcBorders/>
          </w:tcPr>
          <w:p>
            <w:pPr>
              <w:pStyle w:val="Style20"/>
              <w:rPr/>
            </w:pPr>
            <w:r>
              <w:rPr/>
              <w:t>50.6</w:t>
            </w:r>
          </w:p>
        </w:tc>
      </w:tr>
    </w:tbl>
    <w:p>
      <w:pPr>
        <w:pStyle w:val="1"/>
        <w:numPr>
          <w:ilvl w:val="0"/>
          <w:numId w:val="2"/>
        </w:numPr>
        <w:bidi w:val="0"/>
        <w:jc w:val="left"/>
        <w:rPr/>
      </w:pPr>
      <w:r>
        <w:rPr/>
        <w:t>Структура набора данных</w:t>
      </w:r>
    </w:p>
    <w:p>
      <w:pPr>
        <w:pStyle w:val="2"/>
        <w:rPr/>
      </w:pPr>
      <w:r>
        <w:rPr/>
        <w:t>Таблица «smb.csv»</w:t>
      </w:r>
    </w:p>
    <w:tbl>
      <w:tblPr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/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Атрибут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Описание</w:t>
            </w:r>
          </w:p>
        </w:tc>
        <w:tc>
          <w:tcPr>
            <w:tcW w:w="1607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Кол-во пропусков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Единица измерения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ОКЕИ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widowControl w:val="false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Формат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t</w:t>
            </w:r>
            <w:r>
              <w:rPr/>
              <w:t>in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Идентификационный номер налогоплательщика (ИНН)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reg_number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 xml:space="preserve">Основной государственный регистрационный номер (ОГРН) 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12739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Srting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category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Категория субъекта малого и среднего предпринимательства: 1 — микропредприятие, 2 — малое предприятие, 3 — среднее предприятие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Enum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org_name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Полное наименование организации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org_short_name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Сокращённое наименование  организации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93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activity_code_main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Основной код ОКВЭД (общероссийского классификатора видов деятельности)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region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Субъект федерации, в котором зарегистрирована организация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area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Часть территории субъекта (район, муниципальное образование), в которой зарегистрирована организация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30581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settlement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Населённый пункт, в котором зарегистрирована организация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9850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settlement_type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Сокращённый вид населённого пункта, в котором зарегистрирована организация. Сокращения в соответствии с ФИАС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567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oktmo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Код ОКТМО муниципального образования, в котором зарегистрирована организация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672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lat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Географическая широта населённого пункта, в котором зарегистрирована организация (</w:t>
            </w:r>
            <w:r>
              <w:rPr/>
              <w:t xml:space="preserve">десятичные в </w:t>
            </w:r>
            <w:r>
              <w:rPr/>
              <w:t>EPSG:4326)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567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Float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lon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Географическая долгота населённого пункта, в котором зарегистрирована организация (</w:t>
            </w:r>
            <w:r>
              <w:rPr/>
              <w:t xml:space="preserve">десятичные в </w:t>
            </w:r>
            <w:r>
              <w:rPr/>
              <w:t>EPSG:4326)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567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Float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address_raw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 xml:space="preserve">Адрес организации, содержащийся в исходных данных. </w:t>
            </w:r>
            <w:r>
              <w:rPr/>
              <w:t>Представляет собой структурированную строку вида «регион / тип региона / район / тип района / город / тип города / населённый пункт / тип населённого пункта», где косая черта —  это разделитель, а элементы и структура адреса в основном соответствуют ФИАС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start_date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Начальная дата периода, в течение которого актуальны сведения. Формат даты — yyyy-mm-dd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Date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rPr/>
            </w:pPr>
            <w:r>
              <w:rPr/>
              <w:t>end_date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Конечная дата периода, в течение которого актуальны сведения. Формат даты — yyyy-mm-dd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Date</w:t>
            </w:r>
          </w:p>
        </w:tc>
      </w:tr>
    </w:tbl>
    <w:p>
      <w:pPr>
        <w:pStyle w:val="2"/>
        <w:rPr/>
      </w:pPr>
      <w:r>
        <w:rPr/>
        <w:t>Таблица «revexp.csv»</w:t>
      </w:r>
    </w:p>
    <w:tbl>
      <w:tblPr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/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Атрибут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Описание</w:t>
            </w:r>
          </w:p>
        </w:tc>
        <w:tc>
          <w:tcPr>
            <w:tcW w:w="1607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Кол-во пропусков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Единица измерения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ОКЕИ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widowControl w:val="false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Формат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tin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Идентификационный номер налогоплательщика (ИНН)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year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Год, для которого приводятся сведения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Integer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revenue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Доходы организации за год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Рубль</w:t>
            </w:r>
          </w:p>
        </w:tc>
        <w:tc>
          <w:tcPr>
            <w:tcW w:w="1606" w:type="dxa"/>
            <w:tcBorders/>
          </w:tcPr>
          <w:p>
            <w:pPr>
              <w:pStyle w:val="Normal"/>
              <w:rPr/>
            </w:pPr>
            <w:bookmarkStart w:id="3" w:name="dst101916"/>
            <w:bookmarkStart w:id="4" w:name="dst100283"/>
            <w:bookmarkEnd w:id="3"/>
            <w:bookmarkEnd w:id="4"/>
            <w:r>
              <w:rPr/>
              <w:t>383</w:t>
            </w:r>
          </w:p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Float</w:t>
            </w:r>
          </w:p>
        </w:tc>
      </w:tr>
      <w:tr>
        <w:trPr>
          <w:trHeight w:val="316" w:hRule="atLeast"/>
        </w:trPr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expenditure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Расходы организации за год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Рубль</w:t>
            </w:r>
          </w:p>
        </w:tc>
        <w:tc>
          <w:tcPr>
            <w:tcW w:w="1606" w:type="dxa"/>
            <w:tcBorders/>
          </w:tcPr>
          <w:p>
            <w:pPr>
              <w:pStyle w:val="Normal"/>
              <w:rPr/>
            </w:pPr>
            <w:bookmarkStart w:id="5" w:name="dst1019161"/>
            <w:bookmarkStart w:id="6" w:name="dst1002831"/>
            <w:bookmarkEnd w:id="5"/>
            <w:bookmarkEnd w:id="6"/>
            <w:r>
              <w:rPr/>
              <w:t>383</w:t>
            </w:r>
          </w:p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Float</w:t>
            </w:r>
          </w:p>
        </w:tc>
      </w:tr>
    </w:tbl>
    <w:p>
      <w:pPr>
        <w:pStyle w:val="2"/>
        <w:rPr/>
      </w:pPr>
      <w:r>
        <w:rPr/>
        <w:t>Таблица «empl.csv»</w:t>
      </w:r>
    </w:p>
    <w:tbl>
      <w:tblPr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/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Атрибут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Описание</w:t>
            </w:r>
          </w:p>
        </w:tc>
        <w:tc>
          <w:tcPr>
            <w:tcW w:w="1607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Кол-во пропусков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Единица измерения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ОКЕИ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widowControl w:val="false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Формат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tin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Идентификационный номер налогоплательщика (ИНН)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year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Год, для которого приводятся сведения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Integer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employees_count</w:t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Среднесписочная численность работников за год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</w:tcPr>
          <w:p>
            <w:pPr>
              <w:pStyle w:val="Normal"/>
              <w:rPr/>
            </w:pPr>
            <w:bookmarkStart w:id="7" w:name="dst102209"/>
            <w:bookmarkEnd w:id="7"/>
            <w:r>
              <w:rPr/>
              <w:t>Человек</w:t>
            </w:r>
          </w:p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</w:tcPr>
          <w:p>
            <w:pPr>
              <w:pStyle w:val="Style20"/>
              <w:rPr/>
            </w:pPr>
            <w:r>
              <w:rPr/>
              <w:t>792</w:t>
            </w:r>
          </w:p>
        </w:tc>
        <w:tc>
          <w:tcPr>
            <w:tcW w:w="1607" w:type="dxa"/>
            <w:tcBorders/>
          </w:tcPr>
          <w:p>
            <w:pPr>
              <w:pStyle w:val="Style20"/>
              <w:rPr/>
            </w:pPr>
            <w:r>
              <w:rPr/>
              <w:t>Integer</w:t>
            </w:r>
          </w:p>
        </w:tc>
      </w:tr>
    </w:tbl>
    <w:p>
      <w:pPr>
        <w:pStyle w:val="2"/>
        <w:rPr/>
      </w:pPr>
      <w:r>
        <w:rPr/>
        <w:t>Таблица «panel.csv»</w:t>
      </w:r>
    </w:p>
    <w:p>
      <w:pPr>
        <w:pStyle w:val="Style15"/>
        <w:rPr/>
      </w:pPr>
      <w:r>
        <w:rPr/>
        <w:t>Это производная панельная таблица, составленная на базе трёх предыдущих для удобства.</w:t>
      </w:r>
    </w:p>
    <w:tbl>
      <w:tblPr>
        <w:tblW w:w="963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4"/>
        <w:gridCol w:w="1458"/>
        <w:gridCol w:w="1607"/>
        <w:gridCol w:w="1606"/>
        <w:gridCol w:w="1606"/>
        <w:gridCol w:w="1604"/>
      </w:tblGrid>
      <w:tr>
        <w:trPr/>
        <w:tc>
          <w:tcPr>
            <w:tcW w:w="1754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Атрибут</w:t>
            </w:r>
          </w:p>
        </w:tc>
        <w:tc>
          <w:tcPr>
            <w:tcW w:w="1458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Описание</w:t>
            </w:r>
          </w:p>
        </w:tc>
        <w:tc>
          <w:tcPr>
            <w:tcW w:w="1607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Кол-во пропусков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Единица измерения</w:t>
            </w:r>
          </w:p>
        </w:tc>
        <w:tc>
          <w:tcPr>
            <w:tcW w:w="1606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ОКЕИ</w:t>
            </w:r>
          </w:p>
        </w:tc>
        <w:tc>
          <w:tcPr>
            <w:tcW w:w="1604" w:type="dxa"/>
            <w:tcBorders/>
          </w:tcPr>
          <w:p>
            <w:pPr>
              <w:pStyle w:val="Style20"/>
              <w:widowControl w:val="false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Формат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t</w:t>
            </w:r>
            <w:r>
              <w:rPr/>
              <w:t>in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Идентификационный номер налогоплательщика (ИНН)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reg_number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 xml:space="preserve">Основной государственный регистрационный номер (ОГРН) 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39939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Srting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category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Категория субъекта малого и среднего предпринимательства: 1 — микропредприятие, 2 — малое предприятие, 3 — среднее предприятие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Enum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org_name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Полное наименование организации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org_short_name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Сокращённое наименование  организации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350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activity_code_main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Основной код ОКВЭД (общероссийского классификатора видов деятельности)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region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Субъект федерации, в котором зарегистрирована организация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area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Часть территории субъекта (район, муниципальное образование), в которой зарегистрирована организация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124290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settlement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Населённый пункт, в котором зарегистрирована организация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37211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settlement_type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Сокращённый вид населённого пункта, в котором зарегистрирована организация. Сокращения в соответствии с ФИАС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1608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oktmo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Код ОКТМО муниципального образования, в котором зарегистрирована организация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2045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lat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Географическая широта населённого пункта, в котором зарегистрирована организация (EPSG:4326)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1608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Float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lon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Географическая долгота населённого пункта, в котором зарегистрирована организация (EPSG:4326)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1608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Float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address_raw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 xml:space="preserve">Адрес организации, содержащийся в исходных данных. </w:t>
            </w:r>
            <w:r>
              <w:rPr/>
              <w:t>Представляет собой структурированную строку вида «регион / тип региона / район / тип района / город / тип города / населённый пункт / тип населённого пункта», где косая черта —  это разделитель, а элементы и структура адреса в основном соответствуют ФИАС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String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year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Год, для которого приводятся сведения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Integer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confidence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Условный показатель «надёжности» сведений. Определяется как единица, делённая на количество вариантов тех или иных сведений об организации в течение года. Например, если у организации в течение года поменялось наименование, в результате чего за год у неё есть два варианта сведений, то confidence = 0.5. Если confidence не равна единице (то есть вариантов сведений несколько), то таблица содержит последний вариант из доступных. Все варианты можно посмотреть в таблице smb.csv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Float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revenue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Доходы организации за год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75055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Рубль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383</w:t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Float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expenditure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Расходы организации за год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75055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Рубль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383</w:t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Float</w:t>
            </w:r>
          </w:p>
        </w:tc>
      </w:tr>
      <w:tr>
        <w:trPr/>
        <w:tc>
          <w:tcPr>
            <w:tcW w:w="175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r>
              <w:rPr/>
              <w:t>employees_count</w:t>
            </w:r>
          </w:p>
        </w:tc>
        <w:tc>
          <w:tcPr>
            <w:tcW w:w="1458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Среднесписочная численность работников за год</w:t>
            </w:r>
          </w:p>
        </w:tc>
        <w:tc>
          <w:tcPr>
            <w:tcW w:w="1607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71573</w:t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Normal"/>
              <w:rPr/>
            </w:pPr>
            <w:bookmarkStart w:id="8" w:name="dst1022091"/>
            <w:bookmarkEnd w:id="8"/>
            <w:r>
              <w:rPr/>
              <w:t>Человек</w:t>
            </w:r>
          </w:p>
          <w:p>
            <w:pPr>
              <w:pStyle w:val="Style20"/>
              <w:rPr/>
            </w:pPr>
            <w:r>
              <w:rPr/>
            </w:r>
          </w:p>
        </w:tc>
        <w:tc>
          <w:tcPr>
            <w:tcW w:w="1606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792</w:t>
            </w:r>
          </w:p>
        </w:tc>
        <w:tc>
          <w:tcPr>
            <w:tcW w:w="1604" w:type="dxa"/>
            <w:tcBorders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Style20"/>
              <w:rPr/>
            </w:pPr>
            <w:r>
              <w:rPr/>
              <w:t>Integer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4"/>
    <w:next w:val="Style15"/>
    <w:qFormat/>
    <w:pPr>
      <w:numPr>
        <w:ilvl w:val="0"/>
        <w:numId w:val="2"/>
      </w:numPr>
      <w:spacing w:before="240" w:after="120"/>
      <w:outlineLvl w:val="0"/>
    </w:pPr>
    <w:rPr>
      <w:b/>
      <w:bCs/>
      <w:sz w:val="32"/>
      <w:szCs w:val="36"/>
    </w:rPr>
  </w:style>
  <w:style w:type="paragraph" w:styleId="2">
    <w:name w:val="Heading 2"/>
    <w:basedOn w:val="Style14"/>
    <w:next w:val="Style15"/>
    <w:qFormat/>
    <w:pPr>
      <w:numPr>
        <w:ilvl w:val="1"/>
        <w:numId w:val="1"/>
      </w:numPr>
      <w:spacing w:before="200" w:after="120"/>
      <w:outlineLvl w:val="1"/>
    </w:pPr>
    <w:rPr>
      <w:b/>
      <w:bCs/>
      <w:sz w:val="28"/>
      <w:szCs w:val="32"/>
    </w:rPr>
  </w:style>
  <w:style w:type="character" w:styleId="Style12">
    <w:name w:val="Интернет-ссылка"/>
    <w:rPr>
      <w:color w:val="000080"/>
      <w:u w:val="single"/>
      <w:lang w:val="zxx" w:eastAsia="zxx" w:bidi="zxx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erif" w:hAnsi="Liberation Serif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Style19">
    <w:name w:val="Горизонтальная линия"/>
    <w:basedOn w:val="Normal"/>
    <w:next w:val="Style15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Title"/>
    <w:basedOn w:val="Style14"/>
    <w:next w:val="Style15"/>
    <w:qFormat/>
    <w:pPr>
      <w:jc w:val="left"/>
    </w:pPr>
    <w:rPr>
      <w:b/>
      <w:bCs/>
      <w:sz w:val="40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alog.gov.ru/opendata/7707329152-rsmp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nalog.gov.ru/opendata/7707329152-revexp/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data.rcsi.science/data-catalog/datasets/160" TargetMode="External"/><Relationship Id="rId7" Type="http://schemas.openxmlformats.org/officeDocument/2006/relationships/hyperlink" Target="https://github.com/hflabs/city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</TotalTime>
  <Application>LibreOffice/7.3.7.2$Linux_X86_64 LibreOffice_project/30$Build-2</Application>
  <AppVersion>15.0000</AppVersion>
  <Pages>10</Pages>
  <Words>987</Words>
  <Characters>7031</Characters>
  <CharactersWithSpaces>7785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2024-03-07T18:07:24Z</dcterms:created>
  <dc:creator/>
  <dc:description/>
  <dc:language>ru-RU</dc:language>
  <cp:lastModifiedBy/>
  <dcterms:modified xsi:type="dcterms:W3CDTF">2024-03-10T18:21:37Z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