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TOC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yperlink"/>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9C6BE0">
          <w:pPr>
            <w:pStyle w:val="TOC1"/>
            <w:tabs>
              <w:tab w:val="right" w:leader="dot" w:pos="9350"/>
            </w:tabs>
            <w:rPr>
              <w:rFonts w:asciiTheme="minorHAnsi" w:eastAsiaTheme="minorEastAsia" w:hAnsiTheme="minorHAnsi"/>
              <w:noProof/>
              <w:sz w:val="22"/>
            </w:rPr>
          </w:pPr>
          <w:hyperlink w:anchor="_Toc6428434" w:history="1">
            <w:r w:rsidR="006C0FE8" w:rsidRPr="004E3D68">
              <w:rPr>
                <w:rStyle w:val="Hyperlink"/>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9C6BE0">
          <w:pPr>
            <w:pStyle w:val="TOC1"/>
            <w:tabs>
              <w:tab w:val="right" w:leader="dot" w:pos="9350"/>
            </w:tabs>
            <w:rPr>
              <w:rFonts w:asciiTheme="minorHAnsi" w:eastAsiaTheme="minorEastAsia" w:hAnsiTheme="minorHAnsi"/>
              <w:noProof/>
              <w:sz w:val="22"/>
            </w:rPr>
          </w:pPr>
          <w:hyperlink w:anchor="_Toc6428435" w:history="1">
            <w:r w:rsidR="006C0FE8" w:rsidRPr="004E3D68">
              <w:rPr>
                <w:rStyle w:val="Hyperlink"/>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9C6BE0">
          <w:pPr>
            <w:pStyle w:val="TOC1"/>
            <w:tabs>
              <w:tab w:val="right" w:leader="dot" w:pos="9350"/>
            </w:tabs>
            <w:rPr>
              <w:rFonts w:asciiTheme="minorHAnsi" w:eastAsiaTheme="minorEastAsia" w:hAnsiTheme="minorHAnsi"/>
              <w:noProof/>
              <w:sz w:val="22"/>
            </w:rPr>
          </w:pPr>
          <w:hyperlink w:anchor="_Toc6428436" w:history="1">
            <w:r w:rsidR="006C0FE8" w:rsidRPr="004E3D68">
              <w:rPr>
                <w:rStyle w:val="Hyperlink"/>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9C6BE0">
          <w:pPr>
            <w:pStyle w:val="TOC1"/>
            <w:tabs>
              <w:tab w:val="right" w:leader="dot" w:pos="9350"/>
            </w:tabs>
            <w:rPr>
              <w:rFonts w:asciiTheme="minorHAnsi" w:eastAsiaTheme="minorEastAsia" w:hAnsiTheme="minorHAnsi"/>
              <w:noProof/>
              <w:sz w:val="22"/>
            </w:rPr>
          </w:pPr>
          <w:hyperlink w:anchor="_Toc6428437" w:history="1">
            <w:r w:rsidR="006C0FE8" w:rsidRPr="004E3D68">
              <w:rPr>
                <w:rStyle w:val="Hyperlink"/>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9C6BE0">
          <w:pPr>
            <w:pStyle w:val="TOC1"/>
            <w:tabs>
              <w:tab w:val="right" w:leader="dot" w:pos="9350"/>
            </w:tabs>
            <w:rPr>
              <w:rFonts w:asciiTheme="minorHAnsi" w:eastAsiaTheme="minorEastAsia" w:hAnsiTheme="minorHAnsi"/>
              <w:noProof/>
              <w:sz w:val="22"/>
            </w:rPr>
          </w:pPr>
          <w:hyperlink w:anchor="_Toc6428438" w:history="1">
            <w:r w:rsidR="006C0FE8" w:rsidRPr="004E3D68">
              <w:rPr>
                <w:rStyle w:val="Hyperlink"/>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9C6BE0">
          <w:pPr>
            <w:pStyle w:val="TOC1"/>
            <w:tabs>
              <w:tab w:val="right" w:leader="dot" w:pos="9350"/>
            </w:tabs>
            <w:rPr>
              <w:rFonts w:asciiTheme="minorHAnsi" w:eastAsiaTheme="minorEastAsia" w:hAnsiTheme="minorHAnsi"/>
              <w:noProof/>
              <w:sz w:val="22"/>
            </w:rPr>
          </w:pPr>
          <w:hyperlink w:anchor="_Toc6428439" w:history="1">
            <w:r w:rsidR="006C0FE8" w:rsidRPr="004E3D68">
              <w:rPr>
                <w:rStyle w:val="Hyperlink"/>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9C6BE0"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9C6BE0"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commentRangeStart w:id="6"/>
      <w:commentRangeStart w:id="7"/>
      <w:commentRangeStart w:id="8"/>
      <w:r w:rsidR="00070716">
        <w:rPr>
          <w:rStyle w:val="CommentReference"/>
        </w:rPr>
        <w:commentReference w:id="9"/>
      </w:r>
      <w:commentRangeEnd w:id="6"/>
      <w:r w:rsidR="008F6CF8">
        <w:rPr>
          <w:rStyle w:val="CommentReference"/>
        </w:rPr>
        <w:commentReference w:id="6"/>
      </w:r>
      <w:commentRangeEnd w:id="7"/>
      <w:r w:rsidR="003950C4">
        <w:rPr>
          <w:rStyle w:val="CommentReference"/>
        </w:rPr>
        <w:commentReference w:id="7"/>
      </w:r>
      <w:commentRangeEnd w:id="8"/>
      <w:r w:rsidR="001B5312">
        <w:rPr>
          <w:rStyle w:val="CommentReference"/>
        </w:rPr>
        <w:commentReference w:id="8"/>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r w:rsidR="00280186">
        <w:rPr>
          <w:lang w:val="pl-PL"/>
        </w:rPr>
        <w:t>Hbr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r w:rsidR="000C421F" w:rsidRPr="000C421F">
        <w:rPr>
          <w:i/>
          <w:highlight w:val="yellow"/>
          <w:lang w:val="pl-PL"/>
        </w:rPr>
        <w:t>epikleza</w:t>
      </w:r>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r>
        <w:rPr>
          <w:lang w:val="pl-PL"/>
        </w:rPr>
        <w:lastRenderedPageBreak/>
        <w:t>transsubstantacją (</w:t>
      </w:r>
      <w:r w:rsidRPr="001A653A">
        <w:rPr>
          <w:rStyle w:val="ilfuvd"/>
          <w:lang w:val="pl-PL"/>
        </w:rPr>
        <w:t>łac. transsubstantiatio</w:t>
      </w:r>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t>
      </w:r>
      <w:commentRangeStart w:id="10"/>
      <w:commentRangeStart w:id="11"/>
      <w:commentRangeStart w:id="12"/>
      <w:commentRangeStart w:id="13"/>
      <w:r>
        <w:rPr>
          <w:lang w:val="pl-PL"/>
        </w:rPr>
        <w:t xml:space="preserve">wspomnianej wyżej aklamacji </w:t>
      </w:r>
      <w:commentRangeEnd w:id="10"/>
      <w:r w:rsidR="00C87A1A">
        <w:rPr>
          <w:rStyle w:val="CommentReference"/>
        </w:rPr>
        <w:commentReference w:id="10"/>
      </w:r>
      <w:commentRangeEnd w:id="11"/>
      <w:r w:rsidR="00106F6F">
        <w:rPr>
          <w:rStyle w:val="CommentReference"/>
        </w:rPr>
        <w:commentReference w:id="11"/>
      </w:r>
      <w:commentRangeEnd w:id="12"/>
      <w:r w:rsidR="003950C4">
        <w:rPr>
          <w:rStyle w:val="CommentReference"/>
        </w:rPr>
        <w:commentReference w:id="12"/>
      </w:r>
      <w:commentRangeEnd w:id="13"/>
      <w:r w:rsidR="001B5312">
        <w:rPr>
          <w:rStyle w:val="CommentReference"/>
        </w:rPr>
        <w:commentReference w:id="13"/>
      </w:r>
      <w:r>
        <w:rPr>
          <w:lang w:val="pl-PL"/>
        </w:rPr>
        <w:t xml:space="preserve">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bookmarkStart w:id="14" w:name="_GoBack"/>
      <w:bookmarkEnd w:id="14"/>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15"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5"/>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ciga, Jakub" w:date="2019-04-19T14:33:00Z" w:initials="SJ">
    <w:p w14:paraId="666CCAE9" w14:textId="521C30FB" w:rsidR="00070716" w:rsidRPr="00070716" w:rsidRDefault="00070716">
      <w:pPr>
        <w:pStyle w:val="CommentText"/>
        <w:rPr>
          <w:lang w:val="pl-PL"/>
        </w:rPr>
      </w:pPr>
      <w:r>
        <w:rPr>
          <w:rStyle w:val="CommentReference"/>
        </w:rPr>
        <w:annotationRef/>
      </w:r>
      <w:r>
        <w:rPr>
          <w:lang w:val="pl-PL"/>
        </w:rPr>
        <w:t>po nim czy</w:t>
      </w:r>
      <w:r w:rsidRPr="00070716">
        <w:rPr>
          <w:lang w:val="pl-PL"/>
        </w:rPr>
        <w:t xml:space="preserve"> po soborze?</w:t>
      </w:r>
    </w:p>
  </w:comment>
  <w:comment w:id="6" w:author="Monika Bindas" w:date="2019-04-19T22:34:00Z" w:initials="MB">
    <w:p w14:paraId="7526EA5B" w14:textId="4EE63138" w:rsidR="008F6CF8" w:rsidRPr="00106F6F" w:rsidRDefault="008F6CF8">
      <w:pPr>
        <w:pStyle w:val="CommentText"/>
        <w:rPr>
          <w:lang w:val="pl-PL"/>
        </w:rPr>
      </w:pPr>
      <w:r>
        <w:rPr>
          <w:rStyle w:val="CommentReference"/>
        </w:rPr>
        <w:annotationRef/>
      </w:r>
      <w:r w:rsidRPr="00106F6F">
        <w:rPr>
          <w:lang w:val="pl-PL"/>
        </w:rPr>
        <w:t>Po soborze</w:t>
      </w:r>
    </w:p>
  </w:comment>
  <w:comment w:id="7" w:author="Monika Bindas" w:date="2019-04-19T23:22:00Z" w:initials="MB">
    <w:p w14:paraId="5427333D" w14:textId="6A5749F2" w:rsidR="003950C4" w:rsidRPr="001B5312" w:rsidRDefault="003950C4">
      <w:pPr>
        <w:pStyle w:val="CommentText"/>
        <w:rPr>
          <w:lang w:val="pl-PL"/>
        </w:rPr>
      </w:pPr>
      <w:r>
        <w:rPr>
          <w:rStyle w:val="CommentReference"/>
        </w:rPr>
        <w:annotationRef/>
      </w:r>
      <w:r w:rsidRPr="001B5312">
        <w:rPr>
          <w:lang w:val="pl-PL"/>
        </w:rPr>
        <w:t xml:space="preserve">Error: Brak ustosunkowania się do sugestii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8" w:author="Sciga, Jakub" w:date="2019-04-20T08:53:00Z" w:initials="SJ">
    <w:p w14:paraId="4D8E4AC4" w14:textId="43B9C810" w:rsidR="001B5312" w:rsidRPr="001B5312" w:rsidRDefault="001B5312">
      <w:pPr>
        <w:pStyle w:val="CommentText"/>
        <w:rPr>
          <w:lang w:val="pl-PL"/>
        </w:rPr>
      </w:pPr>
      <w:r>
        <w:rPr>
          <w:rStyle w:val="CommentReference"/>
        </w:rPr>
        <w:annotationRef/>
      </w:r>
      <w:r w:rsidRPr="001B5312">
        <w:rPr>
          <w:lang w:val="pl-PL"/>
        </w:rPr>
        <w:t>ok</w:t>
      </w:r>
    </w:p>
  </w:comment>
  <w:comment w:id="10" w:author="Monika Bindas" w:date="2019-04-19T22:45:00Z" w:initials="MB">
    <w:p w14:paraId="04A13ACD" w14:textId="4C48D744" w:rsidR="00C87A1A" w:rsidRPr="00106F6F" w:rsidRDefault="00C87A1A">
      <w:pPr>
        <w:pStyle w:val="CommentText"/>
        <w:rPr>
          <w:lang w:val="pl-PL"/>
        </w:rPr>
      </w:pPr>
      <w:r>
        <w:rPr>
          <w:rStyle w:val="CommentReference"/>
        </w:rPr>
        <w:annotationRef/>
      </w:r>
      <w:r w:rsidRPr="00106F6F">
        <w:rPr>
          <w:lang w:val="pl-PL"/>
        </w:rPr>
        <w:t>Może przypomnienie o którą chodzi?</w:t>
      </w:r>
    </w:p>
  </w:comment>
  <w:comment w:id="11" w:author="Sciga, Jakub" w:date="2019-04-19T22:58:00Z" w:initials="SJ">
    <w:p w14:paraId="3D43CD74" w14:textId="4F703972" w:rsidR="00106F6F" w:rsidRPr="00106F6F" w:rsidRDefault="00106F6F">
      <w:pPr>
        <w:pStyle w:val="CommentText"/>
        <w:rPr>
          <w:lang w:val="pl-PL"/>
        </w:rPr>
      </w:pPr>
      <w:r>
        <w:rPr>
          <w:rStyle w:val="CommentReference"/>
        </w:rPr>
        <w:annotationRef/>
      </w:r>
      <w:r w:rsidRPr="00106F6F">
        <w:rPr>
          <w:lang w:val="pl-PL"/>
        </w:rPr>
        <w:t>Nie rozumiem. Chodzi o tą co na żółto</w:t>
      </w:r>
    </w:p>
  </w:comment>
  <w:comment w:id="12" w:author="Monika Bindas" w:date="2019-04-19T23:26:00Z" w:initials="MB">
    <w:p w14:paraId="01F82E9A" w14:textId="0CD918CB" w:rsidR="003950C4" w:rsidRDefault="003950C4">
      <w:pPr>
        <w:pStyle w:val="CommentText"/>
      </w:pPr>
      <w:r>
        <w:rPr>
          <w:rStyle w:val="CommentReference"/>
        </w:rPr>
        <w:annotationRef/>
      </w:r>
      <w:r w:rsidRPr="001B5312">
        <w:rPr>
          <w:lang w:val="pl-PL"/>
        </w:rPr>
        <w:t xml:space="preserve">No w sensie że chodzi o Sanctus, bo dawno o niej było, później były inne wątki… </w:t>
      </w:r>
      <w:r>
        <w:t>Jak uważasz.</w:t>
      </w:r>
    </w:p>
  </w:comment>
  <w:comment w:id="13" w:author="Sciga, Jakub" w:date="2019-04-20T08:53:00Z" w:initials="SJ">
    <w:p w14:paraId="3FFA4A11" w14:textId="1F782416" w:rsidR="001B5312" w:rsidRPr="001B5312" w:rsidRDefault="001B5312">
      <w:pPr>
        <w:pStyle w:val="CommentText"/>
        <w:rPr>
          <w:lang w:val="pl-PL"/>
        </w:rPr>
      </w:pPr>
      <w:r>
        <w:rPr>
          <w:rStyle w:val="CommentReference"/>
        </w:rPr>
        <w:annotationRef/>
      </w:r>
      <w:r w:rsidRPr="001B5312">
        <w:rPr>
          <w:lang w:val="pl-PL"/>
        </w:rPr>
        <w:t>Ale chodzi o aklmację po przeistoczeniu, nie o Sanctus</w:t>
      </w:r>
      <w:r>
        <w:rPr>
          <w:lang w:val="pl-PL"/>
        </w:rPr>
        <w:t xml:space="preserve"> </w:t>
      </w:r>
      <w:r w:rsidRPr="001B5312">
        <w:rPr>
          <w:lang w:val="pl-PL"/>
        </w:rPr>
        <w:sym w:font="Wingdings" w:char="F04A"/>
      </w:r>
      <w:r>
        <w:rPr>
          <w:lang w:val="pl-PL"/>
        </w:rPr>
        <w:t xml:space="preserve"> Chodzi o „Oto wielka tajemnica wiary”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6CCAE9" w15:done="0"/>
  <w15:commentEx w15:paraId="7526EA5B" w15:paraIdParent="666CCAE9" w15:done="0"/>
  <w15:commentEx w15:paraId="5427333D" w15:paraIdParent="666CCAE9" w15:done="0"/>
  <w15:commentEx w15:paraId="4D8E4AC4" w15:paraIdParent="666CCAE9" w15:done="0"/>
  <w15:commentEx w15:paraId="04A13ACD" w15:done="0"/>
  <w15:commentEx w15:paraId="3D43CD74" w15:paraIdParent="04A13ACD" w15:done="0"/>
  <w15:commentEx w15:paraId="01F82E9A" w15:paraIdParent="04A13ACD" w15:done="0"/>
  <w15:commentEx w15:paraId="3FFA4A11" w15:paraIdParent="04A13A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CCAE9" w16cid:durableId="2064CAFA"/>
  <w16cid:commentId w16cid:paraId="7526EA5B" w16cid:durableId="2064CB76"/>
  <w16cid:commentId w16cid:paraId="5427333D" w16cid:durableId="2064D6D1"/>
  <w16cid:commentId w16cid:paraId="01879636" w16cid:durableId="2064CC1F"/>
  <w16cid:commentId w16cid:paraId="002BFAB3" w16cid:durableId="2064D6B4"/>
  <w16cid:commentId w16cid:paraId="57E8DFB1" w16cid:durableId="2064D703"/>
  <w16cid:commentId w16cid:paraId="04A13ACD" w16cid:durableId="2064CE07"/>
  <w16cid:commentId w16cid:paraId="3D43CD74" w16cid:durableId="2064D6BE"/>
  <w16cid:commentId w16cid:paraId="01F82E9A" w16cid:durableId="2064D7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0B3C5" w14:textId="77777777" w:rsidR="009C6BE0" w:rsidRDefault="009C6BE0" w:rsidP="006C3BCC">
      <w:pPr>
        <w:spacing w:after="0" w:line="240" w:lineRule="auto"/>
      </w:pPr>
      <w:r>
        <w:separator/>
      </w:r>
    </w:p>
  </w:endnote>
  <w:endnote w:type="continuationSeparator" w:id="0">
    <w:p w14:paraId="6CABEAC6" w14:textId="77777777" w:rsidR="009C6BE0" w:rsidRDefault="009C6BE0"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27BF1" w14:textId="77777777" w:rsidR="009C6BE0" w:rsidRDefault="009C6BE0" w:rsidP="006C3BCC">
      <w:pPr>
        <w:spacing w:after="0" w:line="240" w:lineRule="auto"/>
      </w:pPr>
      <w:r>
        <w:separator/>
      </w:r>
    </w:p>
  </w:footnote>
  <w:footnote w:type="continuationSeparator" w:id="0">
    <w:p w14:paraId="08E789C9" w14:textId="77777777" w:rsidR="009C6BE0" w:rsidRDefault="009C6BE0"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iga, Jakub">
    <w15:presenceInfo w15:providerId="AD" w15:userId="S-1-5-21-2754242312-2624097566-4060039165-528673"/>
  </w15:person>
  <w15:person w15:author="Monika Bindas">
    <w15:presenceInfo w15:providerId="None" w15:userId="Monika Bin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0AEF"/>
    <w:rsid w:val="00024C34"/>
    <w:rsid w:val="00042C7F"/>
    <w:rsid w:val="00061130"/>
    <w:rsid w:val="00065234"/>
    <w:rsid w:val="00070716"/>
    <w:rsid w:val="000A46DB"/>
    <w:rsid w:val="000B127C"/>
    <w:rsid w:val="000C421F"/>
    <w:rsid w:val="001026B0"/>
    <w:rsid w:val="00106F6F"/>
    <w:rsid w:val="001311EC"/>
    <w:rsid w:val="00147480"/>
    <w:rsid w:val="00163D65"/>
    <w:rsid w:val="00181DE8"/>
    <w:rsid w:val="00187C92"/>
    <w:rsid w:val="001A0799"/>
    <w:rsid w:val="001A3B5C"/>
    <w:rsid w:val="001A653A"/>
    <w:rsid w:val="001B5312"/>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404B9"/>
    <w:rsid w:val="00390F89"/>
    <w:rsid w:val="003950C4"/>
    <w:rsid w:val="003A722B"/>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D7D36"/>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B7ACC"/>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8F6CF8"/>
    <w:rsid w:val="00901A62"/>
    <w:rsid w:val="0093401F"/>
    <w:rsid w:val="00943C5C"/>
    <w:rsid w:val="00954DF7"/>
    <w:rsid w:val="00963217"/>
    <w:rsid w:val="009659A1"/>
    <w:rsid w:val="009910AB"/>
    <w:rsid w:val="009B0BA6"/>
    <w:rsid w:val="009B5CF6"/>
    <w:rsid w:val="009C6BE0"/>
    <w:rsid w:val="009E5F96"/>
    <w:rsid w:val="009F081F"/>
    <w:rsid w:val="009F3100"/>
    <w:rsid w:val="00A10E2C"/>
    <w:rsid w:val="00A256A1"/>
    <w:rsid w:val="00A458DC"/>
    <w:rsid w:val="00A658C8"/>
    <w:rsid w:val="00A82B7C"/>
    <w:rsid w:val="00AD0FC7"/>
    <w:rsid w:val="00AD5404"/>
    <w:rsid w:val="00AD6159"/>
    <w:rsid w:val="00AF652C"/>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7A1A"/>
    <w:rsid w:val="00CE64CE"/>
    <w:rsid w:val="00CF1736"/>
    <w:rsid w:val="00CF345B"/>
    <w:rsid w:val="00D06283"/>
    <w:rsid w:val="00D31E02"/>
    <w:rsid w:val="00D34168"/>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72F89"/>
    <w:rsid w:val="00E8662F"/>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Heading3">
    <w:name w:val="heading 3"/>
    <w:basedOn w:val="Normal"/>
    <w:next w:val="Normal"/>
    <w:link w:val="Heading3Char"/>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 w:type="character" w:customStyle="1" w:styleId="Heading3Char">
    <w:name w:val="Heading 3 Char"/>
    <w:basedOn w:val="DefaultParagraphFont"/>
    <w:link w:val="Heading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1D7C8-339A-49E9-8EA9-D90EA9F1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4820</Words>
  <Characters>27475</Characters>
  <Application>Microsoft Office Word</Application>
  <DocSecurity>0</DocSecurity>
  <Lines>228</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2019-04-20T06:56:00Z</dcterms:created>
  <dcterms:modified xsi:type="dcterms:W3CDTF">2019-04-20T06:56:00Z</dcterms:modified>
</cp:coreProperties>
</file>