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12" w:space="8"/>
        </w:pBdr>
        <w:spacing w:after="0" w:before="1400"/>
        <w:jc w:val="center"/>
      </w:pPr>
      <w:r>
        <w:rPr>
          <w:b/>
          <w:bCs/>
          <w:color w:val="1F4E79"/>
          <w:sz w:val="56"/>
          <w:szCs w:val="56"/>
        </w:rPr>
        <w:t xml:space="preserve">MALL PARKING FLOW</w:t>
      </w:r>
    </w:p>
    <w:p>
      <w:pPr>
        <w:spacing w:after="80" w:before="200"/>
        <w:jc w:val="center"/>
      </w:pPr>
      <w:r>
        <w:rPr>
          <w:i/>
          <w:iCs/>
          <w:color w:val="444444"/>
          <w:sz w:val="28"/>
          <w:szCs w:val="28"/>
        </w:rPr>
        <w:t xml:space="preserve">A Discrete-Event Simulation of Entry, Parking &amp; Exit Congestion</w:t>
      </w:r>
    </w:p>
    <w:p>
      <w:pPr>
        <w:spacing w:after="80" w:before="600"/>
        <w:jc w:val="center"/>
      </w:pPr>
      <w:r>
        <w:rPr>
          <w:b/>
          <w:bCs/>
          <w:sz w:val="30"/>
          <w:szCs w:val="30"/>
        </w:rPr>
        <w:t xml:space="preserve">Final Project Report</w:t>
      </w:r>
    </w:p>
    <w:p>
      <w:pPr>
        <w:spacing w:after="700"/>
        <w:jc w:val="center"/>
      </w:pPr>
      <w:r>
        <w:rPr>
          <w:color w:val="2E75B6"/>
          <w:sz w:val="26"/>
          <w:szCs w:val="26"/>
        </w:rPr>
        <w:t xml:space="preserve">CSE 10/L – Modeling and Simulation</w:t>
      </w:r>
    </w:p>
    <w:p>
      <w:pPr>
        <w:spacing w:after="80"/>
      </w:pPr>
      <w:r>
        <w:rPr>
          <w:b/>
          <w:bCs/>
          <w:color w:val="1F4E79"/>
        </w:rPr>
        <w:t xml:space="preserve">Group Members:  </w:t>
      </w:r>
      <w:r>
        <w:rPr>
          <w:color w:val="333333"/>
        </w:rPr>
        <w:t xml:space="preserve">________________________________________</w:t>
      </w:r>
    </w:p>
    <w:p>
      <w:pPr>
        <w:spacing w:after="80"/>
      </w:pPr>
      <w:r>
        <w:rPr>
          <w:color w:val="333333"/>
        </w:rPr>
        <w:t xml:space="preserve">                                ________________________________________</w:t>
      </w:r>
    </w:p>
    <w:p>
      <w:pPr>
        <w:spacing w:after="80"/>
      </w:pPr>
      <w:r>
        <w:rPr>
          <w:color w:val="333333"/>
        </w:rPr>
        <w:t xml:space="preserve">                                ________________________________________</w:t>
      </w:r>
    </w:p>
    <w:p>
      <w:pPr>
        <w:spacing w:after="80"/>
      </w:pPr>
      <w:r>
        <w:rPr>
          <w:b/>
          <w:bCs/>
          <w:color w:val="1F4E79"/>
        </w:rPr>
        <w:t xml:space="preserve">Instructor:  </w:t>
      </w:r>
      <w:r>
        <w:rPr>
          <w:color w:val="333333"/>
        </w:rPr>
        <w:t xml:space="preserve">________________________________________</w:t>
      </w:r>
    </w:p>
    <w:p>
      <w:pPr>
        <w:spacing w:after="80"/>
      </w:pPr>
      <w:r>
        <w:rPr>
          <w:b/>
          <w:bCs/>
          <w:color w:val="1F4E79"/>
        </w:rPr>
        <w:t xml:space="preserve">Section:  </w:t>
      </w:r>
      <w:r>
        <w:rPr>
          <w:color w:val="333333"/>
        </w:rPr>
        <w:t xml:space="preserve">____________________</w:t>
      </w:r>
    </w:p>
    <w:p>
      <w:pPr>
        <w:spacing w:after="80"/>
      </w:pPr>
      <w:r>
        <w:rPr>
          <w:b/>
          <w:bCs/>
          <w:color w:val="1F4E79"/>
        </w:rPr>
        <w:t xml:space="preserve">Date:  </w:t>
      </w:r>
      <w:r>
        <w:rPr>
          <w:color w:val="333333"/>
        </w:rPr>
        <w:t xml:space="preserve">____________________</w:t>
      </w:r>
    </w:p>
    <w:p>
      <w:pPr>
        <w:spacing w:before="900"/>
        <w:jc w:val="center"/>
      </w:pPr>
      <w:r>
        <w:rPr>
          <w:color w:val="777777"/>
          <w:sz w:val="18"/>
          <w:szCs w:val="18"/>
        </w:rPr>
        <w:t xml:space="preserve">Department of Arts and Sciences Education · Computer Science Program</w:t>
      </w:r>
    </w:p>
    <w:p>
      <w:pPr>
        <w:jc w:val="center"/>
      </w:pPr>
      <w:r>
        <w:rPr>
          <w:color w:val="777777"/>
          <w:sz w:val="18"/>
          <w:szCs w:val="18"/>
        </w:rPr>
        <w:t xml:space="preserve">UM Visayan Campus, Visayan Village, Tagum City, Davao del Norte</w:t>
      </w:r>
    </w:p>
    <w:p>
      <w:r>
        <w:br w:type="page"/>
      </w:r>
    </w:p>
    <w:p>
      <w:pPr>
        <w:sectPr>
          <w:pgSz w:w="12240" w:h="15840" w:orient="portrait"/>
          <w:pgMar w:top="1440" w:right="1440" w:bottom="1440" w:left="1440" w:header="708" w:footer="708" w:gutter="0"/>
          <w:pgNumType/>
          <w:docGrid w:linePitch="360"/>
        </w:sectPr>
      </w:pPr>
    </w:p>
    <w:p>
      <w:pPr>
        <w:spacing w:after="160"/>
      </w:pPr>
      <w:r>
        <w:rPr>
          <w:b/>
          <w:bCs/>
          <w:color w:val="1F4E79"/>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20" w:line="276"/>
      </w:pPr>
      <w:r>
        <w:rPr>
          <w:b/>
          <w:bCs/>
        </w:rPr>
        <w:t xml:space="preserve">Project title:</w:t>
      </w:r>
      <w:r>
        <w:t xml:space="preserve"> Mall Parking Flow — A Discrete-Event Simulation of Entry, Parking, and Exit Congestion.</w:t>
      </w:r>
    </w:p>
    <w:p>
      <w:pPr>
        <w:spacing w:after="120" w:line="276"/>
      </w:pPr>
      <w:r>
        <w:rPr>
          <w:b/>
          <w:bCs/>
        </w:rPr>
        <w:t xml:space="preserve">Background.</w:t>
      </w:r>
      <w:r>
        <w:t xml:space="preserve"> A mall parking lot is a queuing system. Vehicles arrive over time, wait at an </w:t>
      </w:r>
      <w:r>
        <w:rPr>
          <w:b/>
          <w:bCs/>
        </w:rPr>
        <w:t xml:space="preserve">entry gate</w:t>
      </w:r>
      <w:r>
        <w:t xml:space="preserve">, search for and occupy a </w:t>
      </w:r>
      <w:r>
        <w:rPr>
          <w:b/>
          <w:bCs/>
        </w:rPr>
        <w:t xml:space="preserve">parking slot</w:t>
      </w:r>
      <w:r>
        <w:t xml:space="preserve">, dwell while their drivers shop, and later queue at an </w:t>
      </w:r>
      <w:r>
        <w:rPr>
          <w:b/>
          <w:bCs/>
        </w:rPr>
        <w:t xml:space="preserve">exit gate</w:t>
      </w:r>
      <w:r>
        <w:t xml:space="preserve"> to leave. Each gate lane can serve only one vehicle at a time, and the lot has finite capacity, so congestion (queues) forms whenever demand outpaces service.</w:t>
      </w:r>
    </w:p>
    <w:p>
      <w:pPr>
        <w:spacing w:after="120" w:line="276"/>
      </w:pPr>
      <w:r>
        <w:t xml:space="preserve">This project models that system with </w:t>
      </w:r>
      <w:r>
        <w:rPr>
          <w:b/>
          <w:bCs/>
        </w:rPr>
        <w:t xml:space="preserve">discrete-event simulation (DES)</w:t>
      </w:r>
      <w:r>
        <w:t xml:space="preserve"> using Python + </w:t>
      </w:r>
      <w:r>
        <w:rPr>
          <w:b/>
          <w:bCs/>
        </w:rPr>
        <w:t xml:space="preserve">SimPy</w:t>
      </w:r>
      <w:r>
        <w:t xml:space="preserve">, and visualizes it in a top-down browser dashboard so the behavior can be observed over time and measured. The system is configured along two independent axes:</w:t>
      </w:r>
    </w:p>
    <w:p>
      <w:pPr>
        <w:pStyle w:val="ListParagraph"/>
        <w:numPr>
          <w:ilvl w:val="0"/>
          <w:numId w:val="2"/>
        </w:numPr>
        <w:spacing w:after="60"/>
      </w:pPr>
      <w:r>
        <w:rPr>
          <w:b/>
          <w:bCs/>
        </w:rPr>
        <w:t xml:space="preserve">Scenario (demand profile)</w:t>
      </w:r>
      <w:r>
        <w:t xml:space="preserve"> — how busy the lot is and how fast gates serve: number of vehicles, arrival pattern, usable slots, and entry/exit service times.</w:t>
      </w:r>
    </w:p>
    <w:p>
      <w:pPr>
        <w:pStyle w:val="ListParagraph"/>
        <w:numPr>
          <w:ilvl w:val="0"/>
          <w:numId w:val="2"/>
        </w:numPr>
        <w:spacing w:after="60"/>
      </w:pPr>
      <w:r>
        <w:rPr>
          <w:b/>
          <w:bCs/>
        </w:rPr>
        <w:t xml:space="preserve">Map (gate layout)</w:t>
      </w:r>
      <w:r>
        <w:t xml:space="preserve"> — the physical lot: how many entry gates and exit gates exist (1 or 2 of each). The map sets the gate resource capacity; the scenario sets the load on it.</w:t>
      </w:r>
    </w:p>
    <w:p>
      <w:pPr>
        <w:spacing w:after="120" w:line="276"/>
      </w:pPr>
      <w:r>
        <w:t xml:space="preserve">Separating these axes lets us answer the classic operations question — “one cashier vs. two cashiers?” — by running the same demand on a one-gate map and a two-gate map and comparing.</w:t>
      </w:r>
    </w:p>
    <w:p>
      <w:pPr>
        <w:spacing w:after="120" w:line="276"/>
      </w:pPr>
      <w:r>
        <w:rPr>
          <w:b/>
          <w:bCs/>
        </w:rPr>
        <w:t xml:space="preserve">Importance.</w:t>
      </w:r>
      <w:r>
        <w:t xml:space="preserve"> Parking congestion affects customer experience, safety, and mall throughput. Simulation lets us test “what if” changes (more demand, fewer slots, slower gates, an extra gate lane) without rebuilding the real lot, and quantify their impact on waiting time, queue length, throughput, and resource utilization.</w:t>
      </w:r>
    </w:p>
    <w:p>
      <w:pPr>
        <w:pBdr>
          <w:bottom w:val="single" w:color="2E75B6" w:sz="6" w:space="1"/>
        </w:pBdr>
        <w:spacing w:after="200" w:before="80"/>
      </w:pPr>
      <w:r>
        <w:t xml:space="preserve"/>
      </w:r>
    </w:p>
    <w:p>
      <w:pPr>
        <w:pStyle w:val="Heading1"/>
      </w:pPr>
      <w:r>
        <w:t xml:space="preserve">2. Problem Definition</w:t>
      </w:r>
    </w:p>
    <w:p>
      <w:pPr>
        <w:spacing w:after="120" w:line="276"/>
      </w:pPr>
      <w:r>
        <w:rPr>
          <w:b/>
          <w:bCs/>
        </w:rPr>
        <w:t xml:space="preserve">Problem.</w:t>
      </w:r>
      <w:r>
        <w:t xml:space="preserve"> Mall visitors experience delays at two bottlenecks: the </w:t>
      </w:r>
      <w:r>
        <w:rPr>
          <w:b/>
          <w:bCs/>
        </w:rPr>
        <w:t xml:space="preserve">entry gate</w:t>
      </w:r>
      <w:r>
        <w:t xml:space="preserve"> (a queue builds when arrivals cluster or the gate is slow) and the </w:t>
      </w:r>
      <w:r>
        <w:rPr>
          <w:b/>
          <w:bCs/>
        </w:rPr>
        <w:t xml:space="preserve">exit gate</w:t>
      </w:r>
      <w:r>
        <w:t xml:space="preserve"> (a queue builds when many vehicles leave at once or exit processing is slow). When the lot is full, vehicles are </w:t>
      </w:r>
      <w:r>
        <w:rPr>
          <w:b/>
          <w:bCs/>
        </w:rPr>
        <w:t xml:space="preserve">denied</w:t>
      </w:r>
      <w:r>
        <w:t xml:space="preserve"> entry entirely.</w:t>
      </w:r>
    </w:p>
    <w:p>
      <w:pPr>
        <w:spacing w:after="120" w:line="276"/>
      </w:pPr>
      <w:r>
        <w:rPr>
          <w:b/>
          <w:bCs/>
        </w:rPr>
        <w:t xml:space="preserve">Why it matters.</w:t>
      </w:r>
      <w:r>
        <w:t xml:space="preserve"> Long waits frustrate customers and can spill back onto public roads; denials represent lost visits. Management needs to know which bottleneck dominates under different conditions, how sensitive waiting time is to capacity and gate speed, and whether adding a second gate lane is worth it.</w:t>
      </w:r>
    </w:p>
    <w:p>
      <w:pPr>
        <w:spacing w:after="120" w:line="276"/>
      </w:pPr>
      <w:r>
        <w:rPr>
          <w:b/>
          <w:bCs/>
        </w:rPr>
        <w:t xml:space="preserve">What the simulation analyzes.</w:t>
      </w:r>
      <w:r>
        <w:t xml:space="preserve"> For each operating condition (a scenario run on a chosen map), the model measures average waiting time, queue lengths, throughput, gate utilization, and processing time, and lets us compare conditions to identify the limiting resource and the effect of adding gate capacity.</w:t>
      </w:r>
    </w:p>
    <w:p>
      <w:pPr>
        <w:pBdr>
          <w:bottom w:val="single" w:color="2E75B6" w:sz="6" w:space="1"/>
        </w:pBdr>
        <w:spacing w:after="200" w:before="80"/>
      </w:pPr>
      <w:r>
        <w:t xml:space="preserve"/>
      </w:r>
    </w:p>
    <w:p>
      <w:pPr>
        <w:pStyle w:val="Heading1"/>
      </w:pPr>
      <w:r>
        <w:t xml:space="preserve">3. Objectives</w:t>
      </w:r>
    </w:p>
    <w:p>
      <w:pPr>
        <w:pStyle w:val="ListParagraph"/>
        <w:numPr>
          <w:ilvl w:val="0"/>
          <w:numId w:val="3"/>
        </w:numPr>
        <w:spacing w:after="60"/>
      </w:pPr>
      <w:r>
        <w:rPr>
          <w:b/>
          <w:bCs/>
        </w:rPr>
        <w:t xml:space="preserve">Analyze queue performance</w:t>
      </w:r>
      <w:r>
        <w:t xml:space="preserve"> at the entry and exit gates (waiting time and queue length).</w:t>
      </w:r>
    </w:p>
    <w:p>
      <w:pPr>
        <w:pStyle w:val="ListParagraph"/>
        <w:numPr>
          <w:ilvl w:val="0"/>
          <w:numId w:val="3"/>
        </w:numPr>
        <w:spacing w:after="60"/>
      </w:pPr>
      <w:r>
        <w:rPr>
          <w:b/>
          <w:bCs/>
        </w:rPr>
        <w:t xml:space="preserve">Measure resource utilization</w:t>
      </w:r>
      <w:r>
        <w:t xml:space="preserve"> of the entry gate(s), exit gate(s), and parking capacity.</w:t>
      </w:r>
    </w:p>
    <w:p>
      <w:pPr>
        <w:pStyle w:val="ListParagraph"/>
        <w:numPr>
          <w:ilvl w:val="0"/>
          <w:numId w:val="3"/>
        </w:numPr>
        <w:spacing w:after="60"/>
      </w:pPr>
      <w:r>
        <w:rPr>
          <w:b/>
          <w:bCs/>
        </w:rPr>
        <w:t xml:space="preserve">Quantify throughput</w:t>
      </w:r>
      <w:r>
        <w:t xml:space="preserve"> (vehicles completed per hour) and total time-in-system.</w:t>
      </w:r>
    </w:p>
    <w:p>
      <w:pPr>
        <w:pStyle w:val="ListParagraph"/>
        <w:numPr>
          <w:ilvl w:val="0"/>
          <w:numId w:val="3"/>
        </w:numPr>
        <w:spacing w:after="60"/>
      </w:pPr>
      <w:r>
        <w:rPr>
          <w:b/>
          <w:bCs/>
        </w:rPr>
        <w:t xml:space="preserve">Compare operational scenarios</w:t>
      </w:r>
      <w:r>
        <w:t xml:space="preserve"> — different arrival patterns, reduced capacity, slow entry service, and slow exit service — to identify and explain the dominant bottleneck in each.</w:t>
      </w:r>
    </w:p>
    <w:p>
      <w:pPr>
        <w:pStyle w:val="ListParagraph"/>
        <w:numPr>
          <w:ilvl w:val="0"/>
          <w:numId w:val="3"/>
        </w:numPr>
        <w:spacing w:after="60"/>
      </w:pPr>
      <w:r>
        <w:rPr>
          <w:b/>
          <w:bCs/>
        </w:rPr>
        <w:t xml:space="preserve">Compare gate configurations</w:t>
      </w:r>
      <w:r>
        <w:t xml:space="preserve"> — run the same demand on one-gate vs. two-gate maps to measure the benefit of adding an entry or exit lane (“one cashier vs. two cashiers”).</w:t>
      </w:r>
    </w:p>
    <w:p>
      <w:pPr>
        <w:pBdr>
          <w:bottom w:val="single" w:color="2E75B6" w:sz="6" w:space="1"/>
        </w:pBdr>
        <w:spacing w:after="200" w:before="80"/>
      </w:pPr>
      <w:r>
        <w:t xml:space="preserve"/>
      </w:r>
    </w:p>
    <w:p>
      <w:pPr>
        <w:pStyle w:val="Heading1"/>
      </w:pPr>
      <w:r>
        <w:t xml:space="preserve">4. System Model and Design</w:t>
      </w:r>
    </w:p>
    <w:p>
      <w:pPr>
        <w:spacing w:after="120" w:line="276"/>
      </w:pPr>
      <w:r>
        <w:rPr>
          <w:b/>
          <w:bCs/>
        </w:rPr>
        <w:t xml:space="preserve">Simulation type:</w:t>
      </w:r>
      <w:r>
        <w:t xml:space="preserve"> discrete-event, single replication per (scenario × map), deterministic (seeded RNG).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7D2DD" w:sz="1"/>
              <w:left w:val="single" w:color="C7D2DD" w:sz="1"/>
              <w:bottom w:val="single" w:color="C7D2DD" w:sz="1"/>
              <w:right w:val="single" w:color="C7D2DD" w:sz="1"/>
            </w:tcBorders>
            <w:shd w:fill="1F4E79" w:val="clear"/>
            <w:tcMar>
              <w:top w:type="dxa" w:w="60"/>
              <w:left w:type="dxa" w:w="110"/>
              <w:bottom w:type="dxa" w:w="60"/>
              <w:right w:type="dxa" w:w="110"/>
            </w:tcMar>
            <w:vAlign w:val="center"/>
          </w:tcPr>
          <w:p>
            <w:pPr>
              <w:spacing w:after="0" w:line="252"/>
              <w:jc w:val="left"/>
            </w:pPr>
            <w:r>
              <w:rPr>
                <w:b/>
                <w:bCs/>
                <w:color w:val="FFFFFF"/>
              </w:rPr>
              <w:t xml:space="preserve">DES element</w:t>
            </w:r>
          </w:p>
        </w:tc>
        <w:tc>
          <w:tcPr>
            <w:tcW w:type="dxa" w:w="7460"/>
            <w:tcBorders>
              <w:top w:val="single" w:color="C7D2DD" w:sz="1"/>
              <w:left w:val="single" w:color="C7D2DD" w:sz="1"/>
              <w:bottom w:val="single" w:color="C7D2DD" w:sz="1"/>
              <w:right w:val="single" w:color="C7D2DD" w:sz="1"/>
            </w:tcBorders>
            <w:shd w:fill="1F4E79" w:val="clear"/>
            <w:tcMar>
              <w:top w:type="dxa" w:w="60"/>
              <w:left w:type="dxa" w:w="110"/>
              <w:bottom w:type="dxa" w:w="60"/>
              <w:right w:type="dxa" w:w="110"/>
            </w:tcMar>
            <w:vAlign w:val="center"/>
          </w:tcPr>
          <w:p>
            <w:pPr>
              <w:spacing w:after="0" w:line="252"/>
              <w:jc w:val="center"/>
            </w:pPr>
            <w:r>
              <w:rPr>
                <w:b/>
                <w:bCs/>
                <w:color w:val="FFFFFF"/>
              </w:rPr>
              <w:t xml:space="preserve">In this model</w:t>
            </w:r>
          </w:p>
        </w:tc>
      </w:tr>
      <w:tr>
        <w:trPr>
          <w:tblHeader w:val="false"/>
        </w:trPr>
        <w:tc>
          <w:tcPr>
            <w:tcW w:type="dxa" w:w="19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left"/>
            </w:pPr>
            <w:r>
              <w:t xml:space="preserve">Entities</w:t>
            </w:r>
          </w:p>
        </w:tc>
        <w:tc>
          <w:tcPr>
            <w:tcW w:type="dxa" w:w="746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Vehicles (cars and motorcycles), each with an arrival time, a type, and — on multi-gate maps — an assigned entrance/exit lane.</w:t>
            </w:r>
          </w:p>
        </w:tc>
      </w:tr>
      <w:tr>
        <w:trPr>
          <w:tblHeader w:val="false"/>
        </w:trPr>
        <w:tc>
          <w:tcPr>
            <w:tcW w:type="dxa" w:w="19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left"/>
            </w:pPr>
            <w:r>
              <w:t xml:space="preserve">Events</w:t>
            </w:r>
          </w:p>
        </w:tc>
        <w:tc>
          <w:tcPr>
            <w:tcW w:type="dxa" w:w="746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Arrival, join entry queue, entry-gate service start/end, gate crossing, slot search start/end (park), dwell end (exit request), exit-gate service start/end, gate crossing, departure (done).</w:t>
            </w:r>
          </w:p>
        </w:tc>
      </w:tr>
      <w:tr>
        <w:trPr>
          <w:tblHeader w:val="false"/>
        </w:trPr>
        <w:tc>
          <w:tcPr>
            <w:tcW w:type="dxa" w:w="19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left"/>
            </w:pPr>
            <w:r>
              <w:t xml:space="preserve">Resources</w:t>
            </w:r>
          </w:p>
        </w:tc>
        <w:tc>
          <w:tcPr>
            <w:tcW w:type="dxa" w:w="746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Entry gate(s) (simpy.Resource, capacity = entry-gate count), exit gate(s) (one resource per exit lane), and parking slots (typed pools: car slots and motorcycle slots).</w:t>
            </w:r>
          </w:p>
        </w:tc>
      </w:tr>
      <w:tr>
        <w:trPr>
          <w:tblHeader w:val="false"/>
        </w:trPr>
        <w:tc>
          <w:tcPr>
            <w:tcW w:type="dxa" w:w="19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left"/>
            </w:pPr>
            <w:r>
              <w:t xml:space="preserve">Queues</w:t>
            </w:r>
          </w:p>
        </w:tc>
        <w:tc>
          <w:tcPr>
            <w:tcW w:type="dxa" w:w="746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Entry queue(s) (FIFO before each entry gate) and exit queue(s) (FIFO before each exit gate).</w:t>
            </w:r>
          </w:p>
        </w:tc>
      </w:tr>
      <w:tr>
        <w:trPr>
          <w:tblHeader w:val="false"/>
        </w:trPr>
        <w:tc>
          <w:tcPr>
            <w:tcW w:type="dxa" w:w="19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left"/>
            </w:pPr>
            <w:r>
              <w:t xml:space="preserve">State variables</w:t>
            </w:r>
          </w:p>
        </w:tc>
        <w:tc>
          <w:tcPr>
            <w:tcW w:type="dxa" w:w="746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Per-vehicle state (11 states), number queued at each gate, slots occupied / free / targeted, denied count, completed count, simulation clock.</w:t>
            </w:r>
          </w:p>
        </w:tc>
      </w:tr>
    </w:tbl>
    <w:p>
      <w:pPr>
        <w:spacing w:after="200" w:before="60"/>
      </w:pPr>
      <w:r>
        <w:rPr>
          <w:i/>
          <w:iCs/>
          <w:color w:val="5A6B7B"/>
          <w:sz w:val="18"/>
          <w:szCs w:val="18"/>
        </w:rPr>
        <w:t xml:space="preserve">Table 1. Discrete-event model elements.</w:t>
      </w:r>
    </w:p>
    <w:p>
      <w:pPr>
        <w:pStyle w:val="Heading2"/>
      </w:pPr>
      <w:r>
        <w:t xml:space="preserve">Two configuration axes</w:t>
      </w:r>
    </w:p>
    <w:p>
      <w:pPr>
        <w:pStyle w:val="ListParagraph"/>
        <w:numPr>
          <w:ilvl w:val="0"/>
          <w:numId w:val="2"/>
        </w:numPr>
        <w:spacing w:after="60"/>
      </w:pPr>
      <w:r>
        <w:rPr>
          <w:b/>
          <w:bCs/>
        </w:rPr>
        <w:t xml:space="preserve">Scenario</w:t>
      </w:r>
      <w:r>
        <w:t xml:space="preserve"> selects a demand profile (vehicles, arrival pattern, usable slots, entry/exit service times). Five scenarios are provided (see Section 5).</w:t>
      </w:r>
    </w:p>
    <w:p>
      <w:pPr>
        <w:pStyle w:val="ListParagraph"/>
        <w:numPr>
          <w:ilvl w:val="0"/>
          <w:numId w:val="2"/>
        </w:numPr>
        <w:spacing w:after="60"/>
      </w:pPr>
      <w:r>
        <w:rPr>
          <w:b/>
          <w:bCs/>
        </w:rPr>
        <w:t xml:space="preserve">Map</w:t>
      </w:r>
      <w:r>
        <w:t xml:space="preserve"> selects a gate layout. Four maps are formed by crossing {1, 2} entry gates with {1, 2} exit gates: </w:t>
      </w:r>
      <w:r>
        <w:rPr>
          <w:rFonts w:ascii="Consolas" w:cs="Consolas" w:eastAsia="Consolas" w:hAnsi="Consolas"/>
        </w:rPr>
        <w:t xml:space="preserve">one_entrance_one_exit</w:t>
      </w:r>
      <w:r>
        <w:t xml:space="preserve">, </w:t>
      </w:r>
      <w:r>
        <w:rPr>
          <w:rFonts w:ascii="Consolas" w:cs="Consolas" w:eastAsia="Consolas" w:hAnsi="Consolas"/>
        </w:rPr>
        <w:t xml:space="preserve">two_entrance_one_exit</w:t>
      </w:r>
      <w:r>
        <w:t xml:space="preserve">, </w:t>
      </w:r>
      <w:r>
        <w:rPr>
          <w:rFonts w:ascii="Consolas" w:cs="Consolas" w:eastAsia="Consolas" w:hAnsi="Consolas"/>
        </w:rPr>
        <w:t xml:space="preserve">one_entrance_two_exit</w:t>
      </w:r>
      <w:r>
        <w:t xml:space="preserve">, </w:t>
      </w:r>
      <w:r>
        <w:rPr>
          <w:rFonts w:ascii="Consolas" w:cs="Consolas" w:eastAsia="Consolas" w:hAnsi="Consolas"/>
        </w:rPr>
        <w:t xml:space="preserve">two_entrance_two_exit</w:t>
      </w:r>
      <w:r>
        <w:t xml:space="preserve">. The map sets the SimPy resource capacity at each gate and the background image; a two-gate map splits arrivals/departures across two lanes.</w:t>
      </w:r>
    </w:p>
    <w:p>
      <w:pPr>
        <w:pStyle w:val="Heading2"/>
      </w:pPr>
      <w:r>
        <w:t xml:space="preserve">Vehicle lifecycle (state machine)</w:t>
      </w:r>
    </w:p>
    <w:p>
      <w:pPr>
        <w:spacing w:after="120" w:line="276"/>
      </w:pPr>
      <w:r>
        <w:rPr>
          <w:rFonts w:ascii="Consolas" w:cs="Consolas" w:eastAsia="Consolas" w:hAnsi="Consolas"/>
        </w:rPr>
        <w:t xml:space="preserve">scheduled → entry_queue → approaching_gate → gate_wait → gate_crossing → searching → parked → exit_queue → exiting → done</w:t>
      </w:r>
      <w:r>
        <w:t xml:space="preserve">, with a </w:t>
      </w:r>
      <w:r>
        <w:rPr>
          <w:b/>
          <w:bCs/>
        </w:rPr>
        <w:t xml:space="preserve">denied</w:t>
      </w:r>
      <w:r>
        <w:t xml:space="preserve"> branch (</w:t>
      </w:r>
      <w:r>
        <w:rPr>
          <w:rFonts w:ascii="Consolas" w:cs="Consolas" w:eastAsia="Consolas" w:hAnsi="Consolas"/>
        </w:rPr>
        <w:t xml:space="preserve">gate_crossing → denied → exit_queue → … → done</w:t>
      </w:r>
      <w:r>
        <w:t xml:space="preserve">) when no compatible slot is free. The full flowchart is in flowchart.md; the conceptual architecture is in architecture.md.</w:t>
      </w:r>
    </w:p>
    <w:p>
      <w:pPr>
        <w:spacing w:after="120" w:line="276"/>
      </w:pPr>
      <w:r>
        <w:rPr>
          <w:b/>
          <w:bCs/>
        </w:rPr>
        <w:t xml:space="preserve">Behavior over time.</w:t>
      </w:r>
      <w:r>
        <w:t xml:space="preserve"> The server runs one full simulation per (scenario, map) and records a timeline of frames (snapshots every 0.05 simulated minutes). The browser replays the frames, so reviewers watch queues form and drain, slots fill, and gates open/close, while summary metrics are computed from the per-vehicle event timestamps.</w:t>
      </w:r>
    </w:p>
    <w:p>
      <w:pPr>
        <w:spacing w:after="120" w:line="276"/>
      </w:pPr>
      <w:r>
        <w:rPr>
          <w:b/>
          <w:bCs/>
        </w:rPr>
        <w:t xml:space="preserve">Implementation:</w:t>
      </w:r>
      <w:r>
        <w:t xml:space="preserve"> </w:t>
      </w:r>
      <w:r>
        <w:rPr>
          <w:rFonts w:ascii="Consolas" w:cs="Consolas" w:eastAsia="Consolas" w:hAnsi="Consolas"/>
        </w:rPr>
        <w:t xml:space="preserve">app/simulation.py</w:t>
      </w:r>
      <w:r>
        <w:t xml:space="preserve"> (model, paths, metrics), </w:t>
      </w:r>
      <w:r>
        <w:rPr>
          <w:rFonts w:ascii="Consolas" w:cs="Consolas" w:eastAsia="Consolas" w:hAnsi="Consolas"/>
        </w:rPr>
        <w:t xml:space="preserve">app/api.py</w:t>
      </w:r>
      <w:r>
        <w:t xml:space="preserve"> (JSON API), </w:t>
      </w:r>
      <w:r>
        <w:rPr>
          <w:rFonts w:ascii="Consolas" w:cs="Consolas" w:eastAsia="Consolas" w:hAnsi="Consolas"/>
        </w:rPr>
        <w:t xml:space="preserve">app/static/</w:t>
      </w:r>
      <w:r>
        <w:t xml:space="preserve"> (dashboard).</w:t>
      </w:r>
    </w:p>
    <w:p>
      <w:pPr>
        <w:pBdr>
          <w:bottom w:val="single" w:color="2E75B6" w:sz="6" w:space="1"/>
        </w:pBdr>
        <w:spacing w:after="200" w:before="80"/>
      </w:pPr>
      <w:r>
        <w:t xml:space="preserve"/>
      </w:r>
    </w:p>
    <w:p>
      <w:pPr>
        <w:pStyle w:val="Heading1"/>
      </w:pPr>
      <w:r>
        <w:t xml:space="preserve">5. Assumptions and Input Data</w:t>
      </w:r>
    </w:p>
    <w:p>
      <w:pPr>
        <w:pStyle w:val="Heading2"/>
      </w:pPr>
      <w:r>
        <w:t xml:space="preserve">Assumptions</w:t>
      </w:r>
    </w:p>
    <w:p>
      <w:pPr>
        <w:pStyle w:val="ListParagraph"/>
        <w:numPr>
          <w:ilvl w:val="0"/>
          <w:numId w:val="2"/>
        </w:numPr>
        <w:spacing w:after="60"/>
      </w:pPr>
      <w:r>
        <w:t xml:space="preserve">One deterministic, seeded run represents each scenario, so results are repeatable for review and testing (different seeds would give one sample of natural variation).</w:t>
      </w:r>
    </w:p>
    <w:p>
      <w:pPr>
        <w:pStyle w:val="ListParagraph"/>
        <w:numPr>
          <w:ilvl w:val="0"/>
          <w:numId w:val="2"/>
        </w:numPr>
        <w:spacing w:after="60"/>
      </w:pPr>
      <w:r>
        <w:t xml:space="preserve">Each gate lane serves one vehicle at a time (capacity 1 per lane); queue discipline is FIFO. A two-gate map = two parallel single-server lanes.</w:t>
      </w:r>
    </w:p>
    <w:p>
      <w:pPr>
        <w:pStyle w:val="ListParagraph"/>
        <w:numPr>
          <w:ilvl w:val="0"/>
          <w:numId w:val="2"/>
        </w:numPr>
        <w:spacing w:after="60"/>
      </w:pPr>
      <w:r>
        <w:t xml:space="preserve">Cars use car slots; motorcycles use motorcycle slots; a vehicle is </w:t>
      </w:r>
      <w:r>
        <w:rPr>
          <w:b/>
          <w:bCs/>
        </w:rPr>
        <w:t xml:space="preserve">denied</w:t>
      </w:r>
      <w:r>
        <w:t xml:space="preserve"> if no compatible slot is free when it reaches the gate.</w:t>
      </w:r>
    </w:p>
    <w:p>
      <w:pPr>
        <w:pStyle w:val="ListParagraph"/>
        <w:numPr>
          <w:ilvl w:val="0"/>
          <w:numId w:val="2"/>
        </w:numPr>
        <w:spacing w:after="60"/>
      </w:pPr>
      <w:r>
        <w:t xml:space="preserve">On multi-gate maps, arriving/departing vehicles are split evenly (alternating) across the two lanes.</w:t>
      </w:r>
    </w:p>
    <w:p>
      <w:pPr>
        <w:pStyle w:val="ListParagraph"/>
        <w:numPr>
          <w:ilvl w:val="0"/>
          <w:numId w:val="2"/>
        </w:numPr>
        <w:spacing w:after="60"/>
      </w:pPr>
      <w:r>
        <w:t xml:space="preserve">Vehicles follow fixed, readable lanes (the model abstracts away free-form driving physics).</w:t>
      </w:r>
    </w:p>
    <w:p>
      <w:pPr>
        <w:pStyle w:val="ListParagraph"/>
        <w:numPr>
          <w:ilvl w:val="0"/>
          <w:numId w:val="2"/>
        </w:numPr>
        <w:spacing w:after="60"/>
      </w:pPr>
      <w:r>
        <w:t xml:space="preserve">Search time grows with occupancy (a fuller lot takes longer to find a space).</w:t>
      </w:r>
    </w:p>
    <w:p>
      <w:pPr>
        <w:pStyle w:val="Heading2"/>
      </w:pPr>
      <w:r>
        <w:t xml:space="preserve">Basis of input data</w:t>
      </w:r>
    </w:p>
    <w:p>
      <w:pPr>
        <w:spacing w:after="120" w:line="276"/>
      </w:pPr>
      <w:r>
        <w:t xml:space="preserve">No field data was available, so arrival times and service/dwell times are generated from a seeded RNG within ranges chosen to produce realistic, observable mall behavior. Each scenario changes only a few parameters from the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60"/>
        <w:gridCol w:w="1700"/>
        <w:gridCol w:w="2000"/>
        <w:gridCol w:w="1300"/>
        <w:gridCol w:w="1300"/>
      </w:tblGrid>
      <w:tr>
        <w:trPr>
          <w:tblHeader/>
        </w:trPr>
        <w:tc>
          <w:tcPr>
            <w:tcW w:type="dxa" w:w="1900"/>
            <w:tcBorders>
              <w:top w:val="single" w:color="C7D2DD" w:sz="1"/>
              <w:left w:val="single" w:color="C7D2DD" w:sz="1"/>
              <w:bottom w:val="single" w:color="C7D2DD" w:sz="1"/>
              <w:right w:val="single" w:color="C7D2DD" w:sz="1"/>
            </w:tcBorders>
            <w:shd w:fill="1F4E79" w:val="clear"/>
            <w:tcMar>
              <w:top w:type="dxa" w:w="60"/>
              <w:left w:type="dxa" w:w="110"/>
              <w:bottom w:type="dxa" w:w="60"/>
              <w:right w:type="dxa" w:w="110"/>
            </w:tcMar>
            <w:vAlign w:val="center"/>
          </w:tcPr>
          <w:p>
            <w:pPr>
              <w:spacing w:after="0" w:line="252"/>
              <w:jc w:val="left"/>
            </w:pPr>
            <w:r>
              <w:rPr>
                <w:b/>
                <w:bCs/>
                <w:color w:val="FFFFFF"/>
              </w:rPr>
              <w:t xml:space="preserve">Scenario</w:t>
            </w:r>
          </w:p>
        </w:tc>
        <w:tc>
          <w:tcPr>
            <w:tcW w:type="dxa" w:w="1160"/>
            <w:tcBorders>
              <w:top w:val="single" w:color="C7D2DD" w:sz="1"/>
              <w:left w:val="single" w:color="C7D2DD" w:sz="1"/>
              <w:bottom w:val="single" w:color="C7D2DD" w:sz="1"/>
              <w:right w:val="single" w:color="C7D2DD" w:sz="1"/>
            </w:tcBorders>
            <w:shd w:fill="1F4E79" w:val="clear"/>
            <w:tcMar>
              <w:top w:type="dxa" w:w="60"/>
              <w:left w:type="dxa" w:w="110"/>
              <w:bottom w:type="dxa" w:w="60"/>
              <w:right w:type="dxa" w:w="110"/>
            </w:tcMar>
            <w:vAlign w:val="center"/>
          </w:tcPr>
          <w:p>
            <w:pPr>
              <w:spacing w:after="0" w:line="252"/>
              <w:jc w:val="center"/>
            </w:pPr>
            <w:r>
              <w:rPr>
                <w:b/>
                <w:bCs/>
                <w:color w:val="FFFFFF"/>
              </w:rPr>
              <w:t xml:space="preserve">Vehicles</w:t>
            </w:r>
          </w:p>
        </w:tc>
        <w:tc>
          <w:tcPr>
            <w:tcW w:type="dxa" w:w="1700"/>
            <w:tcBorders>
              <w:top w:val="single" w:color="C7D2DD" w:sz="1"/>
              <w:left w:val="single" w:color="C7D2DD" w:sz="1"/>
              <w:bottom w:val="single" w:color="C7D2DD" w:sz="1"/>
              <w:right w:val="single" w:color="C7D2DD" w:sz="1"/>
            </w:tcBorders>
            <w:shd w:fill="1F4E79" w:val="clear"/>
            <w:tcMar>
              <w:top w:type="dxa" w:w="60"/>
              <w:left w:type="dxa" w:w="110"/>
              <w:bottom w:type="dxa" w:w="60"/>
              <w:right w:type="dxa" w:w="110"/>
            </w:tcMar>
            <w:vAlign w:val="center"/>
          </w:tcPr>
          <w:p>
            <w:pPr>
              <w:spacing w:after="0" w:line="252"/>
              <w:jc w:val="center"/>
            </w:pPr>
            <w:r>
              <w:rPr>
                <w:b/>
                <w:bCs/>
                <w:color w:val="FFFFFF"/>
              </w:rPr>
              <w:t xml:space="preserve">Usable slots</w:t>
            </w:r>
          </w:p>
        </w:tc>
        <w:tc>
          <w:tcPr>
            <w:tcW w:type="dxa" w:w="2000"/>
            <w:tcBorders>
              <w:top w:val="single" w:color="C7D2DD" w:sz="1"/>
              <w:left w:val="single" w:color="C7D2DD" w:sz="1"/>
              <w:bottom w:val="single" w:color="C7D2DD" w:sz="1"/>
              <w:right w:val="single" w:color="C7D2DD" w:sz="1"/>
            </w:tcBorders>
            <w:shd w:fill="1F4E79" w:val="clear"/>
            <w:tcMar>
              <w:top w:type="dxa" w:w="60"/>
              <w:left w:type="dxa" w:w="110"/>
              <w:bottom w:type="dxa" w:w="60"/>
              <w:right w:type="dxa" w:w="110"/>
            </w:tcMar>
            <w:vAlign w:val="center"/>
          </w:tcPr>
          <w:p>
            <w:pPr>
              <w:spacing w:after="0" w:line="252"/>
              <w:jc w:val="center"/>
            </w:pPr>
            <w:r>
              <w:rPr>
                <w:b/>
                <w:bCs/>
                <w:color w:val="FFFFFF"/>
              </w:rPr>
              <w:t xml:space="preserve">Arrival pattern</w:t>
            </w:r>
          </w:p>
        </w:tc>
        <w:tc>
          <w:tcPr>
            <w:tcW w:type="dxa" w:w="1300"/>
            <w:tcBorders>
              <w:top w:val="single" w:color="C7D2DD" w:sz="1"/>
              <w:left w:val="single" w:color="C7D2DD" w:sz="1"/>
              <w:bottom w:val="single" w:color="C7D2DD" w:sz="1"/>
              <w:right w:val="single" w:color="C7D2DD" w:sz="1"/>
            </w:tcBorders>
            <w:shd w:fill="1F4E79" w:val="clear"/>
            <w:tcMar>
              <w:top w:type="dxa" w:w="60"/>
              <w:left w:type="dxa" w:w="110"/>
              <w:bottom w:type="dxa" w:w="60"/>
              <w:right w:type="dxa" w:w="110"/>
            </w:tcMar>
            <w:vAlign w:val="center"/>
          </w:tcPr>
          <w:p>
            <w:pPr>
              <w:spacing w:after="0" w:line="252"/>
              <w:jc w:val="center"/>
            </w:pPr>
            <w:r>
              <w:rPr>
                <w:b/>
                <w:bCs/>
                <w:color w:val="FFFFFF"/>
              </w:rPr>
              <w:t xml:space="preserve">Entry svc (min)</w:t>
            </w:r>
          </w:p>
        </w:tc>
        <w:tc>
          <w:tcPr>
            <w:tcW w:type="dxa" w:w="1300"/>
            <w:tcBorders>
              <w:top w:val="single" w:color="C7D2DD" w:sz="1"/>
              <w:left w:val="single" w:color="C7D2DD" w:sz="1"/>
              <w:bottom w:val="single" w:color="C7D2DD" w:sz="1"/>
              <w:right w:val="single" w:color="C7D2DD" w:sz="1"/>
            </w:tcBorders>
            <w:shd w:fill="1F4E79" w:val="clear"/>
            <w:tcMar>
              <w:top w:type="dxa" w:w="60"/>
              <w:left w:type="dxa" w:w="110"/>
              <w:bottom w:type="dxa" w:w="60"/>
              <w:right w:type="dxa" w:w="110"/>
            </w:tcMar>
            <w:vAlign w:val="center"/>
          </w:tcPr>
          <w:p>
            <w:pPr>
              <w:spacing w:after="0" w:line="252"/>
              <w:jc w:val="center"/>
            </w:pPr>
            <w:r>
              <w:rPr>
                <w:b/>
                <w:bCs/>
                <w:color w:val="FFFFFF"/>
              </w:rPr>
              <w:t xml:space="preserve">Exit svc (min)</w:t>
            </w:r>
          </w:p>
        </w:tc>
      </w:tr>
      <w:tr>
        <w:trPr>
          <w:tblHeader w:val="false"/>
        </w:trPr>
        <w:tc>
          <w:tcPr>
            <w:tcW w:type="dxa" w:w="19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left"/>
            </w:pPr>
            <w:r>
              <w:t xml:space="preserve">baseline</w:t>
            </w:r>
          </w:p>
        </w:tc>
        <w:tc>
          <w:tcPr>
            <w:tcW w:type="dxa" w:w="116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44</w:t>
            </w:r>
          </w:p>
        </w:tc>
        <w:tc>
          <w:tcPr>
            <w:tcW w:type="dxa" w:w="17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72</w:t>
            </w:r>
          </w:p>
        </w:tc>
        <w:tc>
          <w:tcPr>
            <w:tcW w:type="dxa" w:w="20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spread</w:t>
            </w:r>
          </w:p>
        </w:tc>
        <w:tc>
          <w:tcPr>
            <w:tcW w:type="dxa" w:w="13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0.7</w:t>
            </w:r>
          </w:p>
        </w:tc>
        <w:tc>
          <w:tcPr>
            <w:tcW w:type="dxa" w:w="13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0.8</w:t>
            </w:r>
          </w:p>
        </w:tc>
      </w:tr>
      <w:tr>
        <w:trPr>
          <w:tblHeader w:val="false"/>
        </w:trPr>
        <w:tc>
          <w:tcPr>
            <w:tcW w:type="dxa" w:w="19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left"/>
            </w:pPr>
            <w:r>
              <w:t xml:space="preserve">rush_hour</w:t>
            </w:r>
          </w:p>
        </w:tc>
        <w:tc>
          <w:tcPr>
            <w:tcW w:type="dxa" w:w="116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60</w:t>
            </w:r>
          </w:p>
        </w:tc>
        <w:tc>
          <w:tcPr>
            <w:tcW w:type="dxa" w:w="17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72</w:t>
            </w:r>
          </w:p>
        </w:tc>
        <w:tc>
          <w:tcPr>
            <w:tcW w:type="dxa" w:w="20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clustered (early wave)</w:t>
            </w:r>
          </w:p>
        </w:tc>
        <w:tc>
          <w:tcPr>
            <w:tcW w:type="dxa" w:w="13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1.0</w:t>
            </w:r>
          </w:p>
        </w:tc>
        <w:tc>
          <w:tcPr>
            <w:tcW w:type="dxa" w:w="13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0.95</w:t>
            </w:r>
          </w:p>
        </w:tc>
      </w:tr>
      <w:tr>
        <w:trPr>
          <w:tblHeader w:val="false"/>
        </w:trPr>
        <w:tc>
          <w:tcPr>
            <w:tcW w:type="dxa" w:w="19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left"/>
            </w:pPr>
            <w:r>
              <w:t xml:space="preserve">limited_slots</w:t>
            </w:r>
          </w:p>
        </w:tc>
        <w:tc>
          <w:tcPr>
            <w:tcW w:type="dxa" w:w="116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60</w:t>
            </w:r>
          </w:p>
        </w:tc>
        <w:tc>
          <w:tcPr>
            <w:tcW w:type="dxa" w:w="17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16 (of 72 drawn)</w:t>
            </w:r>
          </w:p>
        </w:tc>
        <w:tc>
          <w:tcPr>
            <w:tcW w:type="dxa" w:w="20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spread, long dwell</w:t>
            </w:r>
          </w:p>
        </w:tc>
        <w:tc>
          <w:tcPr>
            <w:tcW w:type="dxa" w:w="13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0.75</w:t>
            </w:r>
          </w:p>
        </w:tc>
        <w:tc>
          <w:tcPr>
            <w:tcW w:type="dxa" w:w="13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0.85</w:t>
            </w:r>
          </w:p>
        </w:tc>
      </w:tr>
      <w:tr>
        <w:trPr>
          <w:tblHeader w:val="false"/>
        </w:trPr>
        <w:tc>
          <w:tcPr>
            <w:tcW w:type="dxa" w:w="19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left"/>
            </w:pPr>
            <w:r>
              <w:t xml:space="preserve">slow_entry</w:t>
            </w:r>
          </w:p>
        </w:tc>
        <w:tc>
          <w:tcPr>
            <w:tcW w:type="dxa" w:w="116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50</w:t>
            </w:r>
          </w:p>
        </w:tc>
        <w:tc>
          <w:tcPr>
            <w:tcW w:type="dxa" w:w="17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72</w:t>
            </w:r>
          </w:p>
        </w:tc>
        <w:tc>
          <w:tcPr>
            <w:tcW w:type="dxa" w:w="20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spread</w:t>
            </w:r>
          </w:p>
        </w:tc>
        <w:tc>
          <w:tcPr>
            <w:tcW w:type="dxa" w:w="1300"/>
            <w:tcBorders>
              <w:top w:val="single" w:color="C7D2DD" w:sz="1"/>
              <w:left w:val="single" w:color="C7D2DD" w:sz="1"/>
              <w:bottom w:val="single" w:color="C7D2DD" w:sz="1"/>
              <w:right w:val="single" w:color="C7D2DD" w:sz="1"/>
            </w:tcBorders>
            <w:shd w:fill="FCE9D6" w:val="clear"/>
            <w:tcMar>
              <w:top w:type="dxa" w:w="60"/>
              <w:left w:type="dxa" w:w="110"/>
              <w:bottom w:type="dxa" w:w="60"/>
              <w:right w:type="dxa" w:w="110"/>
            </w:tcMar>
            <w:vAlign w:val="center"/>
          </w:tcPr>
          <w:p>
            <w:pPr>
              <w:spacing w:after="0" w:line="252"/>
              <w:jc w:val="center"/>
            </w:pPr>
            <w:r>
              <w:rPr>
                <w:b/>
                <w:bCs/>
              </w:rPr>
              <w:t xml:space="preserve">3.2</w:t>
            </w:r>
          </w:p>
        </w:tc>
        <w:tc>
          <w:tcPr>
            <w:tcW w:type="dxa" w:w="13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0.8</w:t>
            </w:r>
          </w:p>
        </w:tc>
      </w:tr>
      <w:tr>
        <w:trPr>
          <w:tblHeader w:val="false"/>
        </w:trPr>
        <w:tc>
          <w:tcPr>
            <w:tcW w:type="dxa" w:w="19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left"/>
            </w:pPr>
            <w:r>
              <w:t xml:space="preserve">exit_congestion</w:t>
            </w:r>
          </w:p>
        </w:tc>
        <w:tc>
          <w:tcPr>
            <w:tcW w:type="dxa" w:w="116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52</w:t>
            </w:r>
          </w:p>
        </w:tc>
        <w:tc>
          <w:tcPr>
            <w:tcW w:type="dxa" w:w="17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72</w:t>
            </w:r>
          </w:p>
        </w:tc>
        <w:tc>
          <w:tcPr>
            <w:tcW w:type="dxa" w:w="20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spread</w:t>
            </w:r>
          </w:p>
        </w:tc>
        <w:tc>
          <w:tcPr>
            <w:tcW w:type="dxa" w:w="13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0.7</w:t>
            </w:r>
          </w:p>
        </w:tc>
        <w:tc>
          <w:tcPr>
            <w:tcW w:type="dxa" w:w="1300"/>
            <w:tcBorders>
              <w:top w:val="single" w:color="C7D2DD" w:sz="1"/>
              <w:left w:val="single" w:color="C7D2DD" w:sz="1"/>
              <w:bottom w:val="single" w:color="C7D2DD" w:sz="1"/>
              <w:right w:val="single" w:color="C7D2DD" w:sz="1"/>
            </w:tcBorders>
            <w:shd w:fill="FCE9D6" w:val="clear"/>
            <w:tcMar>
              <w:top w:type="dxa" w:w="60"/>
              <w:left w:type="dxa" w:w="110"/>
              <w:bottom w:type="dxa" w:w="60"/>
              <w:right w:type="dxa" w:w="110"/>
            </w:tcMar>
            <w:vAlign w:val="center"/>
          </w:tcPr>
          <w:p>
            <w:pPr>
              <w:spacing w:after="0" w:line="252"/>
              <w:jc w:val="center"/>
            </w:pPr>
            <w:r>
              <w:rPr>
                <w:b/>
                <w:bCs/>
              </w:rPr>
              <w:t xml:space="preserve">4.0</w:t>
            </w:r>
          </w:p>
        </w:tc>
      </w:tr>
    </w:tbl>
    <w:p>
      <w:pPr>
        <w:spacing w:after="200" w:before="60"/>
      </w:pPr>
      <w:r>
        <w:rPr>
          <w:i/>
          <w:iCs/>
          <w:color w:val="5A6B7B"/>
          <w:sz w:val="18"/>
          <w:szCs w:val="18"/>
        </w:rPr>
        <w:t xml:space="preserve">Table 2. Per-scenario demand parameters. Seeds: 101 / 202 / 303 / 404 / 505. The map axis is orthogonal — any scenario can run on any of the four gate layouts.</w:t>
      </w:r>
    </w:p>
    <w:p>
      <w:pPr>
        <w:spacing w:after="120" w:line="276"/>
      </w:pPr>
      <w:r>
        <w:t xml:space="preserve">Service time per vehicle = a base service value + a small random component; dwell (shopping) time is drawn from a per-scenario range.</w:t>
      </w:r>
    </w:p>
    <w:p>
      <w:pPr>
        <w:spacing w:after="120" w:line="276"/>
      </w:pPr>
      <w:r>
        <w:rPr>
          <w:b/>
          <w:bCs/>
        </w:rPr>
        <w:t xml:space="preserve">Constraints and limitations.</w:t>
      </w:r>
      <w:r>
        <w:t xml:space="preserve"> Local class MVP (not deployed); single replication (no confidence intervals); fixed lane geometry; per-lane gate capacity fixed at 1; no pricing/payment modeling.</w:t>
      </w:r>
    </w:p>
    <w:p>
      <w:pPr>
        <w:pBdr>
          <w:bottom w:val="single" w:color="2E75B6" w:sz="6" w:space="1"/>
        </w:pBdr>
        <w:spacing w:after="200" w:before="80"/>
      </w:pPr>
      <w:r>
        <w:t xml:space="preserve"/>
      </w:r>
    </w:p>
    <w:p>
      <w:pPr>
        <w:pStyle w:val="Heading1"/>
      </w:pPr>
      <w:r>
        <w:t xml:space="preserve">7. Experimental Results and Analysis</w:t>
      </w:r>
    </w:p>
    <w:p>
      <w:pPr>
        <w:spacing w:after="120" w:line="276"/>
      </w:pPr>
      <w:r>
        <w:t xml:space="preserve">All runs are deterministic seeded results, produced by </w:t>
      </w:r>
      <w:r>
        <w:rPr>
          <w:rFonts w:ascii="Consolas" w:cs="Consolas" w:eastAsia="Consolas" w:hAnsi="Consolas"/>
        </w:rPr>
        <w:t xml:space="preserve">app/simulation.py</w:t>
      </w:r>
      <w:r>
        <w:t xml:space="preserve"> and reproducible from the dashboard’s “Compare scenarios” view (which generates the table and bar charts live for a chosen map).</w:t>
      </w:r>
    </w:p>
    <w:p>
      <w:pPr>
        <w:pStyle w:val="Heading2"/>
      </w:pPr>
      <w:r>
        <w:t xml:space="preserve">7.1 Five scenarios on the base map (one_entrance_one_exit)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400"/>
        <w:gridCol w:w="1400"/>
        <w:gridCol w:w="1400"/>
        <w:gridCol w:w="1400"/>
        <w:gridCol w:w="1400"/>
      </w:tblGrid>
      <w:tr>
        <w:trPr>
          <w:tblHeader/>
        </w:trPr>
        <w:tc>
          <w:tcPr>
            <w:tcW w:type="dxa" w:w="2360"/>
            <w:tcBorders>
              <w:top w:val="single" w:color="C7D2DD" w:sz="1"/>
              <w:left w:val="single" w:color="C7D2DD" w:sz="1"/>
              <w:bottom w:val="single" w:color="C7D2DD" w:sz="1"/>
              <w:right w:val="single" w:color="C7D2DD" w:sz="1"/>
            </w:tcBorders>
            <w:shd w:fill="1F4E79" w:val="clear"/>
            <w:tcMar>
              <w:top w:type="dxa" w:w="60"/>
              <w:left w:type="dxa" w:w="110"/>
              <w:bottom w:type="dxa" w:w="60"/>
              <w:right w:type="dxa" w:w="110"/>
            </w:tcMar>
            <w:vAlign w:val="center"/>
          </w:tcPr>
          <w:p>
            <w:pPr>
              <w:spacing w:after="0" w:line="252"/>
              <w:jc w:val="left"/>
            </w:pPr>
            <w:r>
              <w:rPr>
                <w:b/>
                <w:bCs/>
                <w:color w:val="FFFFFF"/>
              </w:rPr>
              <w:t xml:space="preserve">Metric</w:t>
            </w:r>
          </w:p>
        </w:tc>
        <w:tc>
          <w:tcPr>
            <w:tcW w:type="dxa" w:w="1400"/>
            <w:tcBorders>
              <w:top w:val="single" w:color="C7D2DD" w:sz="1"/>
              <w:left w:val="single" w:color="C7D2DD" w:sz="1"/>
              <w:bottom w:val="single" w:color="C7D2DD" w:sz="1"/>
              <w:right w:val="single" w:color="C7D2DD" w:sz="1"/>
            </w:tcBorders>
            <w:shd w:fill="1F4E79" w:val="clear"/>
            <w:tcMar>
              <w:top w:type="dxa" w:w="60"/>
              <w:left w:type="dxa" w:w="110"/>
              <w:bottom w:type="dxa" w:w="60"/>
              <w:right w:type="dxa" w:w="110"/>
            </w:tcMar>
            <w:vAlign w:val="center"/>
          </w:tcPr>
          <w:p>
            <w:pPr>
              <w:spacing w:after="0" w:line="252"/>
              <w:jc w:val="center"/>
            </w:pPr>
            <w:r>
              <w:rPr>
                <w:b/>
                <w:bCs/>
                <w:color w:val="FFFFFF"/>
              </w:rPr>
              <w:t xml:space="preserve">baseline</w:t>
            </w:r>
          </w:p>
        </w:tc>
        <w:tc>
          <w:tcPr>
            <w:tcW w:type="dxa" w:w="1400"/>
            <w:tcBorders>
              <w:top w:val="single" w:color="C7D2DD" w:sz="1"/>
              <w:left w:val="single" w:color="C7D2DD" w:sz="1"/>
              <w:bottom w:val="single" w:color="C7D2DD" w:sz="1"/>
              <w:right w:val="single" w:color="C7D2DD" w:sz="1"/>
            </w:tcBorders>
            <w:shd w:fill="1F4E79" w:val="clear"/>
            <w:tcMar>
              <w:top w:type="dxa" w:w="60"/>
              <w:left w:type="dxa" w:w="110"/>
              <w:bottom w:type="dxa" w:w="60"/>
              <w:right w:type="dxa" w:w="110"/>
            </w:tcMar>
            <w:vAlign w:val="center"/>
          </w:tcPr>
          <w:p>
            <w:pPr>
              <w:spacing w:after="0" w:line="252"/>
              <w:jc w:val="center"/>
            </w:pPr>
            <w:r>
              <w:rPr>
                <w:b/>
                <w:bCs/>
                <w:color w:val="FFFFFF"/>
              </w:rPr>
              <w:t xml:space="preserve">rush_hour</w:t>
            </w:r>
          </w:p>
        </w:tc>
        <w:tc>
          <w:tcPr>
            <w:tcW w:type="dxa" w:w="1400"/>
            <w:tcBorders>
              <w:top w:val="single" w:color="C7D2DD" w:sz="1"/>
              <w:left w:val="single" w:color="C7D2DD" w:sz="1"/>
              <w:bottom w:val="single" w:color="C7D2DD" w:sz="1"/>
              <w:right w:val="single" w:color="C7D2DD" w:sz="1"/>
            </w:tcBorders>
            <w:shd w:fill="1F4E79" w:val="clear"/>
            <w:tcMar>
              <w:top w:type="dxa" w:w="60"/>
              <w:left w:type="dxa" w:w="110"/>
              <w:bottom w:type="dxa" w:w="60"/>
              <w:right w:type="dxa" w:w="110"/>
            </w:tcMar>
            <w:vAlign w:val="center"/>
          </w:tcPr>
          <w:p>
            <w:pPr>
              <w:spacing w:after="0" w:line="252"/>
              <w:jc w:val="center"/>
            </w:pPr>
            <w:r>
              <w:rPr>
                <w:b/>
                <w:bCs/>
                <w:color w:val="FFFFFF"/>
              </w:rPr>
              <w:t xml:space="preserve">limited_slots</w:t>
            </w:r>
          </w:p>
        </w:tc>
        <w:tc>
          <w:tcPr>
            <w:tcW w:type="dxa" w:w="1400"/>
            <w:tcBorders>
              <w:top w:val="single" w:color="C7D2DD" w:sz="1"/>
              <w:left w:val="single" w:color="C7D2DD" w:sz="1"/>
              <w:bottom w:val="single" w:color="C7D2DD" w:sz="1"/>
              <w:right w:val="single" w:color="C7D2DD" w:sz="1"/>
            </w:tcBorders>
            <w:shd w:fill="1F4E79" w:val="clear"/>
            <w:tcMar>
              <w:top w:type="dxa" w:w="60"/>
              <w:left w:type="dxa" w:w="110"/>
              <w:bottom w:type="dxa" w:w="60"/>
              <w:right w:type="dxa" w:w="110"/>
            </w:tcMar>
            <w:vAlign w:val="center"/>
          </w:tcPr>
          <w:p>
            <w:pPr>
              <w:spacing w:after="0" w:line="252"/>
              <w:jc w:val="center"/>
            </w:pPr>
            <w:r>
              <w:rPr>
                <w:b/>
                <w:bCs/>
                <w:color w:val="FFFFFF"/>
              </w:rPr>
              <w:t xml:space="preserve">slow_entry</w:t>
            </w:r>
          </w:p>
        </w:tc>
        <w:tc>
          <w:tcPr>
            <w:tcW w:type="dxa" w:w="1400"/>
            <w:tcBorders>
              <w:top w:val="single" w:color="C7D2DD" w:sz="1"/>
              <w:left w:val="single" w:color="C7D2DD" w:sz="1"/>
              <w:bottom w:val="single" w:color="C7D2DD" w:sz="1"/>
              <w:right w:val="single" w:color="C7D2DD" w:sz="1"/>
            </w:tcBorders>
            <w:shd w:fill="1F4E79" w:val="clear"/>
            <w:tcMar>
              <w:top w:type="dxa" w:w="60"/>
              <w:left w:type="dxa" w:w="110"/>
              <w:bottom w:type="dxa" w:w="60"/>
              <w:right w:type="dxa" w:w="110"/>
            </w:tcMar>
            <w:vAlign w:val="center"/>
          </w:tcPr>
          <w:p>
            <w:pPr>
              <w:spacing w:after="0" w:line="252"/>
              <w:jc w:val="center"/>
            </w:pPr>
            <w:r>
              <w:rPr>
                <w:b/>
                <w:bCs/>
                <w:color w:val="FFFFFF"/>
              </w:rPr>
              <w:t xml:space="preserve">exit_congestion</w:t>
            </w:r>
          </w:p>
        </w:tc>
      </w:tr>
      <w:tr>
        <w:trPr>
          <w:tblHeader w:val="false"/>
        </w:trPr>
        <w:tc>
          <w:tcPr>
            <w:tcW w:type="dxa" w:w="236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left"/>
            </w:pPr>
            <w:r>
              <w:t xml:space="preserve">Avg entry wait (min)</w:t>
            </w:r>
          </w:p>
        </w:tc>
        <w:tc>
          <w:tcPr>
            <w:tcW w:type="dxa" w:w="14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49.5</w:t>
            </w:r>
          </w:p>
        </w:tc>
        <w:tc>
          <w:tcPr>
            <w:tcW w:type="dxa" w:w="14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108.7</w:t>
            </w:r>
          </w:p>
        </w:tc>
        <w:tc>
          <w:tcPr>
            <w:tcW w:type="dxa" w:w="14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69.0</w:t>
            </w:r>
          </w:p>
        </w:tc>
        <w:tc>
          <w:tcPr>
            <w:tcW w:type="dxa" w:w="1400"/>
            <w:tcBorders>
              <w:top w:val="single" w:color="C7D2DD" w:sz="1"/>
              <w:left w:val="single" w:color="C7D2DD" w:sz="1"/>
              <w:bottom w:val="single" w:color="C7D2DD" w:sz="1"/>
              <w:right w:val="single" w:color="C7D2DD" w:sz="1"/>
            </w:tcBorders>
            <w:shd w:fill="FCE9D6" w:val="clear"/>
            <w:tcMar>
              <w:top w:type="dxa" w:w="60"/>
              <w:left w:type="dxa" w:w="110"/>
              <w:bottom w:type="dxa" w:w="60"/>
              <w:right w:type="dxa" w:w="110"/>
            </w:tcMar>
            <w:vAlign w:val="center"/>
          </w:tcPr>
          <w:p>
            <w:pPr>
              <w:spacing w:after="0" w:line="252"/>
              <w:jc w:val="center"/>
            </w:pPr>
            <w:r>
              <w:rPr>
                <w:b/>
                <w:bCs/>
              </w:rPr>
              <w:t xml:space="preserve">127.0</w:t>
            </w:r>
          </w:p>
        </w:tc>
        <w:tc>
          <w:tcPr>
            <w:tcW w:type="dxa" w:w="14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57.2</w:t>
            </w:r>
          </w:p>
        </w:tc>
      </w:tr>
      <w:tr>
        <w:trPr>
          <w:tblHeader w:val="false"/>
        </w:trPr>
        <w:tc>
          <w:tcPr>
            <w:tcW w:type="dxa" w:w="236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left"/>
            </w:pPr>
            <w:r>
              <w:t xml:space="preserve">Avg exit wait (min)</w:t>
            </w:r>
          </w:p>
        </w:tc>
        <w:tc>
          <w:tcPr>
            <w:tcW w:type="dxa" w:w="14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33.7</w:t>
            </w:r>
          </w:p>
        </w:tc>
        <w:tc>
          <w:tcPr>
            <w:tcW w:type="dxa" w:w="14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37.6</w:t>
            </w:r>
          </w:p>
        </w:tc>
        <w:tc>
          <w:tcPr>
            <w:tcW w:type="dxa" w:w="14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45.0</w:t>
            </w:r>
          </w:p>
        </w:tc>
        <w:tc>
          <w:tcPr>
            <w:tcW w:type="dxa" w:w="14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5.5</w:t>
            </w:r>
          </w:p>
        </w:tc>
        <w:tc>
          <w:tcPr>
            <w:tcW w:type="dxa" w:w="1400"/>
            <w:tcBorders>
              <w:top w:val="single" w:color="C7D2DD" w:sz="1"/>
              <w:left w:val="single" w:color="C7D2DD" w:sz="1"/>
              <w:bottom w:val="single" w:color="C7D2DD" w:sz="1"/>
              <w:right w:val="single" w:color="C7D2DD" w:sz="1"/>
            </w:tcBorders>
            <w:shd w:fill="FCE9D6" w:val="clear"/>
            <w:tcMar>
              <w:top w:type="dxa" w:w="60"/>
              <w:left w:type="dxa" w:w="110"/>
              <w:bottom w:type="dxa" w:w="60"/>
              <w:right w:type="dxa" w:w="110"/>
            </w:tcMar>
            <w:vAlign w:val="center"/>
          </w:tcPr>
          <w:p>
            <w:pPr>
              <w:spacing w:after="0" w:line="252"/>
              <w:jc w:val="center"/>
            </w:pPr>
            <w:r>
              <w:rPr>
                <w:b/>
                <w:bCs/>
              </w:rPr>
              <w:t xml:space="preserve">119.0</w:t>
            </w:r>
          </w:p>
        </w:tc>
      </w:tr>
      <w:tr>
        <w:trPr>
          <w:tblHeader w:val="false"/>
        </w:trPr>
        <w:tc>
          <w:tcPr>
            <w:tcW w:type="dxa" w:w="236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left"/>
            </w:pPr>
            <w:r>
              <w:t xml:space="preserve">Avg time in system (min)</w:t>
            </w:r>
          </w:p>
        </w:tc>
        <w:tc>
          <w:tcPr>
            <w:tcW w:type="dxa" w:w="14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131.5</w:t>
            </w:r>
          </w:p>
        </w:tc>
        <w:tc>
          <w:tcPr>
            <w:tcW w:type="dxa" w:w="14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195.4</w:t>
            </w:r>
          </w:p>
        </w:tc>
        <w:tc>
          <w:tcPr>
            <w:tcW w:type="dxa" w:w="14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182.8</w:t>
            </w:r>
          </w:p>
        </w:tc>
        <w:tc>
          <w:tcPr>
            <w:tcW w:type="dxa" w:w="14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183.5</w:t>
            </w:r>
          </w:p>
        </w:tc>
        <w:tc>
          <w:tcPr>
            <w:tcW w:type="dxa" w:w="1400"/>
            <w:tcBorders>
              <w:top w:val="single" w:color="C7D2DD" w:sz="1"/>
              <w:left w:val="single" w:color="C7D2DD" w:sz="1"/>
              <w:bottom w:val="single" w:color="C7D2DD" w:sz="1"/>
              <w:right w:val="single" w:color="C7D2DD" w:sz="1"/>
            </w:tcBorders>
            <w:shd w:fill="FCE9D6" w:val="clear"/>
            <w:tcMar>
              <w:top w:type="dxa" w:w="60"/>
              <w:left w:type="dxa" w:w="110"/>
              <w:bottom w:type="dxa" w:w="60"/>
              <w:right w:type="dxa" w:w="110"/>
            </w:tcMar>
            <w:vAlign w:val="center"/>
          </w:tcPr>
          <w:p>
            <w:pPr>
              <w:spacing w:after="0" w:line="252"/>
              <w:jc w:val="center"/>
            </w:pPr>
            <w:r>
              <w:rPr>
                <w:b/>
                <w:bCs/>
              </w:rPr>
              <w:t xml:space="preserve">228.8</w:t>
            </w:r>
          </w:p>
        </w:tc>
      </w:tr>
      <w:tr>
        <w:trPr>
          <w:tblHeader w:val="false"/>
        </w:trPr>
        <w:tc>
          <w:tcPr>
            <w:tcW w:type="dxa" w:w="236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left"/>
            </w:pPr>
            <w:r>
              <w:t xml:space="preserve">Entry service (min)</w:t>
            </w:r>
          </w:p>
        </w:tc>
        <w:tc>
          <w:tcPr>
            <w:tcW w:type="dxa" w:w="14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1.75</w:t>
            </w:r>
          </w:p>
        </w:tc>
        <w:tc>
          <w:tcPr>
            <w:tcW w:type="dxa" w:w="14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2.09</w:t>
            </w:r>
          </w:p>
        </w:tc>
        <w:tc>
          <w:tcPr>
            <w:tcW w:type="dxa" w:w="14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1.81</w:t>
            </w:r>
          </w:p>
        </w:tc>
        <w:tc>
          <w:tcPr>
            <w:tcW w:type="dxa" w:w="1400"/>
            <w:tcBorders>
              <w:top w:val="single" w:color="C7D2DD" w:sz="1"/>
              <w:left w:val="single" w:color="C7D2DD" w:sz="1"/>
              <w:bottom w:val="single" w:color="C7D2DD" w:sz="1"/>
              <w:right w:val="single" w:color="C7D2DD" w:sz="1"/>
            </w:tcBorders>
            <w:shd w:fill="FCE9D6" w:val="clear"/>
            <w:tcMar>
              <w:top w:type="dxa" w:w="60"/>
              <w:left w:type="dxa" w:w="110"/>
              <w:bottom w:type="dxa" w:w="60"/>
              <w:right w:type="dxa" w:w="110"/>
            </w:tcMar>
            <w:vAlign w:val="center"/>
          </w:tcPr>
          <w:p>
            <w:pPr>
              <w:spacing w:after="0" w:line="252"/>
              <w:jc w:val="center"/>
            </w:pPr>
            <w:r>
              <w:rPr>
                <w:b/>
                <w:bCs/>
              </w:rPr>
              <w:t xml:space="preserve">4.27</w:t>
            </w:r>
          </w:p>
        </w:tc>
        <w:tc>
          <w:tcPr>
            <w:tcW w:type="dxa" w:w="14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1.75</w:t>
            </w:r>
          </w:p>
        </w:tc>
      </w:tr>
      <w:tr>
        <w:trPr>
          <w:tblHeader w:val="false"/>
        </w:trPr>
        <w:tc>
          <w:tcPr>
            <w:tcW w:type="dxa" w:w="236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left"/>
            </w:pPr>
            <w:r>
              <w:t xml:space="preserve">Exit service (min)</w:t>
            </w:r>
          </w:p>
        </w:tc>
        <w:tc>
          <w:tcPr>
            <w:tcW w:type="dxa" w:w="14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0.98</w:t>
            </w:r>
          </w:p>
        </w:tc>
        <w:tc>
          <w:tcPr>
            <w:tcW w:type="dxa" w:w="14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1.10</w:t>
            </w:r>
          </w:p>
        </w:tc>
        <w:tc>
          <w:tcPr>
            <w:tcW w:type="dxa" w:w="14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1.02</w:t>
            </w:r>
          </w:p>
        </w:tc>
        <w:tc>
          <w:tcPr>
            <w:tcW w:type="dxa" w:w="14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0.94</w:t>
            </w:r>
          </w:p>
        </w:tc>
        <w:tc>
          <w:tcPr>
            <w:tcW w:type="dxa" w:w="1400"/>
            <w:tcBorders>
              <w:top w:val="single" w:color="C7D2DD" w:sz="1"/>
              <w:left w:val="single" w:color="C7D2DD" w:sz="1"/>
              <w:bottom w:val="single" w:color="C7D2DD" w:sz="1"/>
              <w:right w:val="single" w:color="C7D2DD" w:sz="1"/>
            </w:tcBorders>
            <w:shd w:fill="FCE9D6" w:val="clear"/>
            <w:tcMar>
              <w:top w:type="dxa" w:w="60"/>
              <w:left w:type="dxa" w:w="110"/>
              <w:bottom w:type="dxa" w:w="60"/>
              <w:right w:type="dxa" w:w="110"/>
            </w:tcMar>
            <w:vAlign w:val="center"/>
          </w:tcPr>
          <w:p>
            <w:pPr>
              <w:spacing w:after="0" w:line="252"/>
              <w:jc w:val="center"/>
            </w:pPr>
            <w:r>
              <w:rPr>
                <w:b/>
                <w:bCs/>
              </w:rPr>
              <w:t xml:space="preserve">4.19</w:t>
            </w:r>
          </w:p>
        </w:tc>
      </w:tr>
      <w:tr>
        <w:trPr>
          <w:tblHeader w:val="false"/>
        </w:trPr>
        <w:tc>
          <w:tcPr>
            <w:tcW w:type="dxa" w:w="236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left"/>
            </w:pPr>
            <w:r>
              <w:t xml:space="preserve">Throughput (veh/hr)</w:t>
            </w:r>
          </w:p>
        </w:tc>
        <w:tc>
          <w:tcPr>
            <w:tcW w:type="dxa" w:w="14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9.7</w:t>
            </w:r>
          </w:p>
        </w:tc>
        <w:tc>
          <w:tcPr>
            <w:tcW w:type="dxa" w:w="1400"/>
            <w:tcBorders>
              <w:top w:val="single" w:color="C7D2DD" w:sz="1"/>
              <w:left w:val="single" w:color="C7D2DD" w:sz="1"/>
              <w:bottom w:val="single" w:color="C7D2DD" w:sz="1"/>
              <w:right w:val="single" w:color="C7D2DD" w:sz="1"/>
            </w:tcBorders>
            <w:shd w:fill="FCE9D6" w:val="clear"/>
            <w:tcMar>
              <w:top w:type="dxa" w:w="60"/>
              <w:left w:type="dxa" w:w="110"/>
              <w:bottom w:type="dxa" w:w="60"/>
              <w:right w:type="dxa" w:w="110"/>
            </w:tcMar>
            <w:vAlign w:val="center"/>
          </w:tcPr>
          <w:p>
            <w:pPr>
              <w:spacing w:after="0" w:line="252"/>
              <w:jc w:val="center"/>
            </w:pPr>
            <w:r>
              <w:rPr>
                <w:b/>
                <w:bCs/>
              </w:rPr>
              <w:t xml:space="preserve">10.0</w:t>
            </w:r>
          </w:p>
        </w:tc>
        <w:tc>
          <w:tcPr>
            <w:tcW w:type="dxa" w:w="14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7.5</w:t>
            </w:r>
          </w:p>
        </w:tc>
        <w:tc>
          <w:tcPr>
            <w:tcW w:type="dxa" w:w="14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8.4</w:t>
            </w:r>
          </w:p>
        </w:tc>
        <w:tc>
          <w:tcPr>
            <w:tcW w:type="dxa" w:w="14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6.5</w:t>
            </w:r>
          </w:p>
        </w:tc>
      </w:tr>
      <w:tr>
        <w:trPr>
          <w:tblHeader w:val="false"/>
        </w:trPr>
        <w:tc>
          <w:tcPr>
            <w:tcW w:type="dxa" w:w="236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left"/>
            </w:pPr>
            <w:r>
              <w:t xml:space="preserve">Entry gate util (%)</w:t>
            </w:r>
          </w:p>
        </w:tc>
        <w:tc>
          <w:tcPr>
            <w:tcW w:type="dxa" w:w="14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58.0</w:t>
            </w:r>
          </w:p>
        </w:tc>
        <w:tc>
          <w:tcPr>
            <w:tcW w:type="dxa" w:w="14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65.7</w:t>
            </w:r>
          </w:p>
        </w:tc>
        <w:tc>
          <w:tcPr>
            <w:tcW w:type="dxa" w:w="14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58.4</w:t>
            </w:r>
          </w:p>
        </w:tc>
        <w:tc>
          <w:tcPr>
            <w:tcW w:type="dxa" w:w="1400"/>
            <w:tcBorders>
              <w:top w:val="single" w:color="C7D2DD" w:sz="1"/>
              <w:left w:val="single" w:color="C7D2DD" w:sz="1"/>
              <w:bottom w:val="single" w:color="C7D2DD" w:sz="1"/>
              <w:right w:val="single" w:color="C7D2DD" w:sz="1"/>
            </w:tcBorders>
            <w:shd w:fill="FCE9D6" w:val="clear"/>
            <w:tcMar>
              <w:top w:type="dxa" w:w="60"/>
              <w:left w:type="dxa" w:w="110"/>
              <w:bottom w:type="dxa" w:w="60"/>
              <w:right w:type="dxa" w:w="110"/>
            </w:tcMar>
            <w:vAlign w:val="center"/>
          </w:tcPr>
          <w:p>
            <w:pPr>
              <w:spacing w:after="0" w:line="252"/>
              <w:jc w:val="center"/>
            </w:pPr>
            <w:r>
              <w:rPr>
                <w:b/>
                <w:bCs/>
              </w:rPr>
              <w:t xml:space="preserve">86.0</w:t>
            </w:r>
          </w:p>
        </w:tc>
        <w:tc>
          <w:tcPr>
            <w:tcW w:type="dxa" w:w="14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39.3</w:t>
            </w:r>
          </w:p>
        </w:tc>
      </w:tr>
      <w:tr>
        <w:trPr>
          <w:tblHeader w:val="false"/>
        </w:trPr>
        <w:tc>
          <w:tcPr>
            <w:tcW w:type="dxa" w:w="236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left"/>
            </w:pPr>
            <w:r>
              <w:t xml:space="preserve">Exit gate util (%)</w:t>
            </w:r>
          </w:p>
        </w:tc>
        <w:tc>
          <w:tcPr>
            <w:tcW w:type="dxa" w:w="14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80.2</w:t>
            </w:r>
          </w:p>
        </w:tc>
        <w:tc>
          <w:tcPr>
            <w:tcW w:type="dxa" w:w="14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85.1</w:t>
            </w:r>
          </w:p>
        </w:tc>
        <w:tc>
          <w:tcPr>
            <w:tcW w:type="dxa" w:w="14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79.9</w:t>
            </w:r>
          </w:p>
        </w:tc>
        <w:tc>
          <w:tcPr>
            <w:tcW w:type="dxa" w:w="14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69.3</w:t>
            </w:r>
          </w:p>
        </w:tc>
        <w:tc>
          <w:tcPr>
            <w:tcW w:type="dxa" w:w="1400"/>
            <w:tcBorders>
              <w:top w:val="single" w:color="C7D2DD" w:sz="1"/>
              <w:left w:val="single" w:color="C7D2DD" w:sz="1"/>
              <w:bottom w:val="single" w:color="C7D2DD" w:sz="1"/>
              <w:right w:val="single" w:color="C7D2DD" w:sz="1"/>
            </w:tcBorders>
            <w:shd w:fill="FCE9D6" w:val="clear"/>
            <w:tcMar>
              <w:top w:type="dxa" w:w="60"/>
              <w:left w:type="dxa" w:w="110"/>
              <w:bottom w:type="dxa" w:w="60"/>
              <w:right w:type="dxa" w:w="110"/>
            </w:tcMar>
            <w:vAlign w:val="center"/>
          </w:tcPr>
          <w:p>
            <w:pPr>
              <w:spacing w:after="0" w:line="252"/>
              <w:jc w:val="center"/>
            </w:pPr>
            <w:r>
              <w:rPr>
                <w:b/>
                <w:bCs/>
              </w:rPr>
              <w:t xml:space="preserve">89.3</w:t>
            </w:r>
          </w:p>
        </w:tc>
      </w:tr>
      <w:tr>
        <w:trPr>
          <w:tblHeader w:val="false"/>
        </w:trPr>
        <w:tc>
          <w:tcPr>
            <w:tcW w:type="dxa" w:w="236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left"/>
            </w:pPr>
            <w:r>
              <w:t xml:space="preserve">Avg entry queue</w:t>
            </w:r>
          </w:p>
        </w:tc>
        <w:tc>
          <w:tcPr>
            <w:tcW w:type="dxa" w:w="14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8.0</w:t>
            </w:r>
          </w:p>
        </w:tc>
        <w:tc>
          <w:tcPr>
            <w:tcW w:type="dxa" w:w="14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18.1</w:t>
            </w:r>
          </w:p>
        </w:tc>
        <w:tc>
          <w:tcPr>
            <w:tcW w:type="dxa" w:w="14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11.0</w:t>
            </w:r>
          </w:p>
        </w:tc>
        <w:tc>
          <w:tcPr>
            <w:tcW w:type="dxa" w:w="14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17.8</w:t>
            </w:r>
          </w:p>
        </w:tc>
        <w:tc>
          <w:tcPr>
            <w:tcW w:type="dxa" w:w="14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6.2</w:t>
            </w:r>
          </w:p>
        </w:tc>
      </w:tr>
      <w:tr>
        <w:trPr>
          <w:tblHeader w:val="false"/>
        </w:trPr>
        <w:tc>
          <w:tcPr>
            <w:tcW w:type="dxa" w:w="236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left"/>
            </w:pPr>
            <w:r>
              <w:t xml:space="preserve">Avg exit queue</w:t>
            </w:r>
          </w:p>
        </w:tc>
        <w:tc>
          <w:tcPr>
            <w:tcW w:type="dxa" w:w="14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5.4</w:t>
            </w:r>
          </w:p>
        </w:tc>
        <w:tc>
          <w:tcPr>
            <w:tcW w:type="dxa" w:w="14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6.3</w:t>
            </w:r>
          </w:p>
        </w:tc>
        <w:tc>
          <w:tcPr>
            <w:tcW w:type="dxa" w:w="14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7.2</w:t>
            </w:r>
          </w:p>
        </w:tc>
        <w:tc>
          <w:tcPr>
            <w:tcW w:type="dxa" w:w="14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0.8</w:t>
            </w:r>
          </w:p>
        </w:tc>
        <w:tc>
          <w:tcPr>
            <w:tcW w:type="dxa" w:w="1400"/>
            <w:tcBorders>
              <w:top w:val="single" w:color="C7D2DD" w:sz="1"/>
              <w:left w:val="single" w:color="C7D2DD" w:sz="1"/>
              <w:bottom w:val="single" w:color="C7D2DD" w:sz="1"/>
              <w:right w:val="single" w:color="C7D2DD" w:sz="1"/>
            </w:tcBorders>
            <w:shd w:fill="FCE9D6" w:val="clear"/>
            <w:tcMar>
              <w:top w:type="dxa" w:w="60"/>
              <w:left w:type="dxa" w:w="110"/>
              <w:bottom w:type="dxa" w:w="60"/>
              <w:right w:type="dxa" w:w="110"/>
            </w:tcMar>
            <w:vAlign w:val="center"/>
          </w:tcPr>
          <w:p>
            <w:pPr>
              <w:spacing w:after="0" w:line="252"/>
              <w:jc w:val="center"/>
            </w:pPr>
            <w:r>
              <w:rPr>
                <w:b/>
                <w:bCs/>
              </w:rPr>
              <w:t xml:space="preserve">13.0</w:t>
            </w:r>
          </w:p>
        </w:tc>
      </w:tr>
      <w:tr>
        <w:trPr>
          <w:tblHeader w:val="false"/>
        </w:trPr>
        <w:tc>
          <w:tcPr>
            <w:tcW w:type="dxa" w:w="236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left"/>
            </w:pPr>
            <w:r>
              <w:t xml:space="preserve">Max entry queue</w:t>
            </w:r>
          </w:p>
        </w:tc>
        <w:tc>
          <w:tcPr>
            <w:tcW w:type="dxa" w:w="14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25</w:t>
            </w:r>
          </w:p>
        </w:tc>
        <w:tc>
          <w:tcPr>
            <w:tcW w:type="dxa" w:w="1400"/>
            <w:tcBorders>
              <w:top w:val="single" w:color="C7D2DD" w:sz="1"/>
              <w:left w:val="single" w:color="C7D2DD" w:sz="1"/>
              <w:bottom w:val="single" w:color="C7D2DD" w:sz="1"/>
              <w:right w:val="single" w:color="C7D2DD" w:sz="1"/>
            </w:tcBorders>
            <w:shd w:fill="FCE9D6" w:val="clear"/>
            <w:tcMar>
              <w:top w:type="dxa" w:w="60"/>
              <w:left w:type="dxa" w:w="110"/>
              <w:bottom w:type="dxa" w:w="60"/>
              <w:right w:type="dxa" w:w="110"/>
            </w:tcMar>
            <w:vAlign w:val="center"/>
          </w:tcPr>
          <w:p>
            <w:pPr>
              <w:spacing w:after="0" w:line="252"/>
              <w:jc w:val="center"/>
            </w:pPr>
            <w:r>
              <w:rPr>
                <w:b/>
                <w:bCs/>
              </w:rPr>
              <w:t xml:space="preserve">55</w:t>
            </w:r>
          </w:p>
        </w:tc>
        <w:tc>
          <w:tcPr>
            <w:tcW w:type="dxa" w:w="14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42</w:t>
            </w:r>
          </w:p>
        </w:tc>
        <w:tc>
          <w:tcPr>
            <w:tcW w:type="dxa" w:w="14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40</w:t>
            </w:r>
          </w:p>
        </w:tc>
        <w:tc>
          <w:tcPr>
            <w:tcW w:type="dxa" w:w="14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35</w:t>
            </w:r>
          </w:p>
        </w:tc>
      </w:tr>
      <w:tr>
        <w:trPr>
          <w:tblHeader w:val="false"/>
        </w:trPr>
        <w:tc>
          <w:tcPr>
            <w:tcW w:type="dxa" w:w="236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left"/>
            </w:pPr>
            <w:r>
              <w:t xml:space="preserve">Max exit queue</w:t>
            </w:r>
          </w:p>
        </w:tc>
        <w:tc>
          <w:tcPr>
            <w:tcW w:type="dxa" w:w="14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13</w:t>
            </w:r>
          </w:p>
        </w:tc>
        <w:tc>
          <w:tcPr>
            <w:tcW w:type="dxa" w:w="14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15</w:t>
            </w:r>
          </w:p>
        </w:tc>
        <w:tc>
          <w:tcPr>
            <w:tcW w:type="dxa" w:w="14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18</w:t>
            </w:r>
          </w:p>
        </w:tc>
        <w:tc>
          <w:tcPr>
            <w:tcW w:type="dxa" w:w="14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4</w:t>
            </w:r>
          </w:p>
        </w:tc>
        <w:tc>
          <w:tcPr>
            <w:tcW w:type="dxa" w:w="1400"/>
            <w:tcBorders>
              <w:top w:val="single" w:color="C7D2DD" w:sz="1"/>
              <w:left w:val="single" w:color="C7D2DD" w:sz="1"/>
              <w:bottom w:val="single" w:color="C7D2DD" w:sz="1"/>
              <w:right w:val="single" w:color="C7D2DD" w:sz="1"/>
            </w:tcBorders>
            <w:shd w:fill="FCE9D6" w:val="clear"/>
            <w:tcMar>
              <w:top w:type="dxa" w:w="60"/>
              <w:left w:type="dxa" w:w="110"/>
              <w:bottom w:type="dxa" w:w="60"/>
              <w:right w:type="dxa" w:w="110"/>
            </w:tcMar>
            <w:vAlign w:val="center"/>
          </w:tcPr>
          <w:p>
            <w:pPr>
              <w:spacing w:after="0" w:line="252"/>
              <w:jc w:val="center"/>
            </w:pPr>
            <w:r>
              <w:rPr>
                <w:b/>
                <w:bCs/>
              </w:rPr>
              <w:t xml:space="preserve">29</w:t>
            </w:r>
          </w:p>
        </w:tc>
      </w:tr>
      <w:tr>
        <w:trPr>
          <w:tblHeader w:val="false"/>
        </w:trPr>
        <w:tc>
          <w:tcPr>
            <w:tcW w:type="dxa" w:w="236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left"/>
            </w:pPr>
            <w:r>
              <w:t xml:space="preserve">Denied vehicles</w:t>
            </w:r>
          </w:p>
        </w:tc>
        <w:tc>
          <w:tcPr>
            <w:tcW w:type="dxa" w:w="14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0</w:t>
            </w:r>
          </w:p>
        </w:tc>
        <w:tc>
          <w:tcPr>
            <w:tcW w:type="dxa" w:w="14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0</w:t>
            </w:r>
          </w:p>
        </w:tc>
        <w:tc>
          <w:tcPr>
            <w:tcW w:type="dxa" w:w="1400"/>
            <w:tcBorders>
              <w:top w:val="single" w:color="C7D2DD" w:sz="1"/>
              <w:left w:val="single" w:color="C7D2DD" w:sz="1"/>
              <w:bottom w:val="single" w:color="C7D2DD" w:sz="1"/>
              <w:right w:val="single" w:color="C7D2DD" w:sz="1"/>
            </w:tcBorders>
            <w:shd w:fill="FCE9D6" w:val="clear"/>
            <w:tcMar>
              <w:top w:type="dxa" w:w="60"/>
              <w:left w:type="dxa" w:w="110"/>
              <w:bottom w:type="dxa" w:w="60"/>
              <w:right w:type="dxa" w:w="110"/>
            </w:tcMar>
            <w:vAlign w:val="center"/>
          </w:tcPr>
          <w:p>
            <w:pPr>
              <w:spacing w:after="0" w:line="252"/>
              <w:jc w:val="center"/>
            </w:pPr>
            <w:r>
              <w:rPr>
                <w:b/>
                <w:bCs/>
              </w:rPr>
              <w:t xml:space="preserve">13</w:t>
            </w:r>
          </w:p>
        </w:tc>
        <w:tc>
          <w:tcPr>
            <w:tcW w:type="dxa" w:w="14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0</w:t>
            </w:r>
          </w:p>
        </w:tc>
        <w:tc>
          <w:tcPr>
            <w:tcW w:type="dxa" w:w="14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0</w:t>
            </w:r>
          </w:p>
        </w:tc>
      </w:tr>
    </w:tbl>
    <w:p>
      <w:pPr>
        <w:spacing w:after="200" w:before="60"/>
      </w:pPr>
      <w:r>
        <w:rPr>
          <w:i/>
          <w:iCs/>
          <w:color w:val="5A6B7B"/>
          <w:sz w:val="18"/>
          <w:szCs w:val="18"/>
        </w:rPr>
        <w:t xml:space="preserve">Table 3. Five scenarios on the base one-gate map (deterministic seeded results).</w:t>
      </w:r>
    </w:p>
    <w:p>
      <w:pPr>
        <w:spacing w:after="120" w:line="276"/>
      </w:pPr>
      <w:r>
        <w:rPr>
          <w:b/>
          <w:bCs/>
        </w:rPr>
        <w:t xml:space="preserve">Interpretation</w:t>
      </w:r>
    </w:p>
    <w:p>
      <w:pPr>
        <w:pStyle w:val="ListParagraph"/>
        <w:numPr>
          <w:ilvl w:val="0"/>
          <w:numId w:val="2"/>
        </w:numPr>
        <w:spacing w:after="60"/>
      </w:pPr>
      <w:r>
        <w:rPr>
          <w:b/>
          <w:bCs/>
        </w:rPr>
        <w:t xml:space="preserve">baseline</w:t>
      </w:r>
      <w:r>
        <w:t xml:space="preserve"> — balanced: moderate waits, ~80% exit-gate utilization, no denials. Reference point.</w:t>
      </w:r>
    </w:p>
    <w:p>
      <w:pPr>
        <w:pStyle w:val="ListParagraph"/>
        <w:numPr>
          <w:ilvl w:val="0"/>
          <w:numId w:val="2"/>
        </w:numPr>
        <w:spacing w:after="60"/>
      </w:pPr>
      <w:r>
        <w:rPr>
          <w:b/>
          <w:bCs/>
        </w:rPr>
        <w:t xml:space="preserve">rush_hour</w:t>
      </w:r>
      <w:r>
        <w:t xml:space="preserve"> — clustered arrivals more than double the entry wait (49→109 min) and push the entry queue to a peak of 55. The single gate still clears everyone, so throughput is highest (10/hr): the demand pattern, not capacity, is the stressor.</w:t>
      </w:r>
    </w:p>
    <w:p>
      <w:pPr>
        <w:pStyle w:val="ListParagraph"/>
        <w:numPr>
          <w:ilvl w:val="0"/>
          <w:numId w:val="2"/>
        </w:numPr>
        <w:spacing w:after="60"/>
      </w:pPr>
      <w:r>
        <w:rPr>
          <w:b/>
          <w:bCs/>
        </w:rPr>
        <w:t xml:space="preserve">limited_slots</w:t>
      </w:r>
      <w:r>
        <w:t xml:space="preserve"> — cutting usable capacity from 72 to 16 causes 13 denials and lowers throughput (7.5/hr); the binding constraint is parking capacity, not the gates.</w:t>
      </w:r>
    </w:p>
    <w:p>
      <w:pPr>
        <w:pStyle w:val="ListParagraph"/>
        <w:numPr>
          <w:ilvl w:val="0"/>
          <w:numId w:val="2"/>
        </w:numPr>
        <w:spacing w:after="60"/>
      </w:pPr>
      <w:r>
        <w:rPr>
          <w:b/>
          <w:bCs/>
        </w:rPr>
        <w:t xml:space="preserve">slow_entry</w:t>
      </w:r>
      <w:r>
        <w:t xml:space="preserve"> — a slow entry gate drives entry-gate utilization to 86% and the highest entry wait (127 min), while the exit side stays idle (exit wait 5.5 min). Classic single-server bottleneck at the entrance.</w:t>
      </w:r>
    </w:p>
    <w:p>
      <w:pPr>
        <w:pStyle w:val="ListParagraph"/>
        <w:numPr>
          <w:ilvl w:val="0"/>
          <w:numId w:val="2"/>
        </w:numPr>
        <w:spacing w:after="60"/>
      </w:pPr>
      <w:r>
        <w:rPr>
          <w:b/>
          <w:bCs/>
        </w:rPr>
        <w:t xml:space="preserve">exit_congestion</w:t>
      </w:r>
      <w:r>
        <w:t xml:space="preserve"> — a slow exit gate pushes exit-gate utilization to 89%, the largest exit queue (peak 29), and the longest time-in-system (229 min). The bottleneck is the exit.</w:t>
      </w:r>
    </w:p>
    <w:p>
      <w:pPr>
        <w:spacing w:after="120" w:line="276"/>
      </w:pPr>
      <w:r>
        <w:rPr>
          <w:b/>
          <w:bCs/>
        </w:rPr>
        <w:t xml:space="preserve">Scenario comparison (≥2 scenarios).</w:t>
      </w:r>
      <w:r>
        <w:t xml:space="preserve"> Contrasting </w:t>
      </w:r>
      <w:r>
        <w:rPr>
          <w:b/>
          <w:bCs/>
        </w:rPr>
        <w:t xml:space="preserve">slow_entry vs. exit_congestion</w:t>
      </w:r>
      <w:r>
        <w:t xml:space="preserve"> isolates the two bottlenecks at equal arrival load: the slow gate in each case becomes the high-utilization, high-wait resource while the other gate is underused. Contrasting </w:t>
      </w:r>
      <w:r>
        <w:rPr>
          <w:b/>
          <w:bCs/>
        </w:rPr>
        <w:t xml:space="preserve">baseline vs. rush_hour</w:t>
      </w:r>
      <w:r>
        <w:t xml:space="preserve"> shows that the same resources produce very different queues purely from arrival clustering.</w:t>
      </w:r>
    </w:p>
    <w:p>
      <w:pPr>
        <w:pStyle w:val="Heading2"/>
      </w:pPr>
      <w:r>
        <w:t xml:space="preserve">7.2 Gate-configuration comparison — “one cashier vs. two cashiers”</w:t>
      </w:r>
    </w:p>
    <w:p>
      <w:pPr>
        <w:spacing w:after="120" w:line="276"/>
      </w:pPr>
      <w:r>
        <w:t xml:space="preserve">Here the demand is held fixed and only the map (gate count) changes. This is the direct analogue of the rubric’s “one cashier vs. two cashiers” example.</w:t>
      </w:r>
    </w:p>
    <w:p>
      <w:pPr>
        <w:spacing w:after="120" w:line="276"/>
      </w:pPr>
      <w:r>
        <w:rPr>
          <w:b/>
          <w:bCs/>
        </w:rPr>
        <w:t xml:space="preserve">slow_entry (entry is the bottleneck) — adding a second entry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500"/>
        <w:gridCol w:w="1300"/>
        <w:gridCol w:w="1560"/>
        <w:gridCol w:w="1000"/>
      </w:tblGrid>
      <w:tr>
        <w:trPr>
          <w:tblHeader/>
        </w:trPr>
        <w:tc>
          <w:tcPr>
            <w:tcW w:type="dxa" w:w="2700"/>
            <w:tcBorders>
              <w:top w:val="single" w:color="C7D2DD" w:sz="1"/>
              <w:left w:val="single" w:color="C7D2DD" w:sz="1"/>
              <w:bottom w:val="single" w:color="C7D2DD" w:sz="1"/>
              <w:right w:val="single" w:color="C7D2DD" w:sz="1"/>
            </w:tcBorders>
            <w:shd w:fill="1F4E79" w:val="clear"/>
            <w:tcMar>
              <w:top w:type="dxa" w:w="60"/>
              <w:left w:type="dxa" w:w="110"/>
              <w:bottom w:type="dxa" w:w="60"/>
              <w:right w:type="dxa" w:w="110"/>
            </w:tcMar>
            <w:vAlign w:val="center"/>
          </w:tcPr>
          <w:p>
            <w:pPr>
              <w:spacing w:after="0" w:line="252"/>
              <w:jc w:val="left"/>
            </w:pPr>
            <w:r>
              <w:rPr>
                <w:b/>
                <w:bCs/>
                <w:color w:val="FFFFFF"/>
              </w:rPr>
              <w:t xml:space="preserve">Map</w:t>
            </w:r>
          </w:p>
        </w:tc>
        <w:tc>
          <w:tcPr>
            <w:tcW w:type="dxa" w:w="1300"/>
            <w:tcBorders>
              <w:top w:val="single" w:color="C7D2DD" w:sz="1"/>
              <w:left w:val="single" w:color="C7D2DD" w:sz="1"/>
              <w:bottom w:val="single" w:color="C7D2DD" w:sz="1"/>
              <w:right w:val="single" w:color="C7D2DD" w:sz="1"/>
            </w:tcBorders>
            <w:shd w:fill="1F4E79" w:val="clear"/>
            <w:tcMar>
              <w:top w:type="dxa" w:w="60"/>
              <w:left w:type="dxa" w:w="110"/>
              <w:bottom w:type="dxa" w:w="60"/>
              <w:right w:type="dxa" w:w="110"/>
            </w:tcMar>
            <w:vAlign w:val="center"/>
          </w:tcPr>
          <w:p>
            <w:pPr>
              <w:spacing w:after="0" w:line="252"/>
              <w:jc w:val="center"/>
            </w:pPr>
            <w:r>
              <w:rPr>
                <w:b/>
                <w:bCs/>
                <w:color w:val="FFFFFF"/>
              </w:rPr>
              <w:t xml:space="preserve">Entry gates</w:t>
            </w:r>
          </w:p>
        </w:tc>
        <w:tc>
          <w:tcPr>
            <w:tcW w:type="dxa" w:w="1500"/>
            <w:tcBorders>
              <w:top w:val="single" w:color="C7D2DD" w:sz="1"/>
              <w:left w:val="single" w:color="C7D2DD" w:sz="1"/>
              <w:bottom w:val="single" w:color="C7D2DD" w:sz="1"/>
              <w:right w:val="single" w:color="C7D2DD" w:sz="1"/>
            </w:tcBorders>
            <w:shd w:fill="1F4E79" w:val="clear"/>
            <w:tcMar>
              <w:top w:type="dxa" w:w="60"/>
              <w:left w:type="dxa" w:w="110"/>
              <w:bottom w:type="dxa" w:w="60"/>
              <w:right w:type="dxa" w:w="110"/>
            </w:tcMar>
            <w:vAlign w:val="center"/>
          </w:tcPr>
          <w:p>
            <w:pPr>
              <w:spacing w:after="0" w:line="252"/>
              <w:jc w:val="center"/>
            </w:pPr>
            <w:r>
              <w:rPr>
                <w:b/>
                <w:bCs/>
                <w:color w:val="FFFFFF"/>
              </w:rPr>
              <w:t xml:space="preserve">Avg entry wait</w:t>
            </w:r>
          </w:p>
        </w:tc>
        <w:tc>
          <w:tcPr>
            <w:tcW w:type="dxa" w:w="1300"/>
            <w:tcBorders>
              <w:top w:val="single" w:color="C7D2DD" w:sz="1"/>
              <w:left w:val="single" w:color="C7D2DD" w:sz="1"/>
              <w:bottom w:val="single" w:color="C7D2DD" w:sz="1"/>
              <w:right w:val="single" w:color="C7D2DD" w:sz="1"/>
            </w:tcBorders>
            <w:shd w:fill="1F4E79" w:val="clear"/>
            <w:tcMar>
              <w:top w:type="dxa" w:w="60"/>
              <w:left w:type="dxa" w:w="110"/>
              <w:bottom w:type="dxa" w:w="60"/>
              <w:right w:type="dxa" w:w="110"/>
            </w:tcMar>
            <w:vAlign w:val="center"/>
          </w:tcPr>
          <w:p>
            <w:pPr>
              <w:spacing w:after="0" w:line="252"/>
              <w:jc w:val="center"/>
            </w:pPr>
            <w:r>
              <w:rPr>
                <w:b/>
                <w:bCs/>
                <w:color w:val="FFFFFF"/>
              </w:rPr>
              <w:t xml:space="preserve">Entry util %</w:t>
            </w:r>
          </w:p>
        </w:tc>
        <w:tc>
          <w:tcPr>
            <w:tcW w:type="dxa" w:w="1560"/>
            <w:tcBorders>
              <w:top w:val="single" w:color="C7D2DD" w:sz="1"/>
              <w:left w:val="single" w:color="C7D2DD" w:sz="1"/>
              <w:bottom w:val="single" w:color="C7D2DD" w:sz="1"/>
              <w:right w:val="single" w:color="C7D2DD" w:sz="1"/>
            </w:tcBorders>
            <w:shd w:fill="1F4E79" w:val="clear"/>
            <w:tcMar>
              <w:top w:type="dxa" w:w="60"/>
              <w:left w:type="dxa" w:w="110"/>
              <w:bottom w:type="dxa" w:w="60"/>
              <w:right w:type="dxa" w:w="110"/>
            </w:tcMar>
            <w:vAlign w:val="center"/>
          </w:tcPr>
          <w:p>
            <w:pPr>
              <w:spacing w:after="0" w:line="252"/>
              <w:jc w:val="center"/>
            </w:pPr>
            <w:r>
              <w:rPr>
                <w:b/>
                <w:bCs/>
                <w:color w:val="FFFFFF"/>
              </w:rPr>
              <w:t xml:space="preserve">Throughput (veh/hr)</w:t>
            </w:r>
          </w:p>
        </w:tc>
        <w:tc>
          <w:tcPr>
            <w:tcW w:type="dxa" w:w="1000"/>
            <w:tcBorders>
              <w:top w:val="single" w:color="C7D2DD" w:sz="1"/>
              <w:left w:val="single" w:color="C7D2DD" w:sz="1"/>
              <w:bottom w:val="single" w:color="C7D2DD" w:sz="1"/>
              <w:right w:val="single" w:color="C7D2DD" w:sz="1"/>
            </w:tcBorders>
            <w:shd w:fill="1F4E79" w:val="clear"/>
            <w:tcMar>
              <w:top w:type="dxa" w:w="60"/>
              <w:left w:type="dxa" w:w="110"/>
              <w:bottom w:type="dxa" w:w="60"/>
              <w:right w:type="dxa" w:w="110"/>
            </w:tcMar>
            <w:vAlign w:val="center"/>
          </w:tcPr>
          <w:p>
            <w:pPr>
              <w:spacing w:after="0" w:line="252"/>
              <w:jc w:val="center"/>
            </w:pPr>
            <w:r>
              <w:rPr>
                <w:b/>
                <w:bCs/>
                <w:color w:val="FFFFFF"/>
              </w:rPr>
              <w:t xml:space="preserve">Time in system</w:t>
            </w:r>
          </w:p>
        </w:tc>
      </w:tr>
      <w:tr>
        <w:trPr>
          <w:tblHeader w:val="false"/>
        </w:trPr>
        <w:tc>
          <w:tcPr>
            <w:tcW w:type="dxa" w:w="27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left"/>
            </w:pPr>
            <w:r>
              <w:t xml:space="preserve">one_entrance_one_exit</w:t>
            </w:r>
          </w:p>
        </w:tc>
        <w:tc>
          <w:tcPr>
            <w:tcW w:type="dxa" w:w="13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1</w:t>
            </w:r>
          </w:p>
        </w:tc>
        <w:tc>
          <w:tcPr>
            <w:tcW w:type="dxa" w:w="1500"/>
            <w:tcBorders>
              <w:top w:val="single" w:color="C7D2DD" w:sz="1"/>
              <w:left w:val="single" w:color="C7D2DD" w:sz="1"/>
              <w:bottom w:val="single" w:color="C7D2DD" w:sz="1"/>
              <w:right w:val="single" w:color="C7D2DD" w:sz="1"/>
            </w:tcBorders>
            <w:shd w:fill="FCE9D6" w:val="clear"/>
            <w:tcMar>
              <w:top w:type="dxa" w:w="60"/>
              <w:left w:type="dxa" w:w="110"/>
              <w:bottom w:type="dxa" w:w="60"/>
              <w:right w:type="dxa" w:w="110"/>
            </w:tcMar>
            <w:vAlign w:val="center"/>
          </w:tcPr>
          <w:p>
            <w:pPr>
              <w:spacing w:after="0" w:line="252"/>
              <w:jc w:val="center"/>
            </w:pPr>
            <w:r>
              <w:rPr>
                <w:b/>
                <w:bCs/>
              </w:rPr>
              <w:t xml:space="preserve">127.0</w:t>
            </w:r>
          </w:p>
        </w:tc>
        <w:tc>
          <w:tcPr>
            <w:tcW w:type="dxa" w:w="13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86.0</w:t>
            </w:r>
          </w:p>
        </w:tc>
        <w:tc>
          <w:tcPr>
            <w:tcW w:type="dxa" w:w="156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8.4</w:t>
            </w:r>
          </w:p>
        </w:tc>
        <w:tc>
          <w:tcPr>
            <w:tcW w:type="dxa" w:w="10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183.5</w:t>
            </w:r>
          </w:p>
        </w:tc>
      </w:tr>
      <w:tr>
        <w:trPr>
          <w:tblHeader w:val="false"/>
        </w:trPr>
        <w:tc>
          <w:tcPr>
            <w:tcW w:type="dxa" w:w="27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left"/>
            </w:pPr>
            <w:r>
              <w:t xml:space="preserve">two_entrance_one_exit</w:t>
            </w:r>
          </w:p>
        </w:tc>
        <w:tc>
          <w:tcPr>
            <w:tcW w:type="dxa" w:w="13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2</w:t>
            </w:r>
          </w:p>
        </w:tc>
        <w:tc>
          <w:tcPr>
            <w:tcW w:type="dxa" w:w="1500"/>
            <w:tcBorders>
              <w:top w:val="single" w:color="C7D2DD" w:sz="1"/>
              <w:left w:val="single" w:color="C7D2DD" w:sz="1"/>
              <w:bottom w:val="single" w:color="C7D2DD" w:sz="1"/>
              <w:right w:val="single" w:color="C7D2DD" w:sz="1"/>
            </w:tcBorders>
            <w:shd w:fill="FCE9D6" w:val="clear"/>
            <w:tcMar>
              <w:top w:type="dxa" w:w="60"/>
              <w:left w:type="dxa" w:w="110"/>
              <w:bottom w:type="dxa" w:w="60"/>
              <w:right w:type="dxa" w:w="110"/>
            </w:tcMar>
            <w:vAlign w:val="center"/>
          </w:tcPr>
          <w:p>
            <w:pPr>
              <w:spacing w:after="0" w:line="252"/>
              <w:jc w:val="center"/>
            </w:pPr>
            <w:r>
              <w:rPr>
                <w:b/>
                <w:bCs/>
              </w:rPr>
              <w:t xml:space="preserve">52.1</w:t>
            </w:r>
          </w:p>
        </w:tc>
        <w:tc>
          <w:tcPr>
            <w:tcW w:type="dxa" w:w="13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51.0</w:t>
            </w:r>
          </w:p>
        </w:tc>
        <w:tc>
          <w:tcPr>
            <w:tcW w:type="dxa" w:w="156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10.0</w:t>
            </w:r>
          </w:p>
        </w:tc>
        <w:tc>
          <w:tcPr>
            <w:tcW w:type="dxa" w:w="10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151.3</w:t>
            </w:r>
          </w:p>
        </w:tc>
      </w:tr>
    </w:tbl>
    <w:p>
      <w:pPr>
        <w:spacing w:after="200" w:before="60"/>
      </w:pPr>
      <w:r>
        <w:rPr>
          <w:i/>
          <w:iCs/>
          <w:color w:val="5A6B7B"/>
          <w:sz w:val="18"/>
          <w:szCs w:val="18"/>
        </w:rPr>
        <w:t xml:space="preserve">Table 4. slow_entry: a second entry lane cuts the entry wait ~59% (127→52 min) and raises throughput. Adding an exit gate instead does almost nothing — capacity must go at the bottleneck.</w:t>
      </w:r>
    </w:p>
    <w:p>
      <w:pPr>
        <w:spacing w:after="120" w:line="276"/>
      </w:pPr>
      <w:r>
        <w:rPr>
          <w:b/>
          <w:bCs/>
        </w:rPr>
        <w:t xml:space="preserve">exit_congestion (exit is the bottleneck) — adding a second exit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500"/>
        <w:gridCol w:w="1300"/>
        <w:gridCol w:w="1560"/>
        <w:gridCol w:w="1000"/>
      </w:tblGrid>
      <w:tr>
        <w:trPr>
          <w:tblHeader/>
        </w:trPr>
        <w:tc>
          <w:tcPr>
            <w:tcW w:type="dxa" w:w="2700"/>
            <w:tcBorders>
              <w:top w:val="single" w:color="C7D2DD" w:sz="1"/>
              <w:left w:val="single" w:color="C7D2DD" w:sz="1"/>
              <w:bottom w:val="single" w:color="C7D2DD" w:sz="1"/>
              <w:right w:val="single" w:color="C7D2DD" w:sz="1"/>
            </w:tcBorders>
            <w:shd w:fill="1F4E79" w:val="clear"/>
            <w:tcMar>
              <w:top w:type="dxa" w:w="60"/>
              <w:left w:type="dxa" w:w="110"/>
              <w:bottom w:type="dxa" w:w="60"/>
              <w:right w:type="dxa" w:w="110"/>
            </w:tcMar>
            <w:vAlign w:val="center"/>
          </w:tcPr>
          <w:p>
            <w:pPr>
              <w:spacing w:after="0" w:line="252"/>
              <w:jc w:val="left"/>
            </w:pPr>
            <w:r>
              <w:rPr>
                <w:b/>
                <w:bCs/>
                <w:color w:val="FFFFFF"/>
              </w:rPr>
              <w:t xml:space="preserve">Map</w:t>
            </w:r>
          </w:p>
        </w:tc>
        <w:tc>
          <w:tcPr>
            <w:tcW w:type="dxa" w:w="1300"/>
            <w:tcBorders>
              <w:top w:val="single" w:color="C7D2DD" w:sz="1"/>
              <w:left w:val="single" w:color="C7D2DD" w:sz="1"/>
              <w:bottom w:val="single" w:color="C7D2DD" w:sz="1"/>
              <w:right w:val="single" w:color="C7D2DD" w:sz="1"/>
            </w:tcBorders>
            <w:shd w:fill="1F4E79" w:val="clear"/>
            <w:tcMar>
              <w:top w:type="dxa" w:w="60"/>
              <w:left w:type="dxa" w:w="110"/>
              <w:bottom w:type="dxa" w:w="60"/>
              <w:right w:type="dxa" w:w="110"/>
            </w:tcMar>
            <w:vAlign w:val="center"/>
          </w:tcPr>
          <w:p>
            <w:pPr>
              <w:spacing w:after="0" w:line="252"/>
              <w:jc w:val="center"/>
            </w:pPr>
            <w:r>
              <w:rPr>
                <w:b/>
                <w:bCs/>
                <w:color w:val="FFFFFF"/>
              </w:rPr>
              <w:t xml:space="preserve">Exit gates</w:t>
            </w:r>
          </w:p>
        </w:tc>
        <w:tc>
          <w:tcPr>
            <w:tcW w:type="dxa" w:w="1500"/>
            <w:tcBorders>
              <w:top w:val="single" w:color="C7D2DD" w:sz="1"/>
              <w:left w:val="single" w:color="C7D2DD" w:sz="1"/>
              <w:bottom w:val="single" w:color="C7D2DD" w:sz="1"/>
              <w:right w:val="single" w:color="C7D2DD" w:sz="1"/>
            </w:tcBorders>
            <w:shd w:fill="1F4E79" w:val="clear"/>
            <w:tcMar>
              <w:top w:type="dxa" w:w="60"/>
              <w:left w:type="dxa" w:w="110"/>
              <w:bottom w:type="dxa" w:w="60"/>
              <w:right w:type="dxa" w:w="110"/>
            </w:tcMar>
            <w:vAlign w:val="center"/>
          </w:tcPr>
          <w:p>
            <w:pPr>
              <w:spacing w:after="0" w:line="252"/>
              <w:jc w:val="center"/>
            </w:pPr>
            <w:r>
              <w:rPr>
                <w:b/>
                <w:bCs/>
                <w:color w:val="FFFFFF"/>
              </w:rPr>
              <w:t xml:space="preserve">Avg exit wait</w:t>
            </w:r>
          </w:p>
        </w:tc>
        <w:tc>
          <w:tcPr>
            <w:tcW w:type="dxa" w:w="1300"/>
            <w:tcBorders>
              <w:top w:val="single" w:color="C7D2DD" w:sz="1"/>
              <w:left w:val="single" w:color="C7D2DD" w:sz="1"/>
              <w:bottom w:val="single" w:color="C7D2DD" w:sz="1"/>
              <w:right w:val="single" w:color="C7D2DD" w:sz="1"/>
            </w:tcBorders>
            <w:shd w:fill="1F4E79" w:val="clear"/>
            <w:tcMar>
              <w:top w:type="dxa" w:w="60"/>
              <w:left w:type="dxa" w:w="110"/>
              <w:bottom w:type="dxa" w:w="60"/>
              <w:right w:type="dxa" w:w="110"/>
            </w:tcMar>
            <w:vAlign w:val="center"/>
          </w:tcPr>
          <w:p>
            <w:pPr>
              <w:spacing w:after="0" w:line="252"/>
              <w:jc w:val="center"/>
            </w:pPr>
            <w:r>
              <w:rPr>
                <w:b/>
                <w:bCs/>
                <w:color w:val="FFFFFF"/>
              </w:rPr>
              <w:t xml:space="preserve">Exit util %</w:t>
            </w:r>
          </w:p>
        </w:tc>
        <w:tc>
          <w:tcPr>
            <w:tcW w:type="dxa" w:w="1560"/>
            <w:tcBorders>
              <w:top w:val="single" w:color="C7D2DD" w:sz="1"/>
              <w:left w:val="single" w:color="C7D2DD" w:sz="1"/>
              <w:bottom w:val="single" w:color="C7D2DD" w:sz="1"/>
              <w:right w:val="single" w:color="C7D2DD" w:sz="1"/>
            </w:tcBorders>
            <w:shd w:fill="1F4E79" w:val="clear"/>
            <w:tcMar>
              <w:top w:type="dxa" w:w="60"/>
              <w:left w:type="dxa" w:w="110"/>
              <w:bottom w:type="dxa" w:w="60"/>
              <w:right w:type="dxa" w:w="110"/>
            </w:tcMar>
            <w:vAlign w:val="center"/>
          </w:tcPr>
          <w:p>
            <w:pPr>
              <w:spacing w:after="0" w:line="252"/>
              <w:jc w:val="center"/>
            </w:pPr>
            <w:r>
              <w:rPr>
                <w:b/>
                <w:bCs/>
                <w:color w:val="FFFFFF"/>
              </w:rPr>
              <w:t xml:space="preserve">Throughput (veh/hr)</w:t>
            </w:r>
          </w:p>
        </w:tc>
        <w:tc>
          <w:tcPr>
            <w:tcW w:type="dxa" w:w="1000"/>
            <w:tcBorders>
              <w:top w:val="single" w:color="C7D2DD" w:sz="1"/>
              <w:left w:val="single" w:color="C7D2DD" w:sz="1"/>
              <w:bottom w:val="single" w:color="C7D2DD" w:sz="1"/>
              <w:right w:val="single" w:color="C7D2DD" w:sz="1"/>
            </w:tcBorders>
            <w:shd w:fill="1F4E79" w:val="clear"/>
            <w:tcMar>
              <w:top w:type="dxa" w:w="60"/>
              <w:left w:type="dxa" w:w="110"/>
              <w:bottom w:type="dxa" w:w="60"/>
              <w:right w:type="dxa" w:w="110"/>
            </w:tcMar>
            <w:vAlign w:val="center"/>
          </w:tcPr>
          <w:p>
            <w:pPr>
              <w:spacing w:after="0" w:line="252"/>
              <w:jc w:val="center"/>
            </w:pPr>
            <w:r>
              <w:rPr>
                <w:b/>
                <w:bCs/>
                <w:color w:val="FFFFFF"/>
              </w:rPr>
              <w:t xml:space="preserve">Time in system</w:t>
            </w:r>
          </w:p>
        </w:tc>
      </w:tr>
      <w:tr>
        <w:trPr>
          <w:tblHeader w:val="false"/>
        </w:trPr>
        <w:tc>
          <w:tcPr>
            <w:tcW w:type="dxa" w:w="27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left"/>
            </w:pPr>
            <w:r>
              <w:t xml:space="preserve">one_entrance_one_exit</w:t>
            </w:r>
          </w:p>
        </w:tc>
        <w:tc>
          <w:tcPr>
            <w:tcW w:type="dxa" w:w="13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1</w:t>
            </w:r>
          </w:p>
        </w:tc>
        <w:tc>
          <w:tcPr>
            <w:tcW w:type="dxa" w:w="1500"/>
            <w:tcBorders>
              <w:top w:val="single" w:color="C7D2DD" w:sz="1"/>
              <w:left w:val="single" w:color="C7D2DD" w:sz="1"/>
              <w:bottom w:val="single" w:color="C7D2DD" w:sz="1"/>
              <w:right w:val="single" w:color="C7D2DD" w:sz="1"/>
            </w:tcBorders>
            <w:shd w:fill="FCE9D6" w:val="clear"/>
            <w:tcMar>
              <w:top w:type="dxa" w:w="60"/>
              <w:left w:type="dxa" w:w="110"/>
              <w:bottom w:type="dxa" w:w="60"/>
              <w:right w:type="dxa" w:w="110"/>
            </w:tcMar>
            <w:vAlign w:val="center"/>
          </w:tcPr>
          <w:p>
            <w:pPr>
              <w:spacing w:after="0" w:line="252"/>
              <w:jc w:val="center"/>
            </w:pPr>
            <w:r>
              <w:rPr>
                <w:b/>
                <w:bCs/>
              </w:rPr>
              <w:t xml:space="preserve">119.0</w:t>
            </w:r>
          </w:p>
        </w:tc>
        <w:tc>
          <w:tcPr>
            <w:tcW w:type="dxa" w:w="13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89.3</w:t>
            </w:r>
          </w:p>
        </w:tc>
        <w:tc>
          <w:tcPr>
            <w:tcW w:type="dxa" w:w="1560"/>
            <w:tcBorders>
              <w:top w:val="single" w:color="C7D2DD" w:sz="1"/>
              <w:left w:val="single" w:color="C7D2DD" w:sz="1"/>
              <w:bottom w:val="single" w:color="C7D2DD" w:sz="1"/>
              <w:right w:val="single" w:color="C7D2DD" w:sz="1"/>
            </w:tcBorders>
            <w:shd w:fill="FCE9D6" w:val="clear"/>
            <w:tcMar>
              <w:top w:type="dxa" w:w="60"/>
              <w:left w:type="dxa" w:w="110"/>
              <w:bottom w:type="dxa" w:w="60"/>
              <w:right w:type="dxa" w:w="110"/>
            </w:tcMar>
            <w:vAlign w:val="center"/>
          </w:tcPr>
          <w:p>
            <w:pPr>
              <w:spacing w:after="0" w:line="252"/>
              <w:jc w:val="center"/>
            </w:pPr>
            <w:r>
              <w:t xml:space="preserve">6.5</w:t>
            </w:r>
          </w:p>
        </w:tc>
        <w:tc>
          <w:tcPr>
            <w:tcW w:type="dxa" w:w="10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228.8</w:t>
            </w:r>
          </w:p>
        </w:tc>
      </w:tr>
      <w:tr>
        <w:trPr>
          <w:tblHeader w:val="false"/>
        </w:trPr>
        <w:tc>
          <w:tcPr>
            <w:tcW w:type="dxa" w:w="27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left"/>
            </w:pPr>
            <w:r>
              <w:t xml:space="preserve">one_entrance_two_exit</w:t>
            </w:r>
          </w:p>
        </w:tc>
        <w:tc>
          <w:tcPr>
            <w:tcW w:type="dxa" w:w="13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2</w:t>
            </w:r>
          </w:p>
        </w:tc>
        <w:tc>
          <w:tcPr>
            <w:tcW w:type="dxa" w:w="1500"/>
            <w:tcBorders>
              <w:top w:val="single" w:color="C7D2DD" w:sz="1"/>
              <w:left w:val="single" w:color="C7D2DD" w:sz="1"/>
              <w:bottom w:val="single" w:color="C7D2DD" w:sz="1"/>
              <w:right w:val="single" w:color="C7D2DD" w:sz="1"/>
            </w:tcBorders>
            <w:shd w:fill="FCE9D6" w:val="clear"/>
            <w:tcMar>
              <w:top w:type="dxa" w:w="60"/>
              <w:left w:type="dxa" w:w="110"/>
              <w:bottom w:type="dxa" w:w="60"/>
              <w:right w:type="dxa" w:w="110"/>
            </w:tcMar>
            <w:vAlign w:val="center"/>
          </w:tcPr>
          <w:p>
            <w:pPr>
              <w:spacing w:after="0" w:line="252"/>
              <w:jc w:val="center"/>
            </w:pPr>
            <w:r>
              <w:rPr>
                <w:b/>
                <w:bCs/>
              </w:rPr>
              <w:t xml:space="preserve">18.2</w:t>
            </w:r>
          </w:p>
        </w:tc>
        <w:tc>
          <w:tcPr>
            <w:tcW w:type="dxa" w:w="13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77.9</w:t>
            </w:r>
          </w:p>
        </w:tc>
        <w:tc>
          <w:tcPr>
            <w:tcW w:type="dxa" w:w="1560"/>
            <w:tcBorders>
              <w:top w:val="single" w:color="C7D2DD" w:sz="1"/>
              <w:left w:val="single" w:color="C7D2DD" w:sz="1"/>
              <w:bottom w:val="single" w:color="C7D2DD" w:sz="1"/>
              <w:right w:val="single" w:color="C7D2DD" w:sz="1"/>
            </w:tcBorders>
            <w:shd w:fill="FCE9D6" w:val="clear"/>
            <w:tcMar>
              <w:top w:type="dxa" w:w="60"/>
              <w:left w:type="dxa" w:w="110"/>
              <w:bottom w:type="dxa" w:w="60"/>
              <w:right w:type="dxa" w:w="110"/>
            </w:tcMar>
            <w:vAlign w:val="center"/>
          </w:tcPr>
          <w:p>
            <w:pPr>
              <w:spacing w:after="0" w:line="252"/>
              <w:jc w:val="center"/>
            </w:pPr>
            <w:r>
              <w:t xml:space="preserve">11.4</w:t>
            </w:r>
          </w:p>
        </w:tc>
        <w:tc>
          <w:tcPr>
            <w:tcW w:type="dxa" w:w="10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127.2</w:t>
            </w:r>
          </w:p>
        </w:tc>
      </w:tr>
    </w:tbl>
    <w:p>
      <w:pPr>
        <w:spacing w:after="200" w:before="60"/>
      </w:pPr>
      <w:r>
        <w:rPr>
          <w:i/>
          <w:iCs/>
          <w:color w:val="5A6B7B"/>
          <w:sz w:val="18"/>
          <w:szCs w:val="18"/>
        </w:rPr>
        <w:t xml:space="preserve">Table 5. exit_congestion: a second exit lane cuts the exit wait ~85% (119→18 min) and nearly doubles throughput. Adding a second entry gate instead makes exit congestion worse (119→154 min) — moving the bottleneck.</w:t>
      </w:r>
    </w:p>
    <w:p>
      <w:pPr>
        <w:spacing w:after="120" w:line="276"/>
      </w:pPr>
      <w:r>
        <w:rPr>
          <w:b/>
          <w:bCs/>
        </w:rPr>
        <w:t xml:space="preserve">rush_hour — full two-by-two map (two entry + two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860"/>
        <w:gridCol w:w="1500"/>
        <w:gridCol w:w="1200"/>
      </w:tblGrid>
      <w:tr>
        <w:trPr>
          <w:tblHeader/>
        </w:trPr>
        <w:tc>
          <w:tcPr>
            <w:tcW w:type="dxa" w:w="2900"/>
            <w:tcBorders>
              <w:top w:val="single" w:color="C7D2DD" w:sz="1"/>
              <w:left w:val="single" w:color="C7D2DD" w:sz="1"/>
              <w:bottom w:val="single" w:color="C7D2DD" w:sz="1"/>
              <w:right w:val="single" w:color="C7D2DD" w:sz="1"/>
            </w:tcBorders>
            <w:shd w:fill="1F4E79" w:val="clear"/>
            <w:tcMar>
              <w:top w:type="dxa" w:w="60"/>
              <w:left w:type="dxa" w:w="110"/>
              <w:bottom w:type="dxa" w:w="60"/>
              <w:right w:type="dxa" w:w="110"/>
            </w:tcMar>
            <w:vAlign w:val="center"/>
          </w:tcPr>
          <w:p>
            <w:pPr>
              <w:spacing w:after="0" w:line="252"/>
              <w:jc w:val="left"/>
            </w:pPr>
            <w:r>
              <w:rPr>
                <w:b/>
                <w:bCs/>
                <w:color w:val="FFFFFF"/>
              </w:rPr>
              <w:t xml:space="preserve">Map</w:t>
            </w:r>
          </w:p>
        </w:tc>
        <w:tc>
          <w:tcPr>
            <w:tcW w:type="dxa" w:w="1900"/>
            <w:tcBorders>
              <w:top w:val="single" w:color="C7D2DD" w:sz="1"/>
              <w:left w:val="single" w:color="C7D2DD" w:sz="1"/>
              <w:bottom w:val="single" w:color="C7D2DD" w:sz="1"/>
              <w:right w:val="single" w:color="C7D2DD" w:sz="1"/>
            </w:tcBorders>
            <w:shd w:fill="1F4E79" w:val="clear"/>
            <w:tcMar>
              <w:top w:type="dxa" w:w="60"/>
              <w:left w:type="dxa" w:w="110"/>
              <w:bottom w:type="dxa" w:w="60"/>
              <w:right w:type="dxa" w:w="110"/>
            </w:tcMar>
            <w:vAlign w:val="center"/>
          </w:tcPr>
          <w:p>
            <w:pPr>
              <w:spacing w:after="0" w:line="252"/>
              <w:jc w:val="center"/>
            </w:pPr>
            <w:r>
              <w:rPr>
                <w:b/>
                <w:bCs/>
                <w:color w:val="FFFFFF"/>
              </w:rPr>
              <w:t xml:space="preserve">Entry / Exit gates</w:t>
            </w:r>
          </w:p>
        </w:tc>
        <w:tc>
          <w:tcPr>
            <w:tcW w:type="dxa" w:w="1860"/>
            <w:tcBorders>
              <w:top w:val="single" w:color="C7D2DD" w:sz="1"/>
              <w:left w:val="single" w:color="C7D2DD" w:sz="1"/>
              <w:bottom w:val="single" w:color="C7D2DD" w:sz="1"/>
              <w:right w:val="single" w:color="C7D2DD" w:sz="1"/>
            </w:tcBorders>
            <w:shd w:fill="1F4E79" w:val="clear"/>
            <w:tcMar>
              <w:top w:type="dxa" w:w="60"/>
              <w:left w:type="dxa" w:w="110"/>
              <w:bottom w:type="dxa" w:w="60"/>
              <w:right w:type="dxa" w:w="110"/>
            </w:tcMar>
            <w:vAlign w:val="center"/>
          </w:tcPr>
          <w:p>
            <w:pPr>
              <w:spacing w:after="0" w:line="252"/>
              <w:jc w:val="center"/>
            </w:pPr>
            <w:r>
              <w:rPr>
                <w:b/>
                <w:bCs/>
                <w:color w:val="FFFFFF"/>
              </w:rPr>
              <w:t xml:space="preserve">Throughput (veh/hr)</w:t>
            </w:r>
          </w:p>
        </w:tc>
        <w:tc>
          <w:tcPr>
            <w:tcW w:type="dxa" w:w="1500"/>
            <w:tcBorders>
              <w:top w:val="single" w:color="C7D2DD" w:sz="1"/>
              <w:left w:val="single" w:color="C7D2DD" w:sz="1"/>
              <w:bottom w:val="single" w:color="C7D2DD" w:sz="1"/>
              <w:right w:val="single" w:color="C7D2DD" w:sz="1"/>
            </w:tcBorders>
            <w:shd w:fill="1F4E79" w:val="clear"/>
            <w:tcMar>
              <w:top w:type="dxa" w:w="60"/>
              <w:left w:type="dxa" w:w="110"/>
              <w:bottom w:type="dxa" w:w="60"/>
              <w:right w:type="dxa" w:w="110"/>
            </w:tcMar>
            <w:vAlign w:val="center"/>
          </w:tcPr>
          <w:p>
            <w:pPr>
              <w:spacing w:after="0" w:line="252"/>
              <w:jc w:val="center"/>
            </w:pPr>
            <w:r>
              <w:rPr>
                <w:b/>
                <w:bCs/>
                <w:color w:val="FFFFFF"/>
              </w:rPr>
              <w:t xml:space="preserve">Time in system</w:t>
            </w:r>
          </w:p>
        </w:tc>
        <w:tc>
          <w:tcPr>
            <w:tcW w:type="dxa" w:w="1200"/>
            <w:tcBorders>
              <w:top w:val="single" w:color="C7D2DD" w:sz="1"/>
              <w:left w:val="single" w:color="C7D2DD" w:sz="1"/>
              <w:bottom w:val="single" w:color="C7D2DD" w:sz="1"/>
              <w:right w:val="single" w:color="C7D2DD" w:sz="1"/>
            </w:tcBorders>
            <w:shd w:fill="1F4E79" w:val="clear"/>
            <w:tcMar>
              <w:top w:type="dxa" w:w="60"/>
              <w:left w:type="dxa" w:w="110"/>
              <w:bottom w:type="dxa" w:w="60"/>
              <w:right w:type="dxa" w:w="110"/>
            </w:tcMar>
            <w:vAlign w:val="center"/>
          </w:tcPr>
          <w:p>
            <w:pPr>
              <w:spacing w:after="0" w:line="252"/>
              <w:jc w:val="center"/>
            </w:pPr>
            <w:r>
              <w:rPr>
                <w:b/>
                <w:bCs/>
                <w:color w:val="FFFFFF"/>
              </w:rPr>
              <w:t xml:space="preserve">Max entry queue</w:t>
            </w:r>
          </w:p>
        </w:tc>
      </w:tr>
      <w:tr>
        <w:trPr>
          <w:tblHeader w:val="false"/>
        </w:trPr>
        <w:tc>
          <w:tcPr>
            <w:tcW w:type="dxa" w:w="29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left"/>
            </w:pPr>
            <w:r>
              <w:t xml:space="preserve">one_entrance_one_exit</w:t>
            </w:r>
          </w:p>
        </w:tc>
        <w:tc>
          <w:tcPr>
            <w:tcW w:type="dxa" w:w="19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1 / 1</w:t>
            </w:r>
          </w:p>
        </w:tc>
        <w:tc>
          <w:tcPr>
            <w:tcW w:type="dxa" w:w="186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10.0</w:t>
            </w:r>
          </w:p>
        </w:tc>
        <w:tc>
          <w:tcPr>
            <w:tcW w:type="dxa" w:w="15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195.4</w:t>
            </w:r>
          </w:p>
        </w:tc>
        <w:tc>
          <w:tcPr>
            <w:tcW w:type="dxa" w:w="1200"/>
            <w:tcBorders>
              <w:top w:val="single" w:color="C7D2DD" w:sz="1"/>
              <w:left w:val="single" w:color="C7D2DD" w:sz="1"/>
              <w:bottom w:val="single" w:color="C7D2DD" w:sz="1"/>
              <w:right w:val="single" w:color="C7D2DD" w:sz="1"/>
            </w:tcBorders>
            <w:shd w:fill="FFFFFF" w:val="clear"/>
            <w:tcMar>
              <w:top w:type="dxa" w:w="60"/>
              <w:left w:type="dxa" w:w="110"/>
              <w:bottom w:type="dxa" w:w="60"/>
              <w:right w:type="dxa" w:w="110"/>
            </w:tcMar>
            <w:vAlign w:val="center"/>
          </w:tcPr>
          <w:p>
            <w:pPr>
              <w:spacing w:after="0" w:line="252"/>
              <w:jc w:val="center"/>
            </w:pPr>
            <w:r>
              <w:t xml:space="preserve">55</w:t>
            </w:r>
          </w:p>
        </w:tc>
      </w:tr>
      <w:tr>
        <w:trPr>
          <w:tblHeader w:val="false"/>
        </w:trPr>
        <w:tc>
          <w:tcPr>
            <w:tcW w:type="dxa" w:w="29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left"/>
            </w:pPr>
            <w:r>
              <w:t xml:space="preserve">two_entrance_two_exit</w:t>
            </w:r>
          </w:p>
        </w:tc>
        <w:tc>
          <w:tcPr>
            <w:tcW w:type="dxa" w:w="19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2 / 2</w:t>
            </w:r>
          </w:p>
        </w:tc>
        <w:tc>
          <w:tcPr>
            <w:tcW w:type="dxa" w:w="1860"/>
            <w:tcBorders>
              <w:top w:val="single" w:color="C7D2DD" w:sz="1"/>
              <w:left w:val="single" w:color="C7D2DD" w:sz="1"/>
              <w:bottom w:val="single" w:color="C7D2DD" w:sz="1"/>
              <w:right w:val="single" w:color="C7D2DD" w:sz="1"/>
            </w:tcBorders>
            <w:shd w:fill="FCE9D6" w:val="clear"/>
            <w:tcMar>
              <w:top w:type="dxa" w:w="60"/>
              <w:left w:type="dxa" w:w="110"/>
              <w:bottom w:type="dxa" w:w="60"/>
              <w:right w:type="dxa" w:w="110"/>
            </w:tcMar>
            <w:vAlign w:val="center"/>
          </w:tcPr>
          <w:p>
            <w:pPr>
              <w:spacing w:after="0" w:line="252"/>
              <w:jc w:val="center"/>
            </w:pPr>
            <w:r>
              <w:rPr>
                <w:b/>
                <w:bCs/>
              </w:rPr>
              <w:t xml:space="preserve">17.3</w:t>
            </w:r>
          </w:p>
        </w:tc>
        <w:tc>
          <w:tcPr>
            <w:tcW w:type="dxa" w:w="1500"/>
            <w:tcBorders>
              <w:top w:val="single" w:color="C7D2DD" w:sz="1"/>
              <w:left w:val="single" w:color="C7D2DD" w:sz="1"/>
              <w:bottom w:val="single" w:color="C7D2DD" w:sz="1"/>
              <w:right w:val="single" w:color="C7D2DD" w:sz="1"/>
            </w:tcBorders>
            <w:shd w:fill="FCE9D6" w:val="clear"/>
            <w:tcMar>
              <w:top w:type="dxa" w:w="60"/>
              <w:left w:type="dxa" w:w="110"/>
              <w:bottom w:type="dxa" w:w="60"/>
              <w:right w:type="dxa" w:w="110"/>
            </w:tcMar>
            <w:vAlign w:val="center"/>
          </w:tcPr>
          <w:p>
            <w:pPr>
              <w:spacing w:after="0" w:line="252"/>
              <w:jc w:val="center"/>
            </w:pPr>
            <w:r>
              <w:rPr>
                <w:b/>
                <w:bCs/>
              </w:rPr>
              <w:t xml:space="preserve">118.7</w:t>
            </w:r>
          </w:p>
        </w:tc>
        <w:tc>
          <w:tcPr>
            <w:tcW w:type="dxa" w:w="1200"/>
            <w:tcBorders>
              <w:top w:val="single" w:color="C7D2DD" w:sz="1"/>
              <w:left w:val="single" w:color="C7D2DD" w:sz="1"/>
              <w:bottom w:val="single" w:color="C7D2DD" w:sz="1"/>
              <w:right w:val="single" w:color="C7D2DD" w:sz="1"/>
            </w:tcBorders>
            <w:shd w:fill="EDF2F8" w:val="clear"/>
            <w:tcMar>
              <w:top w:type="dxa" w:w="60"/>
              <w:left w:type="dxa" w:w="110"/>
              <w:bottom w:type="dxa" w:w="60"/>
              <w:right w:type="dxa" w:w="110"/>
            </w:tcMar>
            <w:vAlign w:val="center"/>
          </w:tcPr>
          <w:p>
            <w:pPr>
              <w:spacing w:after="0" w:line="252"/>
              <w:jc w:val="center"/>
            </w:pPr>
            <w:r>
              <w:t xml:space="preserve">50</w:t>
            </w:r>
          </w:p>
        </w:tc>
      </w:tr>
    </w:tbl>
    <w:p>
      <w:pPr>
        <w:spacing w:after="200" w:before="60"/>
      </w:pPr>
      <w:r>
        <w:rPr>
          <w:i/>
          <w:iCs/>
          <w:color w:val="5A6B7B"/>
          <w:sz w:val="18"/>
          <w:szCs w:val="18"/>
        </w:rPr>
        <w:t xml:space="preserve">Table 6. rush_hour: doubling both gates lifts throughput +72% (10.0→17.3/hr) and cuts time-in-system ~39%.</w:t>
      </w:r>
    </w:p>
    <w:p>
      <w:pPr>
        <w:pBdr>
          <w:bottom w:val="single" w:color="2E75B6" w:sz="6" w:space="1"/>
        </w:pBdr>
        <w:spacing w:after="200" w:before="80"/>
      </w:pPr>
      <w:r>
        <w:t xml:space="preserve"/>
      </w:r>
    </w:p>
    <w:p>
      <w:pPr>
        <w:pStyle w:val="Heading1"/>
      </w:pPr>
      <w:r>
        <w:t xml:space="preserve">8. Conclusion and Recommendations</w:t>
      </w:r>
    </w:p>
    <w:p>
      <w:pPr>
        <w:pStyle w:val="Heading2"/>
      </w:pPr>
      <w:r>
        <w:t xml:space="preserve">Key findings</w:t>
      </w:r>
    </w:p>
    <w:p>
      <w:pPr>
        <w:pStyle w:val="ListParagraph"/>
        <w:numPr>
          <w:ilvl w:val="0"/>
          <w:numId w:val="2"/>
        </w:numPr>
        <w:spacing w:after="60"/>
      </w:pPr>
      <w:r>
        <w:t xml:space="preserve">The system has two independent bottlenecks (entry and exit gates); which one dominates depends on the scenario, and </w:t>
      </w:r>
      <w:r>
        <w:rPr>
          <w:b/>
          <w:bCs/>
        </w:rPr>
        <w:t xml:space="preserve">gate utilization</w:t>
      </w:r>
      <w:r>
        <w:t xml:space="preserve"> cleanly identifies it (the ~86–89% gate is the limiter).</w:t>
      </w:r>
    </w:p>
    <w:p>
      <w:pPr>
        <w:pStyle w:val="ListParagraph"/>
        <w:numPr>
          <w:ilvl w:val="0"/>
          <w:numId w:val="2"/>
        </w:numPr>
        <w:spacing w:after="60"/>
      </w:pPr>
      <w:r>
        <w:t xml:space="preserve">Arrival </w:t>
      </w:r>
      <w:r>
        <w:rPr>
          <w:b/>
          <w:bCs/>
        </w:rPr>
        <w:t xml:space="preserve">clustering</w:t>
      </w:r>
      <w:r>
        <w:t xml:space="preserve"> (rush hour) inflates waiting time even when total capacity is adequate.</w:t>
      </w:r>
    </w:p>
    <w:p>
      <w:pPr>
        <w:pStyle w:val="ListParagraph"/>
        <w:numPr>
          <w:ilvl w:val="0"/>
          <w:numId w:val="2"/>
        </w:numPr>
        <w:spacing w:after="60"/>
      </w:pPr>
      <w:r>
        <w:rPr>
          <w:b/>
          <w:bCs/>
        </w:rPr>
        <w:t xml:space="preserve">Parking capacity</w:t>
      </w:r>
      <w:r>
        <w:t xml:space="preserve"> is a separate constraint: when slots are scarce, vehicles are denied and throughput drops regardless of gate speed.</w:t>
      </w:r>
    </w:p>
    <w:p>
      <w:pPr>
        <w:pStyle w:val="ListParagraph"/>
        <w:numPr>
          <w:ilvl w:val="0"/>
          <w:numId w:val="2"/>
        </w:numPr>
        <w:spacing w:after="60"/>
      </w:pPr>
      <w:r>
        <w:rPr>
          <w:b/>
          <w:bCs/>
        </w:rPr>
        <w:t xml:space="preserve">Adding a gate lane only helps at the bottleneck.</w:t>
      </w:r>
      <w:r>
        <w:t xml:space="preserve"> A second entry gate cut the slow-entry wait 127→52 min; a second exit gate cut the exit-congestion wait 119→18 min and doubled throughput. Adding capacity at the non-bottleneck gate gave little or no benefit — and in exit_congestion a second entry gate made things worse by feeding the jammed exit faster.</w:t>
      </w:r>
    </w:p>
    <w:p>
      <w:pPr>
        <w:pStyle w:val="Heading2"/>
      </w:pPr>
      <w:r>
        <w:t xml:space="preserve">Recommendations</w:t>
      </w:r>
    </w:p>
    <w:p>
      <w:pPr>
        <w:pStyle w:val="ListParagraph"/>
        <w:numPr>
          <w:ilvl w:val="0"/>
          <w:numId w:val="2"/>
        </w:numPr>
        <w:spacing w:after="60"/>
      </w:pPr>
      <w:r>
        <w:rPr>
          <w:b/>
          <w:bCs/>
        </w:rPr>
        <w:t xml:space="preserve">Add a second lane at whichever gate is the bottleneck</w:t>
      </w:r>
      <w:r>
        <w:t xml:space="preserve"> for the expected pattern (a second entry gate for rush-hour entry surges; a second exit gate for end-of-day exit surges). Use gate utilization to decide which.</w:t>
      </w:r>
    </w:p>
    <w:p>
      <w:pPr>
        <w:pStyle w:val="ListParagraph"/>
        <w:numPr>
          <w:ilvl w:val="0"/>
          <w:numId w:val="2"/>
        </w:numPr>
        <w:spacing w:after="60"/>
      </w:pPr>
      <w:r>
        <w:rPr>
          <w:b/>
          <w:bCs/>
        </w:rPr>
        <w:t xml:space="preserve">Stagger demand</w:t>
      </w:r>
      <w:r>
        <w:t xml:space="preserve"> (e.g., promotions outside peak) to flatten arrival clusters.</w:t>
      </w:r>
    </w:p>
    <w:p>
      <w:pPr>
        <w:pStyle w:val="ListParagraph"/>
        <w:numPr>
          <w:ilvl w:val="0"/>
          <w:numId w:val="2"/>
        </w:numPr>
        <w:spacing w:after="60"/>
      </w:pPr>
      <w:r>
        <w:t xml:space="preserve">Ensure usable capacity matches demand to avoid denials.</w:t>
      </w:r>
    </w:p>
    <w:p>
      <w:pPr>
        <w:pStyle w:val="Heading2"/>
      </w:pPr>
      <w:r>
        <w:t xml:space="preserve">Future work</w:t>
      </w:r>
    </w:p>
    <w:p>
      <w:pPr>
        <w:spacing w:after="120" w:line="276"/>
      </w:pPr>
      <w:r>
        <w:t xml:space="preserve">Multiple replications with confidence intervals, in-UI editing of arrival rates and gate counts beyond the four preset maps, and CSV export of metrics for offline analysis.</w:t>
      </w:r>
    </w:p>
    <w:p>
      <w:pPr>
        <w:spacing w:before="200"/>
      </w:pPr>
      <w:r>
        <w:rPr>
          <w:i/>
          <w:iCs/>
          <w:color w:val="5A6B7B"/>
          <w:sz w:val="18"/>
          <w:szCs w:val="18"/>
        </w:rPr>
        <w:t xml:space="preserve">Reproducibility: results above are deterministic. Regenerate them from the dashboard “Compare scenarios” view or by running app/simulation.py directly. The behavior is covered by an automated test suite (python3 -m unittest, 86 tests passing).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Mall Parking Flow — CSE 10/L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7D2DD" w:sz="4" w:space="4"/>
      </w:pBdr>
      <w:spacing w:after="140" w:before="28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Mall Parking Flow — Final Project Report</dc:title>
  <dc:creator>CSE 10/L Group</dc:creator>
  <cp:lastModifiedBy>Un-named</cp:lastModifiedBy>
  <cp:revision>1</cp:revision>
  <dcterms:created xsi:type="dcterms:W3CDTF">2026-06-17T18:25:36.964Z</dcterms:created>
  <dcterms:modified xsi:type="dcterms:W3CDTF">2026-06-17T18:25:36.965Z</dcterms:modified>
</cp:coreProperties>
</file>

<file path=docProps/custom.xml><?xml version="1.0" encoding="utf-8"?>
<Properties xmlns="http://schemas.openxmlformats.org/officeDocument/2006/custom-properties" xmlns:vt="http://schemas.openxmlformats.org/officeDocument/2006/docPropsVTypes"/>
</file>