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0"/>
        </w:rPr>
        <w:t>DİYETİSYEN UTKU KARAKOÇ</w:t>
      </w:r>
    </w:p>
    <w:p>
      <w:pPr>
        <w:jc w:val="center"/>
      </w:pPr>
      <w:r>
        <w:rPr>
          <w:rFonts w:ascii="Arial" w:hAnsi="Arial" w:eastAsia="Arial"/>
          <w:b/>
          <w:sz w:val="42"/>
        </w:rPr>
        <w:t>Peynir Tüketimi ve Sağlık Üzerine Etkileri</w:t>
      </w:r>
    </w:p>
    <w:p>
      <w:pPr>
        <w:jc w:val="center"/>
      </w:pPr>
      <w:r>
        <w:rPr>
          <w:rFonts w:ascii="Arial" w:hAnsi="Arial" w:eastAsia="Arial"/>
          <w:i/>
          <w:sz w:val="24"/>
        </w:rPr>
        <w:t>Makale İncelemesi ve Diyetisyen Çalışma Rehberi</w:t>
      </w:r>
    </w:p>
    <w:p>
      <w:pPr>
        <w:pStyle w:val="Heading1"/>
      </w:pPr>
      <w:r>
        <w:rPr>
          <w:rFonts w:ascii="Arial" w:hAnsi="Arial" w:eastAsia="Arial"/>
        </w:rPr>
        <w:t>1. Makalenin Ana Mesajı</w:t>
      </w:r>
    </w:p>
    <w:p>
      <w:r>
        <w:rPr>
          <w:rFonts w:ascii="Arial" w:hAnsi="Arial" w:eastAsia="Arial"/>
        </w:rPr>
        <w:t xml:space="preserve">Bu derleme, peynir tüketiminin sağlık üzerindeki etkilerini özellikle kardiyometabolik sonuçlar açısından değerlendirmektedir. Mevcut kanıtların, peynirin ölçülü tüketildiğinde nötr veya hafif olumlu etkiler gösterebileceğine işaret ettiği belirtilmektedir. Peynir; protein, kalsiyum ve biyoaktif bileşenler açısından zengin bir süt ürünüdür. Makale, peynirin sağlık etkilerinin yalnızca içerdiği yağ miktarına göre değerlendirilmemesi gerektiğini; gıda matriksi ve fermantasyon süreçlerinin de önemli olduğunu vurgulamaktadır. </w:t>
      </w:r>
    </w:p>
    <w:p>
      <w:pPr>
        <w:pStyle w:val="Heading1"/>
      </w:pPr>
      <w:r>
        <w:rPr>
          <w:rFonts w:ascii="Arial" w:hAnsi="Arial" w:eastAsia="Arial"/>
        </w:rPr>
        <w:t>2. Yöntem ve Bulgular</w:t>
      </w:r>
    </w:p>
    <w:p>
      <w:r>
        <w:rPr>
          <w:rFonts w:ascii="Arial" w:hAnsi="Arial" w:eastAsia="Arial"/>
        </w:rPr>
        <w:t xml:space="preserve">Derleme, PubMed veri tabanında yer alan çalışmalar incelenerek hazırlanmıştır. Özellikle peynir tüketimi, kardiyovasküler risk ve metabolik sağlık ilişkisi değerlendirilmiştir. Makalede aktarılan meta-analizlerde peynir tüketiminin kardiyovasküler hastalık riskini artırmadığı ve bazı durumlarda inme riskini azaltabileceği belirtilmektedir. Fermente süt ürünlerinin bağırsak mikrobiyotası ve inflamasyon üzerinde olumlu etkileri olduğu da aktarılmaktadır. </w:t>
      </w:r>
    </w:p>
    <w:p>
      <w:pPr>
        <w:pStyle w:val="Heading1"/>
      </w:pPr>
      <w:r>
        <w:rPr>
          <w:rFonts w:ascii="Arial" w:hAnsi="Arial" w:eastAsia="Arial"/>
        </w:rPr>
        <w:t>3. Sonuç ve Klinik Yaklaşım</w:t>
      </w:r>
    </w:p>
    <w:p>
      <w:r>
        <w:rPr>
          <w:rFonts w:ascii="Arial" w:hAnsi="Arial" w:eastAsia="Arial"/>
        </w:rPr>
        <w:t xml:space="preserve">Makalenin sonucuna göre peynir, ölçülü tüketildiğinde sağlıklı bir beslenme düzeninin parçası olabilir. Düşük tuzlu ve az işlenmiş peynirlerin tercih edilmesi önerilmektedir. Peynir tüketiminde miktar kontrolü, işlenmiş ürünlerden kaçınma ve genel diyet kalitesinin korunması temel yaklaşım olarak belirtilmektedir. </w:t>
      </w:r>
    </w:p>
    <w:p>
      <w:pPr>
        <w:pStyle w:val="Heading1"/>
      </w:pPr>
      <w:r>
        <w:rPr>
          <w:rFonts w:ascii="Arial" w:hAnsi="Arial" w:eastAsia="Arial"/>
        </w:rPr>
        <w:t>4. Makaledeki Peynir Seçimi Çerçevesi</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rFonts w:ascii="Arial" w:hAnsi="Arial" w:eastAsia="Arial"/>
                <w:sz w:val="19"/>
              </w:rPr>
              <w:t>Peynir grubu</w:t>
            </w:r>
          </w:p>
        </w:tc>
        <w:tc>
          <w:tcPr>
            <w:tcW w:type="dxa" w:w="3324"/>
          </w:tcPr>
          <w:p>
            <w:r>
              <w:rPr>
                <w:rFonts w:ascii="Arial" w:hAnsi="Arial" w:eastAsia="Arial"/>
                <w:sz w:val="19"/>
              </w:rPr>
              <w:t>Makalede belirtilen özellik</w:t>
            </w:r>
          </w:p>
        </w:tc>
        <w:tc>
          <w:tcPr>
            <w:tcW w:type="dxa" w:w="3324"/>
          </w:tcPr>
          <w:p>
            <w:r>
              <w:rPr>
                <w:rFonts w:ascii="Arial" w:hAnsi="Arial" w:eastAsia="Arial"/>
                <w:sz w:val="19"/>
              </w:rPr>
              <w:t>Not</w:t>
            </w:r>
          </w:p>
        </w:tc>
      </w:tr>
      <w:tr>
        <w:tc>
          <w:tcPr>
            <w:tcW w:type="dxa" w:w="3324"/>
          </w:tcPr>
          <w:p>
            <w:r>
              <w:rPr>
                <w:rFonts w:ascii="Arial" w:hAnsi="Arial" w:eastAsia="Arial"/>
                <w:sz w:val="19"/>
              </w:rPr>
              <w:t>Lor peyniri / Cottage cheese</w:t>
            </w:r>
          </w:p>
        </w:tc>
        <w:tc>
          <w:tcPr>
            <w:tcW w:type="dxa" w:w="3324"/>
          </w:tcPr>
          <w:p>
            <w:r>
              <w:rPr>
                <w:rFonts w:ascii="Arial" w:hAnsi="Arial" w:eastAsia="Arial"/>
                <w:sz w:val="19"/>
              </w:rPr>
              <w:t>Yüksek protein; düşük yağ ve tuz</w:t>
            </w:r>
          </w:p>
        </w:tc>
        <w:tc>
          <w:tcPr>
            <w:tcW w:type="dxa" w:w="3324"/>
          </w:tcPr>
          <w:p>
            <w:r>
              <w:rPr>
                <w:rFonts w:ascii="Arial" w:hAnsi="Arial" w:eastAsia="Arial"/>
                <w:sz w:val="19"/>
              </w:rPr>
              <w:t>Makalenin klinik uygulama bölümünde ilk sırada yer almaktadır.</w:t>
            </w:r>
          </w:p>
        </w:tc>
      </w:tr>
      <w:tr>
        <w:tc>
          <w:tcPr>
            <w:tcW w:type="dxa" w:w="3324"/>
          </w:tcPr>
          <w:p>
            <w:r>
              <w:rPr>
                <w:rFonts w:ascii="Arial" w:hAnsi="Arial" w:eastAsia="Arial"/>
                <w:sz w:val="19"/>
              </w:rPr>
              <w:t>Az tuzlu beyaz peynir</w:t>
            </w:r>
          </w:p>
        </w:tc>
        <w:tc>
          <w:tcPr>
            <w:tcW w:type="dxa" w:w="3324"/>
          </w:tcPr>
          <w:p>
            <w:r>
              <w:rPr>
                <w:rFonts w:ascii="Arial" w:hAnsi="Arial" w:eastAsia="Arial"/>
                <w:sz w:val="19"/>
              </w:rPr>
              <w:t>Dengeli makro besin içeriği</w:t>
            </w:r>
          </w:p>
        </w:tc>
        <w:tc>
          <w:tcPr>
            <w:tcW w:type="dxa" w:w="3324"/>
          </w:tcPr>
          <w:p>
            <w:r>
              <w:rPr>
                <w:rFonts w:ascii="Arial" w:hAnsi="Arial" w:eastAsia="Arial"/>
                <w:sz w:val="19"/>
              </w:rPr>
              <w:t>Günlük tüketim için uygun olarak belirtilmektedir.</w:t>
            </w:r>
          </w:p>
        </w:tc>
      </w:tr>
      <w:tr>
        <w:tc>
          <w:tcPr>
            <w:tcW w:type="dxa" w:w="3324"/>
          </w:tcPr>
          <w:p>
            <w:r>
              <w:rPr>
                <w:rFonts w:ascii="Arial" w:hAnsi="Arial" w:eastAsia="Arial"/>
                <w:sz w:val="19"/>
              </w:rPr>
              <w:t>Keçi peyniri</w:t>
            </w:r>
          </w:p>
        </w:tc>
        <w:tc>
          <w:tcPr>
            <w:tcW w:type="dxa" w:w="3324"/>
          </w:tcPr>
          <w:p>
            <w:r>
              <w:rPr>
                <w:rFonts w:ascii="Arial" w:hAnsi="Arial" w:eastAsia="Arial"/>
                <w:sz w:val="19"/>
              </w:rPr>
              <w:t>Farklı yağ asidi profili</w:t>
            </w:r>
          </w:p>
        </w:tc>
        <w:tc>
          <w:tcPr>
            <w:tcW w:type="dxa" w:w="3324"/>
          </w:tcPr>
          <w:p>
            <w:r>
              <w:rPr>
                <w:rFonts w:ascii="Arial" w:hAnsi="Arial" w:eastAsia="Arial"/>
                <w:sz w:val="19"/>
              </w:rPr>
              <w:t>Makalede sindiriminin daha kolay olabileceği belirtilmektedir.</w:t>
            </w:r>
          </w:p>
        </w:tc>
      </w:tr>
      <w:tr>
        <w:tc>
          <w:tcPr>
            <w:tcW w:type="dxa" w:w="3324"/>
          </w:tcPr>
          <w:p>
            <w:r>
              <w:rPr>
                <w:rFonts w:ascii="Arial" w:hAnsi="Arial" w:eastAsia="Arial"/>
                <w:sz w:val="19"/>
              </w:rPr>
              <w:t>Fermente doğal peynirler</w:t>
            </w:r>
          </w:p>
        </w:tc>
        <w:tc>
          <w:tcPr>
            <w:tcW w:type="dxa" w:w="3324"/>
          </w:tcPr>
          <w:p>
            <w:r>
              <w:rPr>
                <w:rFonts w:ascii="Arial" w:hAnsi="Arial" w:eastAsia="Arial"/>
                <w:sz w:val="19"/>
              </w:rPr>
              <w:t>Probiyotik katkı potansiyeli</w:t>
            </w:r>
          </w:p>
        </w:tc>
        <w:tc>
          <w:tcPr>
            <w:tcW w:type="dxa" w:w="3324"/>
          </w:tcPr>
          <w:p>
            <w:r>
              <w:rPr>
                <w:rFonts w:ascii="Arial" w:hAnsi="Arial" w:eastAsia="Arial"/>
                <w:sz w:val="19"/>
              </w:rPr>
              <w:t>Tulum ve eski kaşar örnekleri verilmiştir.</w:t>
            </w:r>
          </w:p>
        </w:tc>
      </w:tr>
      <w:tr>
        <w:tc>
          <w:tcPr>
            <w:tcW w:type="dxa" w:w="3324"/>
          </w:tcPr>
          <w:p>
            <w:r>
              <w:rPr>
                <w:rFonts w:ascii="Arial" w:hAnsi="Arial" w:eastAsia="Arial"/>
                <w:sz w:val="19"/>
              </w:rPr>
              <w:t>Kaşar peyniri</w:t>
            </w:r>
          </w:p>
        </w:tc>
        <w:tc>
          <w:tcPr>
            <w:tcW w:type="dxa" w:w="3324"/>
          </w:tcPr>
          <w:p>
            <w:r>
              <w:rPr>
                <w:rFonts w:ascii="Arial" w:hAnsi="Arial" w:eastAsia="Arial"/>
                <w:sz w:val="19"/>
              </w:rPr>
              <w:t>Orta düzey yağ ve protein</w:t>
            </w:r>
          </w:p>
        </w:tc>
        <w:tc>
          <w:tcPr>
            <w:tcW w:type="dxa" w:w="3324"/>
          </w:tcPr>
          <w:p>
            <w:r>
              <w:rPr>
                <w:rFonts w:ascii="Arial" w:hAnsi="Arial" w:eastAsia="Arial"/>
                <w:sz w:val="19"/>
              </w:rPr>
              <w:t>Ölçülü tüketilmesi belirtilmektedir.</w:t>
            </w:r>
          </w:p>
        </w:tc>
      </w:tr>
      <w:tr>
        <w:tc>
          <w:tcPr>
            <w:tcW w:type="dxa" w:w="3324"/>
          </w:tcPr>
          <w:p>
            <w:r>
              <w:rPr>
                <w:rFonts w:ascii="Arial" w:hAnsi="Arial" w:eastAsia="Arial"/>
                <w:sz w:val="19"/>
              </w:rPr>
              <w:t>Eritme / ultra işlenmiş peynirler</w:t>
            </w:r>
          </w:p>
        </w:tc>
        <w:tc>
          <w:tcPr>
            <w:tcW w:type="dxa" w:w="3324"/>
          </w:tcPr>
          <w:p>
            <w:r>
              <w:rPr>
                <w:rFonts w:ascii="Arial" w:hAnsi="Arial" w:eastAsia="Arial"/>
                <w:sz w:val="19"/>
              </w:rPr>
              <w:t>Önerilmeyen grup</w:t>
            </w:r>
          </w:p>
        </w:tc>
        <w:tc>
          <w:tcPr>
            <w:tcW w:type="dxa" w:w="3324"/>
          </w:tcPr>
          <w:p>
            <w:r>
              <w:rPr>
                <w:rFonts w:ascii="Arial" w:hAnsi="Arial" w:eastAsia="Arial"/>
                <w:sz w:val="19"/>
              </w:rPr>
              <w:t>Makalenin klinik uygulama bölümündeki ifadedir.</w:t>
            </w:r>
          </w:p>
        </w:tc>
      </w:tr>
    </w:tbl>
    <w:p>
      <w:r>
        <w:rPr>
          <w:rFonts w:ascii="Arial" w:hAnsi="Arial" w:eastAsia="Arial"/>
        </w:rPr>
        <w:t xml:space="preserve">Not: Yukarıdaki sınıflandırma doğrudan makalenin “Klinik Uygulama: Peynir Seçiminde Sıralama” bölümünden alınmıştır; bu nedenle burada makalenin kendi çerçevesi korunmuştur. </w:t>
      </w:r>
    </w:p>
    <w:p>
      <w:pPr>
        <w:pStyle w:val="Heading1"/>
      </w:pPr>
      <w:r>
        <w:rPr>
          <w:rFonts w:ascii="Arial" w:hAnsi="Arial" w:eastAsia="Arial"/>
        </w:rPr>
        <w:t>5. Diyetisyen Yorumu</w:t>
      </w:r>
    </w:p>
    <w:p>
      <w:r>
        <w:rPr>
          <w:rFonts w:ascii="Arial" w:hAnsi="Arial" w:eastAsia="Arial"/>
        </w:rPr>
        <w:t xml:space="preserve">Makalenin diyetisyen yorumunda, peynir seçiminde tek bir “en sağlıklı” seçenek yerine bireyin sağlık durumu ve hedeflerinin göz önünde bulundurulması gerektiği belirtilmektedir. Genel popülasyon için düşük tuzlu ve az işlenmiş peynirlerin öncelikli olarak önerilmesi; lor peyniri ve az tuzlu beyaz peynirin güvenli ve sürdürülebilir seçenekler olarak öne çıkması; miktar kontrolü ve genel diyet kalitesinin korunması önerilmektedir. </w:t>
      </w:r>
    </w:p>
    <w:p>
      <w:pPr>
        <w:pStyle w:val="Heading1"/>
      </w:pPr>
      <w:r>
        <w:rPr>
          <w:rFonts w:ascii="Arial" w:hAnsi="Arial" w:eastAsia="Arial"/>
        </w:rPr>
        <w:t>6. Tariflerde Kullanılabilecek Uygulama Notları</w:t>
      </w:r>
    </w:p>
    <w:p>
      <w:pPr>
        <w:pStyle w:val="Heading2"/>
      </w:pPr>
      <w:r>
        <w:rPr>
          <w:rFonts w:ascii="Arial" w:hAnsi="Arial" w:eastAsia="Arial"/>
        </w:rPr>
        <w:t>Peynir Seçimi</w:t>
      </w:r>
    </w:p>
    <w:p>
      <w:r>
        <w:rPr>
          <w:rFonts w:ascii="Arial" w:hAnsi="Arial" w:eastAsia="Arial"/>
        </w:rPr>
        <w:t>Mümkün olduğunda düşük tuzlu ve az işlenmiş peynir seçenekleri tercih edilebilir.</w:t>
      </w:r>
    </w:p>
    <w:p>
      <w:pPr>
        <w:pStyle w:val="Heading2"/>
      </w:pPr>
      <w:r>
        <w:rPr>
          <w:rFonts w:ascii="Arial" w:hAnsi="Arial" w:eastAsia="Arial"/>
        </w:rPr>
        <w:t>Tuz Kontrolü</w:t>
      </w:r>
    </w:p>
    <w:p>
      <w:r>
        <w:rPr>
          <w:rFonts w:ascii="Arial" w:hAnsi="Arial" w:eastAsia="Arial"/>
        </w:rPr>
        <w:t>Tarifte kullanılan peynir tuzluysa ilave tuz miktarı azaltılabilir.</w:t>
      </w:r>
    </w:p>
    <w:p>
      <w:pPr>
        <w:pStyle w:val="Heading2"/>
      </w:pPr>
      <w:r>
        <w:rPr>
          <w:rFonts w:ascii="Arial" w:hAnsi="Arial" w:eastAsia="Arial"/>
        </w:rPr>
        <w:t>Porsiyon Kontrolü</w:t>
      </w:r>
    </w:p>
    <w:p>
      <w:r>
        <w:rPr>
          <w:rFonts w:ascii="Arial" w:hAnsi="Arial" w:eastAsia="Arial"/>
        </w:rPr>
        <w:t>Peynirin enerji ve besin ögesi katkısı, tarifin toplam porsiyonu içinde değerlendirilmelidir.</w:t>
      </w:r>
    </w:p>
    <w:p>
      <w:pPr>
        <w:pStyle w:val="Heading2"/>
      </w:pPr>
      <w:r>
        <w:rPr>
          <w:rFonts w:ascii="Arial" w:hAnsi="Arial" w:eastAsia="Arial"/>
        </w:rPr>
        <w:t>Bireyselleştirme</w:t>
      </w:r>
    </w:p>
    <w:p>
      <w:r>
        <w:rPr>
          <w:rFonts w:ascii="Arial" w:hAnsi="Arial" w:eastAsia="Arial"/>
        </w:rPr>
        <w:t>Peynir seçimi bireyin sağlık durumu ve beslenme hedeflerine göre yapılmalıdır.</w:t>
      </w:r>
    </w:p>
    <w:p>
      <w:pPr>
        <w:pStyle w:val="Heading1"/>
      </w:pPr>
      <w:r>
        <w:rPr>
          <w:rFonts w:ascii="Arial" w:hAnsi="Arial" w:eastAsia="Arial"/>
        </w:rPr>
        <w:t>Kaynakça</w:t>
      </w:r>
    </w:p>
    <w:p>
      <w:pPr>
        <w:pStyle w:val="ListNumber"/>
      </w:pPr>
      <w:r>
        <w:rPr>
          <w:rFonts w:ascii="Arial" w:hAnsi="Arial" w:eastAsia="Arial"/>
        </w:rPr>
        <w:t>Schwingshackl, L., ve ark. (2017). Gıda grupları ve kardiyovasküler hastalık riski.</w:t>
      </w:r>
    </w:p>
    <w:p>
      <w:pPr>
        <w:pStyle w:val="ListNumber"/>
      </w:pPr>
      <w:r>
        <w:rPr>
          <w:rFonts w:ascii="Arial" w:hAnsi="Arial" w:eastAsia="Arial"/>
        </w:rPr>
        <w:t>Astrup, A., ve ark. (2019). Süt yağı ve kardiyovasküler hastalık.</w:t>
      </w:r>
    </w:p>
    <w:p>
      <w:pPr>
        <w:pStyle w:val="ListNumber"/>
      </w:pPr>
      <w:r>
        <w:rPr>
          <w:rFonts w:ascii="Arial" w:hAnsi="Arial" w:eastAsia="Arial"/>
        </w:rPr>
        <w:t>Guo, J., ve ark. (2017). Süt ürünleri tüketimi ve kardiyovasküler risk.</w:t>
      </w:r>
    </w:p>
    <w:p>
      <w:r>
        <w:rPr>
          <w:rFonts w:ascii="Arial" w:hAnsi="Arial" w:eastAsia="Arial"/>
        </w:rPr>
        <w:t xml:space="preserve">Kaynakça, kullanıcı tarafından sağlanan PDF makalenin “Kaynaklar (APA)” bölümündeki bilgiler esas alınarak aktarılmıştır. PDF'de kaynakların tam makale başlıkları, dergi bilgileri, cilt/sayı ve DOI bilgileri yer almamaktadır; bu nedenle eksik bibliyografik bilgiler tamamlanmamıştır.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