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i/>
          <w:color w:val="AAAAAA"/>
          <w:sz w:val="20"/>
        </w:rPr>
        <w:t>[IU INTERNATIONALES HOCHSCHULLOGO – HIER EINFÜGEN]</w:t>
      </w:r>
    </w:p>
    <w:p/>
    <w:p/>
    <w:p>
      <w:pPr>
        <w:jc w:val="center"/>
      </w:pPr>
      <w:r>
        <w:rPr>
          <w:rFonts w:ascii="Arial" w:hAnsi="Arial"/>
          <w:b/>
          <w:color w:val="1A1A2E"/>
          <w:sz w:val="44"/>
        </w:rPr>
        <w:t>CustomerChurnLab</w:t>
      </w:r>
    </w:p>
    <w:p>
      <w:pPr>
        <w:jc w:val="center"/>
      </w:pPr>
      <w:r>
        <w:rPr>
          <w:rFonts w:ascii="Arial" w:hAnsi="Arial"/>
          <w:color w:val="333333"/>
          <w:sz w:val="28"/>
        </w:rPr>
        <w:t>Customer Churn Prediction mit klassischem Machine Learning</w:t>
      </w:r>
    </w:p>
    <w:p/>
    <w:p>
      <w:pPr>
        <w:jc w:val="center"/>
      </w:pPr>
      <w:r>
        <w:rPr>
          <w:rFonts w:ascii="Arial" w:hAnsi="Arial"/>
          <w:b/>
          <w:color w:val="007BFF"/>
          <w:sz w:val="32"/>
        </w:rPr>
        <w:t>Portfolio Phase 1: Konzeptionsphase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Name: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[BITTE AUSFÜLLEN: Vor- und Nachname]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Matrikelnummer: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[BITTE AUSFÜLLEN: Matrikelnummer]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Kurs: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[BITTE AUSFÜLLEN: Kursbezeichnung]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Dozent/in: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[BITTE AUSFÜLLEN: Dozent/in]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Portfolio-Phase: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Phase 1 von 3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Datum: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30. Juni 2026</w:t>
            </w:r>
          </w:p>
        </w:tc>
      </w:tr>
    </w:tbl>
    <w:p/>
    <w:p>
      <w:pPr>
        <w:jc w:val="center"/>
      </w:pPr>
      <w:r>
        <w:rPr>
          <w:i/>
          <w:color w:val="0078D7"/>
          <w:sz w:val="20"/>
        </w:rPr>
        <w:t>GitHub-Repository: [BITTE AUSFÜLLEN: GitHub-Repository-Link]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88888"/>
          <w:sz w:val="18"/>
        </w:rPr>
        <w:t>→ Bitte im geöffneten Word-Dokument das Inhaltsverzeichnis aktualisieren: Rechtsklick auf das Feld → 'Felder aktualisieren'</w:t>
      </w:r>
    </w:p>
    <w:p>
      <w:r>
        <w:br w:type="page"/>
      </w:r>
    </w:p>
    <w:p>
      <w:pPr>
        <w:pStyle w:val="Heading1"/>
      </w:pPr>
      <w:r>
        <w:t>1. Einleitung und Projekthintergrund</w:t>
      </w:r>
    </w:p>
    <w:p>
      <w:pPr>
        <w:spacing w:after="120" w:line="340" w:lineRule="exact"/>
      </w:pPr>
      <w:r>
        <w:rPr>
          <w:rFonts w:ascii="Arial" w:hAnsi="Arial"/>
          <w:sz w:val="22"/>
        </w:rPr>
        <w:t>Das vorliegende Portfolio-Projekt untersucht die Vorhersage von Customer Churn – der Abwanderung von Telekommunikationskunden – mithilfe klassischer Machine-Learning-Verfahren. Kundenabwanderung ist wirtschaftlich kritisch: Die Neukundenakquise ist branchenübergreifend deutlich kostspieliger als die Bindung bestehender Kunden. Datengetriebene Modelle ermöglichen es, gefährdete Kunden frühzeitig zu identifizieren und gezielte Retentionsmaßnahmen einzuleiten.</w:t>
      </w:r>
    </w:p>
    <w:p>
      <w:pPr>
        <w:spacing w:after="120" w:line="340" w:lineRule="exact"/>
      </w:pPr>
      <w:r>
        <w:rPr>
          <w:rFonts w:ascii="Arial" w:hAnsi="Arial"/>
          <w:sz w:val="22"/>
        </w:rPr>
        <w:t>Als Datenbasis dient der öffentlich verfügbare IBM Telco Customer Churn Datensatz (Kaggle), der 7.043 Kunden mit 20 Eingangsmerkmalen und einer binären Zielvariable (Churn: Yes/No) enthält. Das Projekt folgt dem QUA³CK-Prozessmodell (Stock et al., 2021) und endet mit einer interaktiven Streamlit-Webanwendung zur Demonstration der Modellergebnisse.</w:t>
      </w:r>
    </w:p>
    <w:p>
      <w:pPr>
        <w:pStyle w:val="Heading2"/>
      </w:pPr>
      <w:r>
        <w:t>1.1 Ideenprüfung: Tragfähigkeit des Konzepts</w:t>
      </w:r>
    </w:p>
    <w:p>
      <w:pPr>
        <w:spacing w:after="120" w:line="340" w:lineRule="exact"/>
      </w:pPr>
      <w:r>
        <w:rPr>
          <w:rFonts w:ascii="Arial" w:hAnsi="Arial"/>
          <w:sz w:val="22"/>
        </w:rPr>
        <w:t>Das Thema Customer Churn Prediction wurde anhand folgender Kriterien auf Tragfähigkeit geprüft: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✅ Pro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⚠️ Herausforderungen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• Öffentlich verfügbarer, realer Datensatz (keine Datenschutz-Probleme)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• Klassenimbalance (≈26,5% Churn) erfordert spezielle Behandlung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• Klar definierte binäre Klassifikationsaufgabe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• TotalCharges liegt als String vor (Datenqualitätsproblem)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• Hohe praktische Relevanz für Unternehmen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• Ergebnisse sind korrelativ, nicht kausal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• Vollständiger ML-Prozess von EDA bis Deployment demonstrierbar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• Dataset spiegelt US-Telekommunikationsmarkt wider – begrenzte Generalisierbarkeit</w:t>
            </w:r>
          </w:p>
        </w:tc>
      </w:tr>
    </w:tbl>
    <w:p/>
    <w:p>
      <w:pPr>
        <w:pStyle w:val="Heading1"/>
      </w:pPr>
      <w:r>
        <w:t>2. Konzept und Zielsetzung</w:t>
      </w:r>
    </w:p>
    <w:p>
      <w:pPr>
        <w:pStyle w:val="Heading2"/>
      </w:pPr>
      <w:r>
        <w:t>2.1 Zentrale Forschungsfrage</w:t>
      </w:r>
    </w:p>
    <w:p>
      <w:pPr>
        <w:spacing w:after="120" w:line="340" w:lineRule="exact"/>
      </w:pPr>
      <w:r>
        <w:rPr>
          <w:rFonts w:ascii="Arial" w:hAnsi="Arial"/>
          <w:sz w:val="22"/>
        </w:rPr>
        <w:t>Wie gut lässt sich die Abwanderung von Kunden (Customer Churn) mithilfe klassischer Machine-Learning-Verfahren auf Basis tabellarischer Kundendaten vorhersagen, und welcher Algorithmus bietet dabei die beste Kombination aus Vorhersagequalität, Interpretierbarkeit und Rechenaufwand?</w:t>
      </w:r>
    </w:p>
    <w:p>
      <w:pPr>
        <w:pStyle w:val="Heading2"/>
      </w:pPr>
      <w:r>
        <w:t>2.2 Arbeitshypothesen</w:t>
      </w:r>
    </w:p>
    <w:p>
      <w:pPr>
        <w:spacing w:after="120" w:line="340" w:lineRule="exact"/>
      </w:pPr>
      <w:r>
        <w:rPr>
          <w:rFonts w:ascii="Arial" w:hAnsi="Arial"/>
          <w:sz w:val="22"/>
        </w:rPr>
        <w:t>Aus der Forschungsfrage wurden drei überprüfbare Arbeitshypothesen abgeleitet, die im Verlauf des Projekts empirisch getestet werden:</w:t>
      </w:r>
    </w:p>
    <w:p>
      <w:pPr>
        <w:spacing w:after="80"/>
        <w:ind w:left="283"/>
      </w:pPr>
      <w:r>
        <w:rPr>
          <w:rFonts w:ascii="Arial" w:hAnsi="Arial"/>
          <w:b/>
          <w:sz w:val="22"/>
        </w:rPr>
        <w:t xml:space="preserve">H1: </w:t>
      </w:r>
      <w:r>
        <w:rPr>
          <w:rFonts w:ascii="Arial" w:hAnsi="Arial"/>
          <w:sz w:val="22"/>
        </w:rPr>
        <w:t>Vertragsmerkmale (Contract Type, Tenure) haben einen stärkeren Einfluss auf Churn als demografische Merkmale (Geschlecht, SeniorCitizen).</w:t>
      </w:r>
    </w:p>
    <w:p>
      <w:pPr>
        <w:spacing w:after="80"/>
        <w:ind w:left="283"/>
      </w:pPr>
      <w:r>
        <w:rPr>
          <w:rFonts w:ascii="Arial" w:hAnsi="Arial"/>
          <w:b/>
          <w:sz w:val="22"/>
        </w:rPr>
        <w:t xml:space="preserve">H2: </w:t>
      </w:r>
      <w:r>
        <w:rPr>
          <w:rFonts w:ascii="Arial" w:hAnsi="Arial"/>
          <w:sz w:val="22"/>
        </w:rPr>
        <w:t>Ensemble-Modelle (Random Forest, Gradient Boosting) erzielen eine höhere Vorhersageleistung (ROC-AUC, F1) als lineare Modelle (Logistic Regression), sind aber schwerer interpretierbar.</w:t>
      </w:r>
    </w:p>
    <w:p>
      <w:pPr>
        <w:spacing w:after="80"/>
        <w:ind w:left="283"/>
      </w:pPr>
      <w:r>
        <w:rPr>
          <w:rFonts w:ascii="Arial" w:hAnsi="Arial"/>
          <w:b/>
          <w:sz w:val="22"/>
        </w:rPr>
        <w:t xml:space="preserve">H3: </w:t>
      </w:r>
      <w:r>
        <w:rPr>
          <w:rFonts w:ascii="Arial" w:hAnsi="Arial"/>
          <w:sz w:val="22"/>
        </w:rPr>
        <w:t>Saubere Datenvorverarbeitung (korrektes Encoding, Skalierung für lineare Modelle, Leakage-freies Vorgehen über scikit-learn-Pipelines) verbessert die Generalisierungsleistung messbar gegenüber naivem Vorgehen.</w:t>
      </w:r>
    </w:p>
    <w:p>
      <w:pPr>
        <w:pStyle w:val="Heading2"/>
      </w:pPr>
      <w:r>
        <w:t>2.3 Problemstellung und Zielgruppe</w:t>
      </w:r>
    </w:p>
    <w:p>
      <w:pPr>
        <w:spacing w:after="120" w:line="340" w:lineRule="exact"/>
      </w:pPr>
      <w:r>
        <w:rPr>
          <w:rFonts w:ascii="Arial" w:hAnsi="Arial"/>
          <w:sz w:val="22"/>
        </w:rPr>
        <w:t>Die Zielgruppe umfasst Unternehmen, Datenanalysten und Fachabteilungen (Marketing, Customer Success), die Kundenbindung datenbasiert unterstützen möchten. Das Modell soll als Entscheidungshilfe dienen: Kunden mit hoher Abwanderungswahrscheinlichkeit werden priorisiert für Retentionsmaßnahmen. Für nicht-technische Nutzer wird eine Streamlit-Webanwendung entwickelt, die die Ergebnisse verständlich und interaktiv präsentiert.</w:t>
      </w:r>
    </w:p>
    <w:p>
      <w:pPr>
        <w:pStyle w:val="Heading2"/>
      </w:pPr>
      <w:r>
        <w:t>2.4 Erfolgsmetriken (KPIs)</w:t>
      </w:r>
    </w:p>
    <w:p>
      <w:pPr>
        <w:spacing w:after="120" w:line="340" w:lineRule="exact"/>
      </w:pPr>
      <w:r>
        <w:rPr>
          <w:rFonts w:ascii="Arial" w:hAnsi="Arial"/>
          <w:sz w:val="22"/>
        </w:rPr>
        <w:t>Da der Datensatz klassenimbalanciert ist (≈26,5% Churn), werden folgende Metriken verwendet: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Arial" w:hAnsi="Arial"/>
                <w:b/>
                <w:sz w:val="20"/>
              </w:rPr>
              <w:t>Metrik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b/>
                <w:sz w:val="20"/>
              </w:rPr>
              <w:t>Bedeutung im Kontext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b/>
                <w:sz w:val="20"/>
              </w:rPr>
              <w:t>Zielwert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F1-Score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Balance aus Precision und Recall – Hauptmetrik bei Imbalance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&gt; 0.55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Recall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Anteil erkannter Kündiger – für Frühwarnsystem kritisch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&gt; 0.65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ROC-AUC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Threshold-unabhängige Diskriminierungsfähigkeit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&gt; 0.80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PR-AUC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Precision-Recall unter Imbalance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&gt; 0.55</w:t>
            </w:r>
          </w:p>
        </w:tc>
      </w:tr>
    </w:tbl>
    <w:p/>
    <w:p>
      <w:pPr>
        <w:pStyle w:val="Heading1"/>
      </w:pPr>
      <w:r>
        <w:t>3. Methodik und Vorgehen</w:t>
      </w:r>
    </w:p>
    <w:p>
      <w:pPr>
        <w:pStyle w:val="Heading2"/>
      </w:pPr>
      <w:r>
        <w:t>3.1 Das QUA³CK-Prozessmodell</w:t>
      </w:r>
    </w:p>
    <w:p>
      <w:pPr>
        <w:spacing w:after="120" w:line="340" w:lineRule="exact"/>
      </w:pPr>
      <w:r>
        <w:rPr>
          <w:rFonts w:ascii="Arial" w:hAnsi="Arial"/>
          <w:sz w:val="22"/>
        </w:rPr>
        <w:t>Das Projekt folgt dem QUA³CK-Prozessmodell (Stock et al., 2021), einem iterativen ML-Entwicklungsprozess, der speziell für die strukturierte Bearbeitung von Machine-Learning-Projekten entwickelt wurde. QUA³CK steht für: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Q – Question: </w:t>
      </w:r>
      <w:r>
        <w:rPr>
          <w:rFonts w:ascii="Arial" w:hAnsi="Arial"/>
          <w:sz w:val="22"/>
        </w:rPr>
        <w:t>Problemdefinition, Forschungsfrage, Hypothesen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U – Understanding: </w:t>
      </w:r>
      <w:r>
        <w:rPr>
          <w:rFonts w:ascii="Arial" w:hAnsi="Arial"/>
          <w:sz w:val="22"/>
        </w:rPr>
        <w:t>Explorative Datenanalyse (EDA), Datenbeschreibung, Korrelationsanalyse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A¹ – Algorithm Selection: </w:t>
      </w:r>
      <w:r>
        <w:rPr>
          <w:rFonts w:ascii="Arial" w:hAnsi="Arial"/>
          <w:sz w:val="22"/>
        </w:rPr>
        <w:t>Auswahl und Vergleich von Kandidatenmodellen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A² – Adapting Features: </w:t>
      </w:r>
      <w:r>
        <w:rPr>
          <w:rFonts w:ascii="Arial" w:hAnsi="Arial"/>
          <w:sz w:val="22"/>
        </w:rPr>
        <w:t>Leakage-freie Datenvorverarbeitung via scikit-learn-Pipeline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A³ – Adjusting Hyperparameters: </w:t>
      </w:r>
      <w:r>
        <w:rPr>
          <w:rFonts w:ascii="Arial" w:hAnsi="Arial"/>
          <w:sz w:val="22"/>
        </w:rPr>
        <w:t>Hyperparameter-Optimierung, Cross-Validation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C – Conclusion &amp; Comparison: </w:t>
      </w:r>
      <w:r>
        <w:rPr>
          <w:rFonts w:ascii="Arial" w:hAnsi="Arial"/>
          <w:sz w:val="22"/>
        </w:rPr>
        <w:t>Finale Evaluation, Modellvergleich, Hypothesenprüfung</w:t>
      </w:r>
    </w:p>
    <w:p>
      <w:pPr>
        <w:spacing w:after="60"/>
        <w:ind w:left="283"/>
      </w:pPr>
      <w:r>
        <w:rPr>
          <w:rFonts w:ascii="Arial" w:hAnsi="Arial"/>
          <w:b/>
          <w:sz w:val="22"/>
        </w:rPr>
        <w:t xml:space="preserve">K – Knowledge Transfer: </w:t>
      </w:r>
      <w:r>
        <w:rPr>
          <w:rFonts w:ascii="Arial" w:hAnsi="Arial"/>
          <w:sz w:val="22"/>
        </w:rPr>
        <w:t>Streamlit-App, Dokumentation, Portfolio</w:t>
      </w:r>
    </w:p>
    <w:p>
      <w:pPr>
        <w:spacing w:after="120" w:line="340" w:lineRule="exact"/>
      </w:pPr>
      <w:r>
        <w:rPr>
          <w:rFonts w:ascii="Arial" w:hAnsi="Arial"/>
          <w:sz w:val="22"/>
        </w:rPr>
        <w:br/>
        <w:t>Der QUA³CK-Prozess wurde gegenüber CRISP-DM als Rahmenwerk gewählt, da er explizit auf den iterativen A³-Zyklus (Algorithmusauswahl, Feature-Anpassung, Hyperparameter-Tuning) fokussiert und damit den ML-Modellierungsprozess granularer abbildet (Stock et al., 2021).</w:t>
      </w:r>
    </w:p>
    <w:p>
      <w:pPr>
        <w:pStyle w:val="Heading2"/>
      </w:pPr>
      <w:r>
        <w:t>3.2 Geplantes Vorgehen</w:t>
      </w:r>
    </w:p>
    <w:p>
      <w:pPr>
        <w:pStyle w:val="ListBullet"/>
      </w:pPr>
      <w:r>
        <w:rPr>
          <w:rFonts w:ascii="Arial" w:hAnsi="Arial"/>
          <w:sz w:val="22"/>
        </w:rPr>
        <w:t>Schritt 1: Explorative Datenanalyse (U-Phase): Datenstruktur, Verteilungen, Korrelationen, Klassenimbalance</w:t>
      </w:r>
    </w:p>
    <w:p>
      <w:pPr>
        <w:pStyle w:val="ListBullet"/>
      </w:pPr>
      <w:r>
        <w:rPr>
          <w:rFonts w:ascii="Arial" w:hAnsi="Arial"/>
          <w:sz w:val="22"/>
        </w:rPr>
        <w:t>Schritt 2: Preprocessing-Pipeline: TotalCharges-Konvertierung, OneHotEncoding, StandardScaler, SimpleImputer</w:t>
      </w:r>
    </w:p>
    <w:p>
      <w:pPr>
        <w:pStyle w:val="ListBullet"/>
      </w:pPr>
      <w:r>
        <w:rPr>
          <w:rFonts w:ascii="Arial" w:hAnsi="Arial"/>
          <w:sz w:val="22"/>
        </w:rPr>
        <w:t>Schritt 3: Modelltraining &amp; Cross-Validation: DummyClassifier, Logistic Regression, Random Forest, Gradient Boosting</w:t>
      </w:r>
    </w:p>
    <w:p>
      <w:pPr>
        <w:pStyle w:val="ListBullet"/>
      </w:pPr>
      <w:r>
        <w:rPr>
          <w:rFonts w:ascii="Arial" w:hAnsi="Arial"/>
          <w:sz w:val="22"/>
        </w:rPr>
        <w:t>Schritt 4: Holdout-Testset-Evaluation: Finaler Test auf zurückgehaltenen 20% der Daten</w:t>
      </w:r>
    </w:p>
    <w:p>
      <w:pPr>
        <w:pStyle w:val="ListBullet"/>
      </w:pPr>
      <w:r>
        <w:rPr>
          <w:rFonts w:ascii="Arial" w:hAnsi="Arial"/>
          <w:sz w:val="22"/>
        </w:rPr>
        <w:t>Schritt 5: Modellauswahl und Begründung: Primär F1/Recall, sekundär Interpretierbarkeit</w:t>
      </w:r>
    </w:p>
    <w:p>
      <w:pPr>
        <w:pStyle w:val="ListBullet"/>
      </w:pPr>
      <w:r>
        <w:rPr>
          <w:rFonts w:ascii="Arial" w:hAnsi="Arial"/>
          <w:sz w:val="22"/>
        </w:rPr>
        <w:t>Schritt 6: Hypothesenprüfung: H1, H2, H3 empirisch verifizieren oder widerlegen</w:t>
      </w:r>
    </w:p>
    <w:p>
      <w:pPr>
        <w:pStyle w:val="ListBullet"/>
      </w:pPr>
      <w:r>
        <w:rPr>
          <w:rFonts w:ascii="Arial" w:hAnsi="Arial"/>
          <w:sz w:val="22"/>
        </w:rPr>
        <w:t>Schritt 7: Deployment: Modell serialisieren (joblib), Streamlit-App entwickeln</w:t>
      </w:r>
    </w:p>
    <w:p>
      <w:pPr>
        <w:pStyle w:val="Heading2"/>
      </w:pPr>
      <w:r>
        <w:t>3.3 Deployment-Ziel (Streamlit)</w:t>
      </w:r>
    </w:p>
    <w:p>
      <w:pPr>
        <w:spacing w:after="120" w:line="340" w:lineRule="exact"/>
      </w:pPr>
      <w:r>
        <w:rPr>
          <w:rFonts w:ascii="Arial" w:hAnsi="Arial"/>
          <w:sz w:val="22"/>
        </w:rPr>
        <w:t>Als finales Deployment-Produkt wird eine interaktive Streamlit-Webanwendung entwickelt (app.py). Diese ermöglicht es Anwendern, für beliebige Kundendaten eine Churn-Wahrscheinlichkeit zu berechnen und erhält die Ausgabe als farbcodierten Risikoindikator (grün/gelb/rot). Zusätzlich werden die wichtigsten Einflussfaktoren (Feature-Koeffizienten) visualisiert. Der vollständige Quellcode ist im GitHub-Repository verfügbar: [BITTE AUSFÜLLEN: GitHub-Repository-Link]</w:t>
      </w:r>
    </w:p>
    <w:p>
      <w:pPr>
        <w:pStyle w:val="Heading1"/>
      </w:pPr>
      <w:r>
        <w:t>4. Datengrundlage</w:t>
      </w:r>
    </w:p>
    <w:p>
      <w:pPr>
        <w:spacing w:after="120" w:line="340" w:lineRule="exact"/>
      </w:pPr>
      <w:r>
        <w:rPr>
          <w:rFonts w:ascii="Arial" w:hAnsi="Arial"/>
          <w:sz w:val="22"/>
        </w:rPr>
        <w:t>Als Datenbasis wird der IBM Telco Customer Churn Datensatz (IBM/Kaggle) verwendet. Der Datensatz enthält anonymisierte Kundendaten eines US-amerikanischen Telekommunikationsunternehmens.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0"/>
              </w:rPr>
              <w:t>Merkmal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b/>
                <w:sz w:val="20"/>
              </w:rPr>
              <w:t>Wert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Anzahl Kunden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7.043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Anzahl Features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20 Eingangsmerkmale + 1 Zielvariable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Zielvariable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Churn (Yes/No) → binär kodiert (1/0)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Churn-Rate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26,5% (Klassenimbalance vorhanden)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Kategoriale Features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15 (z. B. Contract, InternetService, PaymentMethod)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Numerische Features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4 (SeniorCitizen, tenure, MonthlyCharges, TotalCharges)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Bekannte Datenprobleme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TotalCharges als String gespeichert (11 fehlende Werte nach Konvertierung)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Lizenz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0"/>
              </w:rPr>
              <w:t>Öffentlich, frei verwendbar (Kaggle-Datensatz)</w:t>
            </w:r>
          </w:p>
        </w:tc>
      </w:tr>
    </w:tbl>
    <w:p/>
    <w:p>
      <w:pPr>
        <w:pStyle w:val="Heading1"/>
      </w:pPr>
      <w:r>
        <w:t>Quellenverzeichnis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Stock, S., Becker, J., Grimm, D., Hotfilter, T., Molinar, G., Stang, M., &amp; Stork, W. (2021). QUA³CK – A Machine Learning Development Process. Karlsruher Institut für Technologie (KIT). Unveröffentlichter Bericht / Lehrunterlage.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IBM / Kaggle. (o. J.). Telco Customer Churn. Kaggle Datasets. Abgerufen am 30. Juni 2026, von https://www.kaggle.com/datasets/blastchar/telco-customer-churn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GitHub-Repository: [BITTE AUSFÜLLEN: GitHub-Repository-Link]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Pedregosa, F., et al. (2011). Scikit-learn: Machine Learning in Python. Journal of Machine Learning Research, 12, 2825–2830. scikit-learn Version ≥ 1.3.0.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McKinney, W. (2010). Data Structures for Statistical Computing in Python. Proceedings of the 9th Python in Science Conference. pandas Version ≥ 2.0.0.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Hunter, J. D. (2007). Matplotlib: A 2D Graphics Environment. Computing in Science &amp; Engineering, 9(3), 90–95. matplotlib Version ≥ 3.7.0.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Waskom, M. (2021). Seaborn: Statistical Data Visualization. Journal of Open Source Software, 6(60), 3021. seaborn Version ≥ 0.12.0.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Streamlit Inc. (2023). Streamlit – The fastest way to build data apps. https://streamlit.io. streamlit Version ≥ 1.28.0.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Joblib Development Team. (2023). Joblib: running Python functions as pipeline jobs. https://joblib.readthedocs.io. joblib Version ≥ 1.3.0.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