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i/>
          <w:color w:val="AAAAAA"/>
          <w:sz w:val="20"/>
        </w:rPr>
        <w:t>[IU INTERNATIONALES HOCHSCHULLOGO – HIER EINFÜGEN]</w:t>
      </w:r>
    </w:p>
    <w:p/>
    <w:p/>
    <w:p>
      <w:pPr>
        <w:jc w:val="center"/>
      </w:pPr>
      <w:r>
        <w:rPr>
          <w:rFonts w:ascii="Arial" w:hAnsi="Arial"/>
          <w:b/>
          <w:color w:val="1A1A2E"/>
          <w:sz w:val="44"/>
        </w:rPr>
        <w:t>CustomerChurnLab</w:t>
      </w:r>
    </w:p>
    <w:p>
      <w:pPr>
        <w:jc w:val="center"/>
      </w:pPr>
      <w:r>
        <w:rPr>
          <w:rFonts w:ascii="Arial" w:hAnsi="Arial"/>
          <w:color w:val="333333"/>
          <w:sz w:val="28"/>
        </w:rPr>
        <w:t>Customer Churn Prediction mit klassischem Machine Learning</w:t>
      </w:r>
    </w:p>
    <w:p/>
    <w:p>
      <w:pPr>
        <w:jc w:val="center"/>
      </w:pPr>
      <w:r>
        <w:rPr>
          <w:rFonts w:ascii="Arial" w:hAnsi="Arial"/>
          <w:b/>
          <w:color w:val="007BFF"/>
          <w:sz w:val="32"/>
        </w:rPr>
        <w:t>Portfolio Phase 2: Erarbeitungsphase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rFonts w:ascii="Arial" w:hAnsi="Arial"/>
                <w:b/>
                <w:sz w:val="22"/>
              </w:rPr>
              <w:t>Name:</w:t>
            </w:r>
          </w:p>
        </w:tc>
        <w:tc>
          <w:tcPr>
            <w:tcW w:type="dxa" w:w="4561"/>
          </w:tcPr>
          <w:p>
            <w:r>
              <w:rPr>
                <w:rFonts w:ascii="Arial" w:hAnsi="Arial"/>
                <w:sz w:val="22"/>
              </w:rPr>
              <w:t>[BITTE AUSFÜLLEN: Vor- und Nachname]</w:t>
            </w:r>
          </w:p>
        </w:tc>
      </w:tr>
      <w:tr>
        <w:tc>
          <w:tcPr>
            <w:tcW w:type="dxa" w:w="4561"/>
          </w:tcPr>
          <w:p>
            <w:r>
              <w:rPr>
                <w:rFonts w:ascii="Arial" w:hAnsi="Arial"/>
                <w:b/>
                <w:sz w:val="22"/>
              </w:rPr>
              <w:t>Matrikelnummer:</w:t>
            </w:r>
          </w:p>
        </w:tc>
        <w:tc>
          <w:tcPr>
            <w:tcW w:type="dxa" w:w="4561"/>
          </w:tcPr>
          <w:p>
            <w:r>
              <w:rPr>
                <w:rFonts w:ascii="Arial" w:hAnsi="Arial"/>
                <w:sz w:val="22"/>
              </w:rPr>
              <w:t>[BITTE AUSFÜLLEN: Matrikelnummer]</w:t>
            </w:r>
          </w:p>
        </w:tc>
      </w:tr>
      <w:tr>
        <w:tc>
          <w:tcPr>
            <w:tcW w:type="dxa" w:w="4561"/>
          </w:tcPr>
          <w:p>
            <w:r>
              <w:rPr>
                <w:rFonts w:ascii="Arial" w:hAnsi="Arial"/>
                <w:b/>
                <w:sz w:val="22"/>
              </w:rPr>
              <w:t>Kurs:</w:t>
            </w:r>
          </w:p>
        </w:tc>
        <w:tc>
          <w:tcPr>
            <w:tcW w:type="dxa" w:w="4561"/>
          </w:tcPr>
          <w:p>
            <w:r>
              <w:rPr>
                <w:rFonts w:ascii="Arial" w:hAnsi="Arial"/>
                <w:sz w:val="22"/>
              </w:rPr>
              <w:t>[BITTE AUSFÜLLEN: Kursbezeichnung]</w:t>
            </w:r>
          </w:p>
        </w:tc>
      </w:tr>
      <w:tr>
        <w:tc>
          <w:tcPr>
            <w:tcW w:type="dxa" w:w="4561"/>
          </w:tcPr>
          <w:p>
            <w:r>
              <w:rPr>
                <w:rFonts w:ascii="Arial" w:hAnsi="Arial"/>
                <w:b/>
                <w:sz w:val="22"/>
              </w:rPr>
              <w:t>Dozent/in:</w:t>
            </w:r>
          </w:p>
        </w:tc>
        <w:tc>
          <w:tcPr>
            <w:tcW w:type="dxa" w:w="4561"/>
          </w:tcPr>
          <w:p>
            <w:r>
              <w:rPr>
                <w:rFonts w:ascii="Arial" w:hAnsi="Arial"/>
                <w:sz w:val="22"/>
              </w:rPr>
              <w:t>[BITTE AUSFÜLLEN: Dozent/in]</w:t>
            </w:r>
          </w:p>
        </w:tc>
      </w:tr>
      <w:tr>
        <w:tc>
          <w:tcPr>
            <w:tcW w:type="dxa" w:w="4561"/>
          </w:tcPr>
          <w:p>
            <w:r>
              <w:rPr>
                <w:rFonts w:ascii="Arial" w:hAnsi="Arial"/>
                <w:b/>
                <w:sz w:val="22"/>
              </w:rPr>
              <w:t>Portfolio-Phase:</w:t>
            </w:r>
          </w:p>
        </w:tc>
        <w:tc>
          <w:tcPr>
            <w:tcW w:type="dxa" w:w="4561"/>
          </w:tcPr>
          <w:p>
            <w:r>
              <w:rPr>
                <w:rFonts w:ascii="Arial" w:hAnsi="Arial"/>
                <w:sz w:val="22"/>
              </w:rPr>
              <w:t>Phase 2 von 3</w:t>
            </w:r>
          </w:p>
        </w:tc>
      </w:tr>
      <w:tr>
        <w:tc>
          <w:tcPr>
            <w:tcW w:type="dxa" w:w="4561"/>
          </w:tcPr>
          <w:p>
            <w:r>
              <w:rPr>
                <w:rFonts w:ascii="Arial" w:hAnsi="Arial"/>
                <w:b/>
                <w:sz w:val="22"/>
              </w:rPr>
              <w:t>Datum:</w:t>
            </w:r>
          </w:p>
        </w:tc>
        <w:tc>
          <w:tcPr>
            <w:tcW w:type="dxa" w:w="4561"/>
          </w:tcPr>
          <w:p>
            <w:r>
              <w:rPr>
                <w:rFonts w:ascii="Arial" w:hAnsi="Arial"/>
                <w:sz w:val="22"/>
              </w:rPr>
              <w:t>30. Juni 2026</w:t>
            </w:r>
          </w:p>
        </w:tc>
      </w:tr>
    </w:tbl>
    <w:p/>
    <w:p>
      <w:pPr>
        <w:jc w:val="center"/>
      </w:pPr>
      <w:r>
        <w:rPr>
          <w:i/>
          <w:color w:val="0078D7"/>
          <w:sz w:val="20"/>
        </w:rPr>
        <w:t>GitHub-Repository: [BITTE AUSFÜLLEN: GitHub-Repository-Link]</w:t>
      </w:r>
    </w:p>
    <w:p>
      <w:r>
        <w:br w:type="page"/>
      </w:r>
    </w:p>
    <w:p>
      <w:pPr>
        <w:pStyle w:val="Heading1"/>
      </w:pPr>
      <w:r>
        <w:t>Inhaltsverzeichnis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88888"/>
          <w:sz w:val="18"/>
        </w:rPr>
        <w:t>→ Bitte im geöffneten Word-Dokument das Inhaltsverzeichnis aktualisieren: Rechtsklick auf das Feld → 'Felder aktualisieren'</w:t>
      </w:r>
    </w:p>
    <w:p>
      <w:r>
        <w:br w:type="page"/>
      </w:r>
    </w:p>
    <w:p>
      <w:pPr>
        <w:pStyle w:val="Heading1"/>
      </w:pPr>
      <w:r>
        <w:t>1. Überblick und Fortschritt</w:t>
      </w:r>
    </w:p>
    <w:p>
      <w:pPr>
        <w:spacing w:after="120" w:line="340" w:lineRule="exact"/>
      </w:pPr>
      <w:r>
        <w:rPr>
          <w:rFonts w:ascii="Arial" w:hAnsi="Arial"/>
          <w:sz w:val="22"/>
        </w:rPr>
        <w:t>Die Erarbeitungsphase umfasst die praktische Umsetzung des im Konzept (Phase 1) definierten Plans. Konkret wurden die U-Phase (Explorative Datenanalyse) und der A³-Zyklus (Algorithm Selection, Adapting Features, Adjusting via Cross-Validation) vollständig implementiert. Alle Ergebnisse basieren auf dem IBM Telco Customer Churn Datensatz (7.043 Kunden). Der vollständige Code ist im GitHub-Repository dokumentiert: [BITTE AUSFÜLLEN: GitHub-Repository-Link]</w:t>
      </w:r>
    </w:p>
    <w:p>
      <w:pPr>
        <w:pStyle w:val="Heading1"/>
      </w:pPr>
      <w:r>
        <w:t>2. U-Phase: Explorative Datenanalyse (EDA)</w:t>
      </w:r>
    </w:p>
    <w:p>
      <w:pPr>
        <w:pStyle w:val="Heading2"/>
      </w:pPr>
      <w:r>
        <w:t>2.1 Datenbeschreibung</w:t>
      </w:r>
    </w:p>
    <w:p>
      <w:pPr>
        <w:spacing w:after="120" w:line="340" w:lineRule="exact"/>
      </w:pPr>
      <w:r>
        <w:rPr>
          <w:rFonts w:ascii="Arial" w:hAnsi="Arial"/>
          <w:sz w:val="22"/>
        </w:rPr>
        <w:t>Nach dem Laden des Datensatzes und der Konvertierung von TotalCharges (pd.to_numeric(errors='coerce')) wurden 11 fehlende Werte identifiziert und via Median-Imputation behandelt. Die endgültige Datenstruktur umfasst:</w:t>
      </w:r>
    </w:p>
    <w:p>
      <w:pPr>
        <w:pStyle w:val="ListBullet"/>
      </w:pPr>
      <w:r>
        <w:rPr>
          <w:rFonts w:ascii="Arial" w:hAnsi="Arial"/>
          <w:sz w:val="22"/>
        </w:rPr>
        <w:t>7.043 Kunden (Zeilen) × 20 Features (Spalten) + Zielvariable Churn</w:t>
      </w:r>
    </w:p>
    <w:p>
      <w:pPr>
        <w:pStyle w:val="ListBullet"/>
      </w:pPr>
      <w:r>
        <w:rPr>
          <w:rFonts w:ascii="Arial" w:hAnsi="Arial"/>
          <w:sz w:val="22"/>
        </w:rPr>
        <w:t>4 numerische Features: SeniorCitizen, tenure, MonthlyCharges, TotalCharges</w:t>
      </w:r>
    </w:p>
    <w:p>
      <w:pPr>
        <w:pStyle w:val="ListBullet"/>
      </w:pPr>
      <w:r>
        <w:rPr>
          <w:rFonts w:ascii="Arial" w:hAnsi="Arial"/>
          <w:sz w:val="22"/>
        </w:rPr>
        <w:t>15 kategoriale Features: gender, Partner, Dependents, PhoneService, MultipleLines, InternetService, OnlineSecurity, OnlineBackup, DeviceProtection, TechSupport, StreamingTV, StreamingMovies, Contract, PaperlessBilling, PaymentMethod</w:t>
      </w:r>
    </w:p>
    <w:p>
      <w:pPr>
        <w:pStyle w:val="ListBullet"/>
      </w:pPr>
      <w:r>
        <w:rPr>
          <w:rFonts w:ascii="Arial" w:hAnsi="Arial"/>
          <w:sz w:val="22"/>
        </w:rPr>
        <w:t>Churn-Rate: 26,5% (1.869 Churn-Fälle, 5.174 Nicht-Churn)</w:t>
      </w:r>
    </w:p>
    <w:p>
      <w:pPr>
        <w:pStyle w:val="Heading2"/>
      </w:pPr>
      <w:r>
        <w:t>2.2 Verteilung der Zielvariable (Churn)</w:t>
      </w:r>
    </w:p>
    <w:p>
      <w:pPr>
        <w:spacing w:after="120" w:line="340" w:lineRule="exact"/>
      </w:pPr>
      <w:r>
        <w:rPr>
          <w:rFonts w:ascii="Arial" w:hAnsi="Arial"/>
          <w:sz w:val="22"/>
        </w:rPr>
        <w:t>Die folgende Abbildung zeigt die Klassenverteilung im Datensatz. Die Klassen sind unausgewogen (26,5% Churn vs. 73,5% kein Churn). Dies erfordert bei der Modellierung spezielle Maßnahmen: stratifizierte Splits, Verwendung von class_weight='balanced' sowie Fokus auf F1/Recall statt Accuracy als primäre Metrik.</w:t>
      </w:r>
    </w:p>
    <w:p>
      <w:r>
        <w:drawing>
          <wp:inline xmlns:a="http://schemas.openxmlformats.org/drawingml/2006/main" xmlns:pic="http://schemas.openxmlformats.org/drawingml/2006/picture">
            <wp:extent cx="3600000" cy="23836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urn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8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Abb. 1: Klassenverteilung der Zielvariable Churn (5.174 Kein Churn vs. 1.869 Churn)</w:t>
      </w:r>
    </w:p>
    <w:p>
      <w:pPr>
        <w:pStyle w:val="Heading2"/>
      </w:pPr>
      <w:r>
        <w:t>2.3 Analyse numerischer Features</w:t>
      </w:r>
    </w:p>
    <w:p>
      <w:pPr>
        <w:spacing w:after="120" w:line="340" w:lineRule="exact"/>
      </w:pPr>
      <w:r>
        <w:rPr>
          <w:rFonts w:ascii="Arial" w:hAnsi="Arial"/>
          <w:sz w:val="22"/>
        </w:rPr>
        <w:t>Die Histogramme in Abb. 2 zeigen die Verteilung von tenure (Vertragsdauer) und MonthlyCharges (monatliche Kosten) nach Churn-Status. Zwei klare Muster sind erkennbar:</w:t>
      </w:r>
    </w:p>
    <w:p>
      <w:pPr>
        <w:pStyle w:val="ListBullet"/>
      </w:pPr>
      <w:r>
        <w:rPr>
          <w:rFonts w:ascii="Arial" w:hAnsi="Arial"/>
          <w:sz w:val="22"/>
        </w:rPr>
        <w:t>Tenure: Kunden mit kurzer Vertragsdauer (0–12 Monate) kündigen deutlich häufiger. Bei tenure &gt; 50 Monaten sinkt die Churn-Rate stark. Dies stützt Hypothese H1.</w:t>
      </w:r>
    </w:p>
    <w:p>
      <w:pPr>
        <w:pStyle w:val="ListBullet"/>
      </w:pPr>
      <w:r>
        <w:rPr>
          <w:rFonts w:ascii="Arial" w:hAnsi="Arial"/>
          <w:sz w:val="22"/>
        </w:rPr>
        <w:t>MonthlyCharges: Churn-Kunden zahlen im Durchschnitt höhere monatliche Gebühren. Eine Häufung bei 70–100 € ist bei Churn-Kunden deutlich ausgeprägter.</w:t>
      </w:r>
    </w:p>
    <w:p>
      <w:r>
        <w:drawing>
          <wp:inline xmlns:a="http://schemas.openxmlformats.org/drawingml/2006/main" xmlns:pic="http://schemas.openxmlformats.org/drawingml/2006/picture">
            <wp:extent cx="5040000" cy="16809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meric_features_by_chur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8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Abb. 2: Verteilung numerischer Features nach Churn-Status</w:t>
      </w:r>
    </w:p>
    <w:p>
      <w:pPr>
        <w:pStyle w:val="Heading2"/>
      </w:pPr>
      <w:r>
        <w:t>2.4 Analyse kategorialer Features</w:t>
      </w:r>
    </w:p>
    <w:p>
      <w:pPr>
        <w:spacing w:after="120" w:line="340" w:lineRule="exact"/>
      </w:pPr>
      <w:r>
        <w:rPr>
          <w:rFonts w:ascii="Arial" w:hAnsi="Arial"/>
          <w:sz w:val="22"/>
        </w:rPr>
        <w:t>Abb. 3 zeigt die Churn-Raten für drei zentrale kategoriale Features:</w:t>
      </w:r>
    </w:p>
    <w:p>
      <w:pPr>
        <w:pStyle w:val="ListBullet"/>
      </w:pPr>
      <w:r>
        <w:rPr>
          <w:rFonts w:ascii="Arial" w:hAnsi="Arial"/>
          <w:sz w:val="22"/>
        </w:rPr>
        <w:t>Contract: Month-to-month-Kunden weisen mit Abstand die höchste Churn-Rate auf (&gt;40%). 2-Jahres-Kunden kündigen kaum (&lt;5%). Vertragsart ist der stärkste Prädiktor.</w:t>
      </w:r>
    </w:p>
    <w:p>
      <w:pPr>
        <w:pStyle w:val="ListBullet"/>
      </w:pPr>
      <w:r>
        <w:rPr>
          <w:rFonts w:ascii="Arial" w:hAnsi="Arial"/>
          <w:sz w:val="22"/>
        </w:rPr>
        <w:t>InternetService: Fiber-optic-Kunden zeigen deutlich höhere Churn-Raten als DSL-Kunden. Kunden ohne Internet kündigen kaum.</w:t>
      </w:r>
    </w:p>
    <w:p>
      <w:pPr>
        <w:pStyle w:val="ListBullet"/>
      </w:pPr>
      <w:r>
        <w:rPr>
          <w:rFonts w:ascii="Arial" w:hAnsi="Arial"/>
          <w:sz w:val="22"/>
        </w:rPr>
        <w:t>PaymentMethod: Kunden, die per Electronic check zahlen, kündigen häufiger als Kunden mit automatischen Zahlungsmethoden.</w:t>
      </w:r>
    </w:p>
    <w:p>
      <w:r>
        <w:drawing>
          <wp:inline xmlns:a="http://schemas.openxmlformats.org/drawingml/2006/main" xmlns:pic="http://schemas.openxmlformats.org/drawingml/2006/picture">
            <wp:extent cx="5040000" cy="18024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ical_churn_ra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02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Abb. 3: Churn-Rate nach kategorialen Merkmalen (Contract, InternetService, PaymentMethod)</w:t>
      </w:r>
    </w:p>
    <w:p>
      <w:pPr>
        <w:pStyle w:val="Heading2"/>
      </w:pPr>
      <w:r>
        <w:t>2.5 Korrelationsanalyse und Fazit der EDA</w:t>
      </w:r>
    </w:p>
    <w:p>
      <w:pPr>
        <w:spacing w:after="120" w:line="340" w:lineRule="exact"/>
      </w:pPr>
      <w:r>
        <w:rPr>
          <w:rFonts w:ascii="Arial" w:hAnsi="Arial"/>
          <w:sz w:val="22"/>
        </w:rPr>
        <w:t>Die Korrelationsanalyse numerischer Features zeigt: tenure ist stark negativ mit Churn korreliert (längere Vertragsdauer → weniger Kündigung), MonthlyCharges ist positiv korreliert (höhere Kosten → mehr Kündigung). TotalCharges ist stark mit tenure korreliert (Multikollinearität, da TotalCharges = tenure × durchschnittliche Monatskosten).</w:t>
      </w:r>
    </w:p>
    <w:p>
      <w:pPr>
        <w:spacing w:after="120" w:line="340" w:lineRule="exact"/>
      </w:pPr>
      <w:r>
        <w:rPr>
          <w:rFonts w:ascii="Arial" w:hAnsi="Arial"/>
          <w:sz w:val="22"/>
        </w:rPr>
        <w:t>Fazit: Vertragsdauer, Vertragsart und monatliche Kosten sind die zentralen Einflussfaktoren. Diese Erkenntnis fließt direkt in die Hypothesenprüfung in Phase 3 ein.</w:t>
      </w:r>
    </w:p>
    <w:p>
      <w:pPr>
        <w:pStyle w:val="Heading1"/>
      </w:pPr>
      <w:r>
        <w:t>3. A³-Phase: Implementierung des Machine-Learning-Prozesses</w:t>
      </w:r>
    </w:p>
    <w:p>
      <w:pPr>
        <w:pStyle w:val="Heading2"/>
      </w:pPr>
      <w:r>
        <w:t>3.1 Pipeline-Architektur (A²: Adapting Features)</w:t>
      </w:r>
    </w:p>
    <w:p>
      <w:pPr>
        <w:spacing w:after="120" w:line="340" w:lineRule="exact"/>
      </w:pPr>
      <w:r>
        <w:rPr>
          <w:rFonts w:ascii="Arial" w:hAnsi="Arial"/>
          <w:sz w:val="22"/>
        </w:rPr>
        <w:t>Ein zentrales Designprinzip ist die vollständig leakage-freie Datenvorverarbeitung. Alle Transformationen finden ausschließlich innerhalb einer scikit-learn Pipeline statt, d. h. der Preprocessor sieht bei Cross-Validation nur die jeweiligen Trainingsfolds:</w:t>
      </w:r>
    </w:p>
    <w:p>
      <w:pPr>
        <w:ind w:left="567"/>
      </w:pPr>
      <w:r>
        <w:rPr>
          <w:rFonts w:ascii="Courier New" w:hAnsi="Courier New"/>
          <w:sz w:val="18"/>
        </w:rPr>
        <w:t>Pipeline([</w:t>
        <w:br/>
        <w:t xml:space="preserve">  ('prep', ColumnTransformer([</w:t>
        <w:br/>
        <w:t xml:space="preserve">    ('num', Pipeline([SimpleImputer(median), StandardScaler()]), num_cols),</w:t>
        <w:br/>
        <w:t xml:space="preserve">    ('cat', Pipeline([SimpleImputer(mode), OneHotEncoder(handle_unknown='ignore')]), cat_cols)</w:t>
        <w:br/>
        <w:t xml:space="preserve">  ])),</w:t>
        <w:br/>
        <w:t xml:space="preserve">  ('model', LogisticRegression(class_weight='balanced'))</w:t>
        <w:br/>
        <w:t>])</w:t>
      </w:r>
    </w:p>
    <w:p>
      <w:pPr>
        <w:spacing w:after="120" w:line="340" w:lineRule="exact"/>
      </w:pPr>
      <w:r>
        <w:rPr>
          <w:rFonts w:ascii="Arial" w:hAnsi="Arial"/>
          <w:sz w:val="22"/>
        </w:rPr>
        <w:t>Numerische Features werden mit MedianImputer und StandardScaler normalisiert. Kategoriale Features werden mit dem häufigsten Wert imputiert und one-hot-kodiert (handle_unknown='ignore' für robuste Behandlung unbekannter Kategorien im Testset). TotalCharges wurde mit pd.to_numeric(errors='coerce') korrekt in float konvertiert.</w:t>
      </w:r>
    </w:p>
    <w:p>
      <w:pPr>
        <w:pStyle w:val="Heading2"/>
      </w:pPr>
      <w:r>
        <w:t>3.2 Modellauswahl (A¹: Algorithm Selection)</w:t>
      </w:r>
    </w:p>
    <w:p>
      <w:pPr>
        <w:spacing w:after="120" w:line="340" w:lineRule="exact"/>
      </w:pPr>
      <w:r>
        <w:rPr>
          <w:rFonts w:ascii="Arial" w:hAnsi="Arial"/>
          <w:sz w:val="22"/>
        </w:rPr>
        <w:t>Vier Modelle wurden als Kandidaten definiert, um ein breites Spektrum abzudecken:</w:t>
      </w:r>
    </w:p>
    <w:p>
      <w:pPr>
        <w:spacing w:after="60"/>
        <w:ind w:left="283"/>
      </w:pPr>
      <w:r>
        <w:rPr>
          <w:rFonts w:ascii="Arial" w:hAnsi="Arial"/>
          <w:b/>
          <w:sz w:val="22"/>
        </w:rPr>
        <w:t xml:space="preserve">DummyClassifier (majority class): </w:t>
      </w:r>
      <w:r>
        <w:rPr>
          <w:rFonts w:ascii="Arial" w:hAnsi="Arial"/>
          <w:sz w:val="22"/>
        </w:rPr>
        <w:t>Baseline-Referenz, der immer die Mehrheitsklasse vorhersagt</w:t>
      </w:r>
    </w:p>
    <w:p>
      <w:pPr>
        <w:spacing w:after="60"/>
        <w:ind w:left="283"/>
      </w:pPr>
      <w:r>
        <w:rPr>
          <w:rFonts w:ascii="Arial" w:hAnsi="Arial"/>
          <w:b/>
          <w:sz w:val="22"/>
        </w:rPr>
        <w:t xml:space="preserve">Logistic Regression: </w:t>
      </w:r>
      <w:r>
        <w:rPr>
          <w:rFonts w:ascii="Arial" w:hAnsi="Arial"/>
          <w:sz w:val="22"/>
        </w:rPr>
        <w:t>Interpretierbar, schnell, geeignet für lineare Zusammenhänge, class_weight='balanced'</w:t>
      </w:r>
    </w:p>
    <w:p>
      <w:pPr>
        <w:spacing w:after="60"/>
        <w:ind w:left="283"/>
      </w:pPr>
      <w:r>
        <w:rPr>
          <w:rFonts w:ascii="Arial" w:hAnsi="Arial"/>
          <w:b/>
          <w:sz w:val="22"/>
        </w:rPr>
        <w:t xml:space="preserve">Random Forest: </w:t>
      </w:r>
      <w:r>
        <w:rPr>
          <w:rFonts w:ascii="Arial" w:hAnsi="Arial"/>
          <w:sz w:val="22"/>
        </w:rPr>
        <w:t>Robustes Ensemble, erfasst nichtlineare Zusammenhänge, class_weight='balanced'</w:t>
      </w:r>
    </w:p>
    <w:p>
      <w:pPr>
        <w:spacing w:after="60"/>
        <w:ind w:left="283"/>
      </w:pPr>
      <w:r>
        <w:rPr>
          <w:rFonts w:ascii="Arial" w:hAnsi="Arial"/>
          <w:b/>
          <w:sz w:val="22"/>
        </w:rPr>
        <w:t xml:space="preserve">Gradient Boosting: </w:t>
      </w:r>
      <w:r>
        <w:rPr>
          <w:rFonts w:ascii="Arial" w:hAnsi="Arial"/>
          <w:sz w:val="22"/>
        </w:rPr>
        <w:t>Leistungsstarkes Boosting-Verfahren, meist höchste Precision</w:t>
      </w:r>
    </w:p>
    <w:p>
      <w:pPr>
        <w:pStyle w:val="Heading2"/>
      </w:pPr>
      <w:r>
        <w:t>3.3 Cross-Validation Ergebnisse (A³)</w:t>
      </w:r>
    </w:p>
    <w:p>
      <w:pPr>
        <w:spacing w:after="120" w:line="340" w:lineRule="exact"/>
      </w:pPr>
      <w:r>
        <w:rPr>
          <w:rFonts w:ascii="Arial" w:hAnsi="Arial"/>
          <w:sz w:val="22"/>
        </w:rPr>
        <w:t>Alle Modelle wurden mit Stratified K-Fold (5 Folds, random_state=42) auf dem Trainingsset (80% der Daten, 5.634 Kunden) evaluiert. Die Ergebnisse sind in Tab. 1 zusammengefasst: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</w:tcPr>
          <w:p>
            <w:r>
              <w:rPr>
                <w:rFonts w:ascii="Arial" w:hAnsi="Arial"/>
                <w:b/>
                <w:sz w:val="20"/>
              </w:rPr>
              <w:t>Modell</w:t>
            </w:r>
          </w:p>
        </w:tc>
        <w:tc>
          <w:tcPr>
            <w:tcW w:type="dxa" w:w="1520"/>
          </w:tcPr>
          <w:p>
            <w:r>
              <w:rPr>
                <w:rFonts w:ascii="Arial" w:hAnsi="Arial"/>
                <w:b/>
                <w:sz w:val="20"/>
              </w:rPr>
              <w:t>ROC-AUC</w:t>
            </w:r>
          </w:p>
        </w:tc>
        <w:tc>
          <w:tcPr>
            <w:tcW w:type="dxa" w:w="1520"/>
          </w:tcPr>
          <w:p>
            <w:r>
              <w:rPr>
                <w:rFonts w:ascii="Arial" w:hAnsi="Arial"/>
                <w:b/>
                <w:sz w:val="20"/>
              </w:rPr>
              <w:t>F1</w:t>
            </w:r>
          </w:p>
        </w:tc>
        <w:tc>
          <w:tcPr>
            <w:tcW w:type="dxa" w:w="1520"/>
          </w:tcPr>
          <w:p>
            <w:r>
              <w:rPr>
                <w:rFonts w:ascii="Arial" w:hAnsi="Arial"/>
                <w:b/>
                <w:sz w:val="20"/>
              </w:rPr>
              <w:t>Precision</w:t>
            </w:r>
          </w:p>
        </w:tc>
        <w:tc>
          <w:tcPr>
            <w:tcW w:type="dxa" w:w="1520"/>
          </w:tcPr>
          <w:p>
            <w:r>
              <w:rPr>
                <w:rFonts w:ascii="Arial" w:hAnsi="Arial"/>
                <w:b/>
                <w:sz w:val="20"/>
              </w:rPr>
              <w:t>Recall</w:t>
            </w:r>
          </w:p>
        </w:tc>
        <w:tc>
          <w:tcPr>
            <w:tcW w:type="dxa" w:w="1520"/>
          </w:tcPr>
          <w:p>
            <w:r>
              <w:rPr>
                <w:rFonts w:ascii="Arial" w:hAnsi="Arial"/>
                <w:b/>
                <w:sz w:val="20"/>
              </w:rPr>
              <w:t>PR-AUC</w:t>
            </w:r>
          </w:p>
        </w:tc>
      </w:tr>
      <w:tr>
        <w:tc>
          <w:tcPr>
            <w:tcW w:type="dxa" w:w="1520"/>
          </w:tcPr>
          <w:p>
            <w:r>
              <w:rPr>
                <w:rFonts w:ascii="Arial" w:hAnsi="Arial"/>
                <w:sz w:val="20"/>
              </w:rPr>
              <w:t>LogReg</w:t>
            </w:r>
          </w:p>
        </w:tc>
        <w:tc>
          <w:tcPr>
            <w:tcW w:type="dxa" w:w="1520"/>
          </w:tcPr>
          <w:p>
            <w:r>
              <w:rPr>
                <w:rFonts w:ascii="Arial" w:hAnsi="Arial"/>
                <w:sz w:val="20"/>
              </w:rPr>
              <w:t>0.8459</w:t>
            </w:r>
          </w:p>
        </w:tc>
        <w:tc>
          <w:tcPr>
            <w:tcW w:type="dxa" w:w="1520"/>
          </w:tcPr>
          <w:p>
            <w:r>
              <w:rPr>
                <w:rFonts w:ascii="Arial" w:hAnsi="Arial"/>
                <w:sz w:val="20"/>
              </w:rPr>
              <w:t>0.6279</w:t>
            </w:r>
          </w:p>
        </w:tc>
        <w:tc>
          <w:tcPr>
            <w:tcW w:type="dxa" w:w="1520"/>
          </w:tcPr>
          <w:p>
            <w:r>
              <w:rPr>
                <w:rFonts w:ascii="Arial" w:hAnsi="Arial"/>
                <w:sz w:val="20"/>
              </w:rPr>
              <w:t>0.5165</w:t>
            </w:r>
          </w:p>
        </w:tc>
        <w:tc>
          <w:tcPr>
            <w:tcW w:type="dxa" w:w="1520"/>
          </w:tcPr>
          <w:p>
            <w:r>
              <w:rPr>
                <w:rFonts w:ascii="Arial" w:hAnsi="Arial"/>
                <w:sz w:val="20"/>
              </w:rPr>
              <w:t>0.8013</w:t>
            </w:r>
          </w:p>
        </w:tc>
        <w:tc>
          <w:tcPr>
            <w:tcW w:type="dxa" w:w="1520"/>
          </w:tcPr>
          <w:p>
            <w:r>
              <w:rPr>
                <w:rFonts w:ascii="Arial" w:hAnsi="Arial"/>
                <w:sz w:val="20"/>
              </w:rPr>
              <w:t>0.66</w:t>
            </w:r>
          </w:p>
        </w:tc>
      </w:tr>
      <w:tr>
        <w:tc>
          <w:tcPr>
            <w:tcW w:type="dxa" w:w="1520"/>
          </w:tcPr>
          <w:p>
            <w:r>
              <w:rPr>
                <w:rFonts w:ascii="Arial" w:hAnsi="Arial"/>
                <w:sz w:val="20"/>
              </w:rPr>
              <w:t>RandomForest</w:t>
            </w:r>
          </w:p>
        </w:tc>
        <w:tc>
          <w:tcPr>
            <w:tcW w:type="dxa" w:w="1520"/>
          </w:tcPr>
          <w:p>
            <w:r>
              <w:rPr>
                <w:rFonts w:ascii="Arial" w:hAnsi="Arial"/>
                <w:sz w:val="20"/>
              </w:rPr>
              <w:t>0.8226</w:t>
            </w:r>
          </w:p>
        </w:tc>
        <w:tc>
          <w:tcPr>
            <w:tcW w:type="dxa" w:w="1520"/>
          </w:tcPr>
          <w:p>
            <w:r>
              <w:rPr>
                <w:rFonts w:ascii="Arial" w:hAnsi="Arial"/>
                <w:sz w:val="20"/>
              </w:rPr>
              <w:t>0.6009</w:t>
            </w:r>
          </w:p>
        </w:tc>
        <w:tc>
          <w:tcPr>
            <w:tcW w:type="dxa" w:w="1520"/>
          </w:tcPr>
          <w:p>
            <w:r>
              <w:rPr>
                <w:rFonts w:ascii="Arial" w:hAnsi="Arial"/>
                <w:sz w:val="20"/>
              </w:rPr>
              <w:t>0.566</w:t>
            </w:r>
          </w:p>
        </w:tc>
        <w:tc>
          <w:tcPr>
            <w:tcW w:type="dxa" w:w="1520"/>
          </w:tcPr>
          <w:p>
            <w:r>
              <w:rPr>
                <w:rFonts w:ascii="Arial" w:hAnsi="Arial"/>
                <w:sz w:val="20"/>
              </w:rPr>
              <w:t>0.6408</w:t>
            </w:r>
          </w:p>
        </w:tc>
        <w:tc>
          <w:tcPr>
            <w:tcW w:type="dxa" w:w="1520"/>
          </w:tcPr>
          <w:p>
            <w:r>
              <w:rPr>
                <w:rFonts w:ascii="Arial" w:hAnsi="Arial"/>
                <w:sz w:val="20"/>
              </w:rPr>
              <w:t>0.61</w:t>
            </w:r>
          </w:p>
        </w:tc>
      </w:tr>
      <w:tr>
        <w:tc>
          <w:tcPr>
            <w:tcW w:type="dxa" w:w="1520"/>
          </w:tcPr>
          <w:p>
            <w:r>
              <w:rPr>
                <w:rFonts w:ascii="Arial" w:hAnsi="Arial"/>
                <w:sz w:val="20"/>
              </w:rPr>
              <w:t>GradBoost</w:t>
            </w:r>
          </w:p>
        </w:tc>
        <w:tc>
          <w:tcPr>
            <w:tcW w:type="dxa" w:w="1520"/>
          </w:tcPr>
          <w:p>
            <w:r>
              <w:rPr>
                <w:rFonts w:ascii="Arial" w:hAnsi="Arial"/>
                <w:sz w:val="20"/>
              </w:rPr>
              <w:t>0.8478</w:t>
            </w:r>
          </w:p>
        </w:tc>
        <w:tc>
          <w:tcPr>
            <w:tcW w:type="dxa" w:w="1520"/>
          </w:tcPr>
          <w:p>
            <w:r>
              <w:rPr>
                <w:rFonts w:ascii="Arial" w:hAnsi="Arial"/>
                <w:sz w:val="20"/>
              </w:rPr>
              <w:t>0.5902</w:t>
            </w:r>
          </w:p>
        </w:tc>
        <w:tc>
          <w:tcPr>
            <w:tcW w:type="dxa" w:w="1520"/>
          </w:tcPr>
          <w:p>
            <w:r>
              <w:rPr>
                <w:rFonts w:ascii="Arial" w:hAnsi="Arial"/>
                <w:sz w:val="20"/>
              </w:rPr>
              <w:t>0.6606</w:t>
            </w:r>
          </w:p>
        </w:tc>
        <w:tc>
          <w:tcPr>
            <w:tcW w:type="dxa" w:w="1520"/>
          </w:tcPr>
          <w:p>
            <w:r>
              <w:rPr>
                <w:rFonts w:ascii="Arial" w:hAnsi="Arial"/>
                <w:sz w:val="20"/>
              </w:rPr>
              <w:t>0.5338</w:t>
            </w:r>
          </w:p>
        </w:tc>
        <w:tc>
          <w:tcPr>
            <w:tcW w:type="dxa" w:w="1520"/>
          </w:tcPr>
          <w:p>
            <w:r>
              <w:rPr>
                <w:rFonts w:ascii="Arial" w:hAnsi="Arial"/>
                <w:sz w:val="20"/>
              </w:rPr>
              <w:t>0.6671</w:t>
            </w:r>
          </w:p>
        </w:tc>
      </w:tr>
      <w:tr>
        <w:tc>
          <w:tcPr>
            <w:tcW w:type="dxa" w:w="1520"/>
          </w:tcPr>
          <w:p>
            <w:r>
              <w:rPr>
                <w:rFonts w:ascii="Arial" w:hAnsi="Arial"/>
                <w:sz w:val="20"/>
              </w:rPr>
              <w:t>Dummy (MostFrequent)</w:t>
            </w:r>
          </w:p>
        </w:tc>
        <w:tc>
          <w:tcPr>
            <w:tcW w:type="dxa" w:w="1520"/>
          </w:tcPr>
          <w:p>
            <w:r>
              <w:rPr>
                <w:rFonts w:ascii="Arial" w:hAnsi="Arial"/>
                <w:sz w:val="20"/>
              </w:rPr>
              <w:t>0.5</w:t>
            </w:r>
          </w:p>
        </w:tc>
        <w:tc>
          <w:tcPr>
            <w:tcW w:type="dxa" w:w="1520"/>
          </w:tcPr>
          <w:p>
            <w:r>
              <w:rPr>
                <w:rFonts w:ascii="Arial" w:hAnsi="Arial"/>
                <w:sz w:val="20"/>
              </w:rPr>
              <w:t>0.0</w:t>
            </w:r>
          </w:p>
        </w:tc>
        <w:tc>
          <w:tcPr>
            <w:tcW w:type="dxa" w:w="1520"/>
          </w:tcPr>
          <w:p>
            <w:r>
              <w:rPr>
                <w:rFonts w:ascii="Arial" w:hAnsi="Arial"/>
                <w:sz w:val="20"/>
              </w:rPr>
              <w:t>0.0</w:t>
            </w:r>
          </w:p>
        </w:tc>
        <w:tc>
          <w:tcPr>
            <w:tcW w:type="dxa" w:w="1520"/>
          </w:tcPr>
          <w:p>
            <w:r>
              <w:rPr>
                <w:rFonts w:ascii="Arial" w:hAnsi="Arial"/>
                <w:sz w:val="20"/>
              </w:rPr>
              <w:t>0.0</w:t>
            </w:r>
          </w:p>
        </w:tc>
        <w:tc>
          <w:tcPr>
            <w:tcW w:type="dxa" w:w="1520"/>
          </w:tcPr>
          <w:p>
            <w:r>
              <w:rPr>
                <w:rFonts w:ascii="Arial" w:hAnsi="Arial"/>
                <w:sz w:val="20"/>
              </w:rPr>
              <w:t>0.2654</w:t>
            </w:r>
          </w:p>
        </w:tc>
      </w:tr>
    </w:tbl>
    <w:p/>
    <w:p>
      <w:pPr>
        <w:jc w:val="center"/>
      </w:pPr>
      <w:r>
        <w:rPr>
          <w:i/>
        </w:rPr>
        <w:t>Tab. 1: 5-Fold Cross-Validation Ergebnisse (Trainingsset, 5.634 Kunden)</w:t>
      </w:r>
    </w:p>
    <w:p>
      <w:r>
        <w:drawing>
          <wp:inline xmlns:a="http://schemas.openxmlformats.org/drawingml/2006/main" xmlns:pic="http://schemas.openxmlformats.org/drawingml/2006/picture">
            <wp:extent cx="4680000" cy="23100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_model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10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Abb. 4: Cross-Validation Metriken im Modellvergleich</w:t>
      </w:r>
    </w:p>
    <w:p>
      <w:pPr>
        <w:pStyle w:val="Heading2"/>
      </w:pPr>
      <w:r>
        <w:t>3.4 Reflexion der Erarbeitungsphase</w:t>
      </w:r>
    </w:p>
    <w:p>
      <w:pPr>
        <w:spacing w:after="120" w:line="340" w:lineRule="exact"/>
      </w:pPr>
      <w:r>
        <w:rPr>
          <w:rFonts w:ascii="Arial" w:hAnsi="Arial"/>
          <w:sz w:val="22"/>
        </w:rPr>
        <w:t>Was hat gut funktioniert:</w:t>
      </w:r>
    </w:p>
    <w:p>
      <w:pPr>
        <w:pStyle w:val="ListBullet"/>
      </w:pPr>
      <w:r>
        <w:rPr>
          <w:rFonts w:ascii="Arial" w:hAnsi="Arial"/>
          <w:sz w:val="22"/>
        </w:rPr>
        <w:t>Die leakage-freie scikit-learn-Pipeline erwies sich als solide Grundarchitektur</w:t>
      </w:r>
    </w:p>
    <w:p>
      <w:pPr>
        <w:pStyle w:val="ListBullet"/>
      </w:pPr>
      <w:r>
        <w:rPr>
          <w:rFonts w:ascii="Arial" w:hAnsi="Arial"/>
          <w:sz w:val="22"/>
        </w:rPr>
        <w:t>Der DummyClassifier lieferte eine sinnvolle Baseline (F1=0.0, ROC-AUC=0.5) zur Einordnung</w:t>
      </w:r>
    </w:p>
    <w:p>
      <w:pPr>
        <w:pStyle w:val="ListBullet"/>
      </w:pPr>
      <w:r>
        <w:rPr>
          <w:rFonts w:ascii="Arial" w:hAnsi="Arial"/>
          <w:sz w:val="22"/>
        </w:rPr>
        <w:t>StratifiedKFold stellte ausgewogene Klassenverteilung in allen Folds sicher</w:t>
      </w:r>
    </w:p>
    <w:p>
      <w:pPr>
        <w:pStyle w:val="ListBullet"/>
      </w:pPr>
      <w:r>
        <w:rPr>
          <w:rFonts w:ascii="Arial" w:hAnsi="Arial"/>
          <w:sz w:val="22"/>
        </w:rPr>
        <w:t>class_weight='balanced' verbesserte Recall für Churn-Klasse spürbar</w:t>
      </w:r>
    </w:p>
    <w:p>
      <w:pPr>
        <w:spacing w:after="120" w:line="340" w:lineRule="exact"/>
      </w:pPr>
      <w:r>
        <w:rPr>
          <w:rFonts w:ascii="Arial" w:hAnsi="Arial"/>
          <w:sz w:val="22"/>
        </w:rPr>
        <w:t>Herausforderungen:</w:t>
      </w:r>
    </w:p>
    <w:p>
      <w:pPr>
        <w:pStyle w:val="ListBullet"/>
      </w:pPr>
      <w:r>
        <w:rPr>
          <w:rFonts w:ascii="Arial" w:hAnsi="Arial"/>
          <w:sz w:val="22"/>
        </w:rPr>
        <w:t>TotalCharges war als String gespeichert: Konvertierung mit pd.to_numeric(errors='coerce') löste das Problem, hinterließ aber 11 NaN-Werte (bei tenure=0), die via Median-Imputation behandelt wurden</w:t>
      </w:r>
    </w:p>
    <w:p>
      <w:pPr>
        <w:pStyle w:val="ListBullet"/>
      </w:pPr>
      <w:r>
        <w:rPr>
          <w:rFonts w:ascii="Arial" w:hAnsi="Arial"/>
          <w:sz w:val="22"/>
        </w:rPr>
        <w:t>Klassenimbalance (26,5% Churn) führt dazu, dass Accuracy als Metrik trügerisch wäre (Dummy-Classifier würde 73,5% Accuracy erreichen) – F1 und Recall sind deutlich aussagekräftiger</w:t>
      </w:r>
    </w:p>
    <w:p>
      <w:pPr>
        <w:pStyle w:val="ListBullet"/>
      </w:pPr>
      <w:r>
        <w:rPr>
          <w:rFonts w:ascii="Arial" w:hAnsi="Arial"/>
          <w:sz w:val="22"/>
        </w:rPr>
        <w:t>Gradient Boosting: Deutlich geringerer Recall (0.53) trotz höherer Precision – für ein Churn-Frühwarnsystem suboptimal</w:t>
      </w:r>
    </w:p>
    <w:p>
      <w:pPr>
        <w:pStyle w:val="ListBullet"/>
      </w:pPr>
      <w:r>
        <w:rPr>
          <w:rFonts w:ascii="Arial" w:hAnsi="Arial"/>
          <w:sz w:val="22"/>
        </w:rPr>
        <w:t>Hyperparameter-Tuning (GridSearchCV) war konzeptionell geplant, konnte aufgrund des Projektumfangs nur mit Default-Parametern (außer n_estimators=300, class_weight='balanced') umgesetzt werden</w:t>
      </w:r>
    </w:p>
    <w:p>
      <w:pPr>
        <w:pStyle w:val="Heading2"/>
      </w:pPr>
      <w:r>
        <w:t>3.5 Meilensteine (M1–M5)</w:t>
      </w:r>
    </w:p>
    <w:p>
      <w:pPr>
        <w:spacing w:after="60"/>
        <w:ind w:left="283"/>
      </w:pPr>
      <w:r>
        <w:rPr>
          <w:rFonts w:ascii="Arial" w:hAnsi="Arial"/>
          <w:b/>
          <w:sz w:val="22"/>
        </w:rPr>
        <w:t xml:space="preserve">M1: </w:t>
      </w:r>
      <w:r>
        <w:rPr>
          <w:rFonts w:ascii="Arial" w:hAnsi="Arial"/>
          <w:sz w:val="22"/>
        </w:rPr>
        <w:t>Datensatz geladen, TotalCharges konvertiert, Target/Features definiert ✅</w:t>
      </w:r>
    </w:p>
    <w:p>
      <w:pPr>
        <w:spacing w:after="60"/>
        <w:ind w:left="283"/>
      </w:pPr>
      <w:r>
        <w:rPr>
          <w:rFonts w:ascii="Arial" w:hAnsi="Arial"/>
          <w:b/>
          <w:sz w:val="22"/>
        </w:rPr>
        <w:t xml:space="preserve">M2: </w:t>
      </w:r>
      <w:r>
        <w:rPr>
          <w:rFonts w:ascii="Arial" w:hAnsi="Arial"/>
          <w:sz w:val="22"/>
        </w:rPr>
        <w:t>Baseline (DummyClassifier) etabliert: F1=0.0, ROC-AUC=0.5 ✅</w:t>
      </w:r>
    </w:p>
    <w:p>
      <w:pPr>
        <w:spacing w:after="60"/>
        <w:ind w:left="283"/>
      </w:pPr>
      <w:r>
        <w:rPr>
          <w:rFonts w:ascii="Arial" w:hAnsi="Arial"/>
          <w:b/>
          <w:sz w:val="22"/>
        </w:rPr>
        <w:t xml:space="preserve">M3: </w:t>
      </w:r>
      <w:r>
        <w:rPr>
          <w:rFonts w:ascii="Arial" w:hAnsi="Arial"/>
          <w:sz w:val="22"/>
        </w:rPr>
        <w:t>Leakage-freie Pipeline (ColumnTransformer + OneHot + Scaler) implementiert ✅</w:t>
      </w:r>
    </w:p>
    <w:p>
      <w:pPr>
        <w:spacing w:after="60"/>
        <w:ind w:left="283"/>
      </w:pPr>
      <w:r>
        <w:rPr>
          <w:rFonts w:ascii="Arial" w:hAnsi="Arial"/>
          <w:b/>
          <w:sz w:val="22"/>
        </w:rPr>
        <w:t xml:space="preserve">M4: </w:t>
      </w:r>
      <w:r>
        <w:rPr>
          <w:rFonts w:ascii="Arial" w:hAnsi="Arial"/>
          <w:sz w:val="22"/>
        </w:rPr>
        <w:t>Modellvergleich via 5-Fold CV abgeschlossen (Tab. 1) ✅</w:t>
      </w:r>
    </w:p>
    <w:p>
      <w:pPr>
        <w:spacing w:after="60"/>
        <w:ind w:left="283"/>
      </w:pPr>
      <w:r>
        <w:rPr>
          <w:rFonts w:ascii="Arial" w:hAnsi="Arial"/>
          <w:b/>
          <w:sz w:val="22"/>
        </w:rPr>
        <w:t xml:space="preserve">M5: </w:t>
      </w:r>
      <w:r>
        <w:rPr>
          <w:rFonts w:ascii="Arial" w:hAnsi="Arial"/>
          <w:sz w:val="22"/>
        </w:rPr>
        <w:t>LogReg als Kandidat für Holdout-Evaluation identifiziert (bester F1/Recall) ✅</w:t>
      </w:r>
    </w:p>
    <w:p>
      <w:pPr>
        <w:pStyle w:val="Heading1"/>
      </w:pPr>
      <w:r>
        <w:t>Quellenverzeichnis</w:t>
      </w:r>
    </w:p>
    <w:p>
      <w:pPr>
        <w:spacing w:after="120"/>
        <w:ind w:left="567" w:hanging="567"/>
      </w:pPr>
      <w:r>
        <w:rPr>
          <w:rFonts w:ascii="Arial" w:hAnsi="Arial"/>
          <w:sz w:val="20"/>
        </w:rPr>
        <w:t>Stock, S., Becker, J., Grimm, D., Hotfilter, T., Molinar, G., Stang, M., &amp; Stork, W. (2021). QUA³CK – A Machine Learning Development Process. Karlsruher Institut für Technologie (KIT). Unveröffentlichter Bericht / Lehrunterlage.</w:t>
      </w:r>
    </w:p>
    <w:p>
      <w:pPr>
        <w:spacing w:after="120"/>
        <w:ind w:left="567" w:hanging="567"/>
      </w:pPr>
      <w:r>
        <w:rPr>
          <w:rFonts w:ascii="Arial" w:hAnsi="Arial"/>
          <w:sz w:val="20"/>
        </w:rPr>
        <w:t>IBM / Kaggle. (o. J.). Telco Customer Churn. Kaggle Datasets. Abgerufen am 30. Juni 2026, von https://www.kaggle.com/datasets/blastchar/telco-customer-churn</w:t>
      </w:r>
    </w:p>
    <w:p>
      <w:pPr>
        <w:spacing w:after="120"/>
        <w:ind w:left="567" w:hanging="567"/>
      </w:pPr>
      <w:r>
        <w:rPr>
          <w:rFonts w:ascii="Arial" w:hAnsi="Arial"/>
          <w:sz w:val="20"/>
        </w:rPr>
        <w:t>GitHub-Repository: [BITTE AUSFÜLLEN: GitHub-Repository-Link]</w:t>
      </w:r>
    </w:p>
    <w:p>
      <w:pPr>
        <w:spacing w:after="120"/>
        <w:ind w:left="567" w:hanging="567"/>
      </w:pPr>
      <w:r>
        <w:rPr>
          <w:rFonts w:ascii="Arial" w:hAnsi="Arial"/>
          <w:sz w:val="20"/>
        </w:rPr>
        <w:t>Pedregosa, F., et al. (2011). Scikit-learn: Machine Learning in Python. Journal of Machine Learning Research, 12, 2825–2830. scikit-learn Version ≥ 1.3.0.</w:t>
      </w:r>
    </w:p>
    <w:p>
      <w:pPr>
        <w:spacing w:after="120"/>
        <w:ind w:left="567" w:hanging="567"/>
      </w:pPr>
      <w:r>
        <w:rPr>
          <w:rFonts w:ascii="Arial" w:hAnsi="Arial"/>
          <w:sz w:val="20"/>
        </w:rPr>
        <w:t>McKinney, W. (2010). Data Structures for Statistical Computing in Python. Proceedings of the 9th Python in Science Conference. pandas Version ≥ 2.0.0.</w:t>
      </w:r>
    </w:p>
    <w:p>
      <w:pPr>
        <w:spacing w:after="120"/>
        <w:ind w:left="567" w:hanging="567"/>
      </w:pPr>
      <w:r>
        <w:rPr>
          <w:rFonts w:ascii="Arial" w:hAnsi="Arial"/>
          <w:sz w:val="20"/>
        </w:rPr>
        <w:t>Hunter, J. D. (2007). Matplotlib: A 2D Graphics Environment. Computing in Science &amp; Engineering, 9(3), 90–95. matplotlib Version ≥ 3.7.0.</w:t>
      </w:r>
    </w:p>
    <w:p>
      <w:pPr>
        <w:spacing w:after="120"/>
        <w:ind w:left="567" w:hanging="567"/>
      </w:pPr>
      <w:r>
        <w:rPr>
          <w:rFonts w:ascii="Arial" w:hAnsi="Arial"/>
          <w:sz w:val="20"/>
        </w:rPr>
        <w:t>Waskom, M. (2021). Seaborn: Statistical Data Visualization. Journal of Open Source Software, 6(60), 3021. seaborn Version ≥ 0.12.0.</w:t>
      </w:r>
    </w:p>
    <w:p>
      <w:pPr>
        <w:spacing w:after="120"/>
        <w:ind w:left="567" w:hanging="567"/>
      </w:pPr>
      <w:r>
        <w:rPr>
          <w:rFonts w:ascii="Arial" w:hAnsi="Arial"/>
          <w:sz w:val="20"/>
        </w:rPr>
        <w:t>Streamlit Inc. (2023). Streamlit – The fastest way to build data apps. https://streamlit.io. streamlit Version ≥ 1.28.0.</w:t>
      </w:r>
    </w:p>
    <w:p>
      <w:pPr>
        <w:spacing w:after="120"/>
        <w:ind w:left="567" w:hanging="567"/>
      </w:pPr>
      <w:r>
        <w:rPr>
          <w:rFonts w:ascii="Arial" w:hAnsi="Arial"/>
          <w:sz w:val="20"/>
        </w:rPr>
        <w:t>Joblib Development Team. (2023). Joblib: running Python functions as pipeline jobs. https://joblib.readthedocs.io. joblib Version ≥ 1.3.0.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0" w:lineRule="exact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A1A2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A1A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