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i/>
          <w:color w:val="AAAAAA"/>
          <w:sz w:val="20"/>
        </w:rPr>
        <w:t>[IU INTERNATIONALES HOCHSCHULLOGO – HIER EINFÜGEN]</w:t>
      </w:r>
    </w:p>
    <w:p/>
    <w:p/>
    <w:p>
      <w:pPr>
        <w:jc w:val="center"/>
      </w:pPr>
      <w:r>
        <w:rPr>
          <w:rFonts w:ascii="Arial" w:hAnsi="Arial"/>
          <w:b/>
          <w:color w:val="1A1A2E"/>
          <w:sz w:val="44"/>
        </w:rPr>
        <w:t>CustomerChurnLab</w:t>
      </w:r>
    </w:p>
    <w:p>
      <w:pPr>
        <w:jc w:val="center"/>
      </w:pPr>
      <w:r>
        <w:rPr>
          <w:rFonts w:ascii="Arial" w:hAnsi="Arial"/>
          <w:color w:val="333333"/>
          <w:sz w:val="28"/>
        </w:rPr>
        <w:t>Customer Churn Prediction mit klassischem Machine Learning</w:t>
      </w:r>
    </w:p>
    <w:p/>
    <w:p>
      <w:pPr>
        <w:jc w:val="center"/>
      </w:pPr>
      <w:r>
        <w:rPr>
          <w:rFonts w:ascii="Arial" w:hAnsi="Arial"/>
          <w:b/>
          <w:color w:val="007BFF"/>
          <w:sz w:val="32"/>
        </w:rPr>
        <w:t>Portfolio Phase 3: Finalisierungsphase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Name: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[BITTE AUSFÜLLEN: Vor- und Nachname]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Matrikelnummer: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[BITTE AUSFÜLLEN: Matrikelnummer]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Kurs: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[BITTE AUSFÜLLEN: Kursbezeichnung]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Dozent/in: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[BITTE AUSFÜLLEN: Dozent/in]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Portfolio-Phase: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Phase 3 von 3</w:t>
            </w:r>
          </w:p>
        </w:tc>
      </w:tr>
      <w:tr>
        <w:tc>
          <w:tcPr>
            <w:tcW w:type="dxa" w:w="4561"/>
          </w:tcPr>
          <w:p>
            <w:r>
              <w:rPr>
                <w:rFonts w:ascii="Arial" w:hAnsi="Arial"/>
                <w:b/>
                <w:sz w:val="22"/>
              </w:rPr>
              <w:t>Datum:</w:t>
            </w:r>
          </w:p>
        </w:tc>
        <w:tc>
          <w:tcPr>
            <w:tcW w:type="dxa" w:w="4561"/>
          </w:tcPr>
          <w:p>
            <w:r>
              <w:rPr>
                <w:rFonts w:ascii="Arial" w:hAnsi="Arial"/>
                <w:sz w:val="22"/>
              </w:rPr>
              <w:t>30. Juni 2026</w:t>
            </w:r>
          </w:p>
        </w:tc>
      </w:tr>
    </w:tbl>
    <w:p/>
    <w:p>
      <w:pPr>
        <w:jc w:val="center"/>
      </w:pPr>
      <w:r>
        <w:rPr>
          <w:i/>
          <w:color w:val="0078D7"/>
          <w:sz w:val="20"/>
        </w:rPr>
        <w:t>GitHub-Repository: [BITTE AUSFÜLLEN: GitHub-Repository-Link]</w:t>
      </w:r>
    </w:p>
    <w:p>
      <w:r>
        <w:br w:type="page"/>
      </w:r>
    </w:p>
    <w:p>
      <w:pPr>
        <w:pStyle w:val="Heading1"/>
      </w:pPr>
      <w:r>
        <w:t>Inhaltsverzeichnis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88888"/>
          <w:sz w:val="18"/>
        </w:rPr>
        <w:t>→ Bitte im geöffneten Word-Dokument das Inhaltsverzeichnis aktualisieren: Rechtsklick auf das Feld → 'Felder aktualisieren'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spacing w:after="120" w:line="340" w:lineRule="exact"/>
      </w:pPr>
      <w:r>
        <w:rPr>
          <w:rFonts w:ascii="Arial" w:hAnsi="Arial"/>
          <w:sz w:val="22"/>
        </w:rPr>
        <w:t>Das Projekt CustomerChurnLab untersucht die Vorhersage von Customer Churn – der Abwanderung von Telekommunikationskunden – mithilfe klassischer Machine-Learning-Verfahren. Zielsetzung ist die Beantwortung der zentralen Forschungsfrage: Welcher ML-Algorithmus bietet die beste Kombination aus Vorhersagequalität, Interpretierbarkeit und Rechenaufwand? Als Datenbasis dient der öffentlich verfügbare IBM Telco Customer Churn Datensatz (7.043 Kunden, 20 Features).</w:t>
      </w:r>
    </w:p>
    <w:p>
      <w:pPr>
        <w:spacing w:after="120" w:line="340" w:lineRule="exact"/>
      </w:pPr>
      <w:r>
        <w:rPr>
          <w:rFonts w:ascii="Arial" w:hAnsi="Arial"/>
          <w:sz w:val="22"/>
        </w:rPr>
        <w:t>Das Projekt folgt dem QUA³CK-Prozessmodell (Stock et al., 2021): Von der Problemdefinition (Q) über explorative Datenanalyse (U) und iterativen A³-Zyklus (Algorithmusauswahl, Feature-Anpassung, Hyperparameter-Abstimmung) bis zur Schlussfolgerung (C) und dem Wissenstransfer (K) in Form einer interaktiven Streamlit-Webanwendung.</w:t>
      </w:r>
    </w:p>
    <w:p>
      <w:pPr>
        <w:spacing w:after="120" w:line="340" w:lineRule="exact"/>
      </w:pPr>
      <w:r>
        <w:rPr>
          <w:rFonts w:ascii="Arial" w:hAnsi="Arial"/>
          <w:sz w:val="22"/>
        </w:rPr>
        <w:t>Vier Modelle wurden verglichen (DummyClassifier, Logistic Regression, Random Forest, Gradient Boosting). Logistic Regression erzielte den besten F1-Score (0.614) und den höchsten Recall (0.783) auf dem Holdout-Testset – entscheidend für ein Churn-Frühwarnsystem, das möglichst wenige Kündiger verpassen soll. Die Hypothesen H1 (Vertragsmerkmale dominieren) und H3 (Pipeline-Preprocessing verbessert Generalisierung) wurden bestätigt; H2 (Ensemble-Modelle besser) wurde widerlegt. Das finale Modell ist als Streamlit-App deploybar und als Jupyter-Notebook vollständig reproduzierbar. Der Quellcode ist öffentlich verfügbar: [BITTE AUSFÜLLEN: GitHub-Repository-Link]</w:t>
      </w:r>
    </w:p>
    <w:p>
      <w:r>
        <w:br w:type="page"/>
      </w:r>
    </w:p>
    <w:p>
      <w:pPr>
        <w:pStyle w:val="Heading1"/>
      </w:pPr>
      <w:r>
        <w:t>1. Rückblick Phase 1: Konzeptionsphase</w:t>
      </w:r>
    </w:p>
    <w:p>
      <w:pPr>
        <w:spacing w:after="120" w:line="340" w:lineRule="exact"/>
      </w:pPr>
      <w:r>
        <w:rPr>
          <w:rFonts w:ascii="Arial" w:hAnsi="Arial"/>
          <w:sz w:val="22"/>
        </w:rPr>
        <w:t>In Phase 1 wurde die zentrale Forschungsfrage definiert sowie drei empirisch prüfbare Hypothesen (H1–H3) formuliert. Das QUA³CK-Prozessmodell wurde als methodischer Rahmen gewählt und begründet. Als Datensatz wurde der IBM Telco Customer Churn Datensatz (7.043 Kunden, 26,5% Churn-Rate) ausgewählt. Erfolgsmetriken (F1 &gt; 0.55, Recall &gt; 0.65, ROC-AUC &gt; 0.80) und das Deployment-Ziel (Streamlit-App) wurden festgelegt. Alle geplanten Meilensteine konnten umgesetzt werden.</w:t>
      </w:r>
    </w:p>
    <w:p>
      <w:pPr>
        <w:pStyle w:val="Heading1"/>
      </w:pPr>
      <w:r>
        <w:t>2. Rückblick Phase 2: Erarbeitungsphase</w:t>
      </w:r>
    </w:p>
    <w:p>
      <w:pPr>
        <w:spacing w:after="120" w:line="340" w:lineRule="exact"/>
      </w:pPr>
      <w:r>
        <w:rPr>
          <w:rFonts w:ascii="Arial" w:hAnsi="Arial"/>
          <w:sz w:val="22"/>
        </w:rPr>
        <w:t>Phase 2 umfasste die explorative Datenanalyse (U-Phase) und den A³-Zyklus. Zentrale EDA-Erkenntnis: Vertragsdauer (tenure), Vertragsart (Contract) und monatliche Kosten (MonthlyCharges) sind die wichtigsten Prädiktoren. Die Klassenimbalance (26,5% Churn) wurde durch stratifizierte Splits und class_weight='balanced' adressiert. Die scikit-learn Pipeline stellte Leakage-Freiheit sicher. Vier Modelle wurden per 5-Fold Cross-Validation verglichen. Logistic Regression erzielte den besten F1 (0.628) und Recall (0.801) – trotz niedrigerer Precision als GradBoost.</w:t>
      </w:r>
    </w:p>
    <w:p>
      <w:pPr>
        <w:pStyle w:val="Heading1"/>
      </w:pPr>
      <w:r>
        <w:t>3. Technischer Anhang: Ressourcen und Architektur</w:t>
      </w:r>
    </w:p>
    <w:p>
      <w:pPr>
        <w:pStyle w:val="Heading2"/>
      </w:pPr>
      <w:r>
        <w:t>3.1 Verwendete Software und Bibliotheken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Arial" w:hAnsi="Arial"/>
                <w:b/>
                <w:sz w:val="20"/>
              </w:rPr>
              <w:t>Bibliothek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b/>
                <w:sz w:val="20"/>
              </w:rPr>
              <w:t>Verwendungszweck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Python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3.10+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Programmiersprache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pandas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≥ 2.0.0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Datenanalyse, Preprocessing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scikit-learn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≥ 1.3.0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ML-Modelle, Pipelines, Metriken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matplotlib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≥ 3.7.0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Visualisierungen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seaborn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≥ 0.12.0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Statistische Plots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joblib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≥ 1.3.0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Modell-Serialisierung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streamlit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≥ 1.28.0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Web-App Deployment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Jupyter Notebook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–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Interaktive Entwicklung</w:t>
            </w:r>
          </w:p>
        </w:tc>
      </w:tr>
    </w:tbl>
    <w:p/>
    <w:p>
      <w:pPr>
        <w:pStyle w:val="Heading2"/>
      </w:pPr>
      <w:r>
        <w:t>3.2 Projektdateien</w:t>
      </w:r>
    </w:p>
    <w:p>
      <w:pPr>
        <w:spacing w:after="40"/>
        <w:ind w:left="283"/>
      </w:pPr>
      <w:r>
        <w:rPr>
          <w:rFonts w:ascii="Courier New" w:hAnsi="Courier New"/>
          <w:b/>
          <w:sz w:val="20"/>
        </w:rPr>
        <w:t xml:space="preserve">Q_conception.ipynb: </w:t>
      </w:r>
      <w:r>
        <w:rPr>
          <w:rFonts w:ascii="Arial" w:hAnsi="Arial"/>
          <w:sz w:val="20"/>
        </w:rPr>
        <w:t>Q-Phase: Forschungsfrage, Hypothesen, Konzept</w:t>
      </w:r>
    </w:p>
    <w:p>
      <w:pPr>
        <w:spacing w:after="40"/>
        <w:ind w:left="283"/>
      </w:pPr>
      <w:r>
        <w:rPr>
          <w:rFonts w:ascii="Courier New" w:hAnsi="Courier New"/>
          <w:b/>
          <w:sz w:val="20"/>
        </w:rPr>
        <w:t xml:space="preserve">U_EDA.ipynb: </w:t>
      </w:r>
      <w:r>
        <w:rPr>
          <w:rFonts w:ascii="Arial" w:hAnsi="Arial"/>
          <w:sz w:val="20"/>
        </w:rPr>
        <w:t>U-Phase: EDA-Code mit Visualisierungen</w:t>
      </w:r>
    </w:p>
    <w:p>
      <w:pPr>
        <w:spacing w:after="40"/>
        <w:ind w:left="283"/>
      </w:pPr>
      <w:r>
        <w:rPr>
          <w:rFonts w:ascii="Courier New" w:hAnsi="Courier New"/>
          <w:b/>
          <w:sz w:val="20"/>
        </w:rPr>
        <w:t xml:space="preserve">U_Analyse.ipynb: </w:t>
      </w:r>
      <w:r>
        <w:rPr>
          <w:rFonts w:ascii="Arial" w:hAnsi="Arial"/>
          <w:sz w:val="20"/>
        </w:rPr>
        <w:t>U-Phase: Analyse-Interpretation</w:t>
      </w:r>
    </w:p>
    <w:p>
      <w:pPr>
        <w:spacing w:after="40"/>
        <w:ind w:left="283"/>
      </w:pPr>
      <w:r>
        <w:rPr>
          <w:rFonts w:ascii="Courier New" w:hAnsi="Courier New"/>
          <w:b/>
          <w:sz w:val="20"/>
        </w:rPr>
        <w:t xml:space="preserve">A_Development_Phase.ipynb: </w:t>
      </w:r>
      <w:r>
        <w:rPr>
          <w:rFonts w:ascii="Arial" w:hAnsi="Arial"/>
          <w:sz w:val="20"/>
        </w:rPr>
        <w:t>A³-Phase: Pipeline und Modellvergleich</w:t>
      </w:r>
    </w:p>
    <w:p>
      <w:pPr>
        <w:spacing w:after="40"/>
        <w:ind w:left="283"/>
      </w:pPr>
      <w:r>
        <w:rPr>
          <w:rFonts w:ascii="Courier New" w:hAnsi="Courier New"/>
          <w:b/>
          <w:sz w:val="20"/>
        </w:rPr>
        <w:t xml:space="preserve">A_Development_Phase_Results.ipynb: </w:t>
      </w:r>
      <w:r>
        <w:rPr>
          <w:rFonts w:ascii="Arial" w:hAnsi="Arial"/>
          <w:sz w:val="20"/>
        </w:rPr>
        <w:t>A³-Phase: Cross-Validation Ergebnisse</w:t>
      </w:r>
    </w:p>
    <w:p>
      <w:pPr>
        <w:spacing w:after="40"/>
        <w:ind w:left="283"/>
      </w:pPr>
      <w:r>
        <w:rPr>
          <w:rFonts w:ascii="Courier New" w:hAnsi="Courier New"/>
          <w:b/>
          <w:sz w:val="20"/>
        </w:rPr>
        <w:t xml:space="preserve">C_Evaluation_Final.py: </w:t>
      </w:r>
      <w:r>
        <w:rPr>
          <w:rFonts w:ascii="Arial" w:hAnsi="Arial"/>
          <w:sz w:val="20"/>
        </w:rPr>
        <w:t>C-Phase: Holdout-Evaluation, alle Plots, Modell-Export</w:t>
      </w:r>
    </w:p>
    <w:p>
      <w:pPr>
        <w:spacing w:after="40"/>
        <w:ind w:left="283"/>
      </w:pPr>
      <w:r>
        <w:rPr>
          <w:rFonts w:ascii="Courier New" w:hAnsi="Courier New"/>
          <w:b/>
          <w:sz w:val="20"/>
        </w:rPr>
        <w:t xml:space="preserve">app.py: </w:t>
      </w:r>
      <w:r>
        <w:rPr>
          <w:rFonts w:ascii="Arial" w:hAnsi="Arial"/>
          <w:sz w:val="20"/>
        </w:rPr>
        <w:t>K-Phase: Streamlit-App</w:t>
      </w:r>
    </w:p>
    <w:p>
      <w:pPr>
        <w:spacing w:after="40"/>
        <w:ind w:left="283"/>
      </w:pPr>
      <w:r>
        <w:rPr>
          <w:rFonts w:ascii="Courier New" w:hAnsi="Courier New"/>
          <w:b/>
          <w:sz w:val="20"/>
        </w:rPr>
        <w:t xml:space="preserve">models/logreg_churn_pipeline.pkl: </w:t>
      </w:r>
      <w:r>
        <w:rPr>
          <w:rFonts w:ascii="Arial" w:hAnsi="Arial"/>
          <w:sz w:val="20"/>
        </w:rPr>
        <w:t>Serialisiertes finales Modell (joblib)</w:t>
      </w:r>
    </w:p>
    <w:p>
      <w:pPr>
        <w:spacing w:after="40"/>
        <w:ind w:left="283"/>
      </w:pPr>
      <w:r>
        <w:rPr>
          <w:rFonts w:ascii="Courier New" w:hAnsi="Courier New"/>
          <w:b/>
          <w:sz w:val="20"/>
        </w:rPr>
        <w:t xml:space="preserve">requirements.txt: </w:t>
      </w:r>
      <w:r>
        <w:rPr>
          <w:rFonts w:ascii="Arial" w:hAnsi="Arial"/>
          <w:sz w:val="20"/>
        </w:rPr>
        <w:t>Abhängigkeiten</w:t>
      </w:r>
    </w:p>
    <w:p>
      <w:pPr>
        <w:spacing w:after="40"/>
        <w:ind w:left="283"/>
      </w:pPr>
      <w:r>
        <w:rPr>
          <w:rFonts w:ascii="Courier New" w:hAnsi="Courier New"/>
          <w:b/>
          <w:sz w:val="20"/>
        </w:rPr>
        <w:t xml:space="preserve">AI_TOOL_DISCLOSURE.ipynb: </w:t>
      </w:r>
      <w:r>
        <w:rPr>
          <w:rFonts w:ascii="Arial" w:hAnsi="Arial"/>
          <w:sz w:val="20"/>
        </w:rPr>
        <w:t>KI-Tool-Nutzung Dokumentation</w:t>
      </w:r>
    </w:p>
    <w:p>
      <w:pPr>
        <w:pStyle w:val="Heading1"/>
      </w:pPr>
      <w:r>
        <w:t>4. C-Phase: Finale Evaluation und Ergebnisse</w:t>
      </w:r>
    </w:p>
    <w:p>
      <w:pPr>
        <w:pStyle w:val="Heading2"/>
      </w:pPr>
      <w:r>
        <w:t>4.1 Finale Modellwahl mit Begründung</w:t>
      </w:r>
    </w:p>
    <w:p>
      <w:pPr>
        <w:spacing w:after="120" w:line="340" w:lineRule="exact"/>
      </w:pPr>
      <w:r>
        <w:rPr>
          <w:rFonts w:ascii="Arial" w:hAnsi="Arial"/>
          <w:sz w:val="22"/>
        </w:rPr>
        <w:t>Als finales Modell wurde Logistic Regression ausgewählt. Die Begründung erfolgt anhand eines direkten Vergleichs mit dem konkurrierenden Ansatz Gradient Boosting: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Arial" w:hAnsi="Arial"/>
                <w:b/>
                <w:sz w:val="20"/>
              </w:rPr>
              <w:t>Kriterium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b/>
                <w:sz w:val="20"/>
              </w:rPr>
              <w:t>Logistic Regression ✅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b/>
                <w:sz w:val="20"/>
              </w:rPr>
              <w:t>Gradient Boosting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F1-Score (Test)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0.614 (höher)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0.590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Recall (Test)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0.783 (höher ✅)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0.524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Precision (Test)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0.504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0.674 (höher)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ROC-AUC (Test)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0.841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0.843 (minimal besser)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Interpretierbarkeit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Koeffizienten → Odds Ratios ✅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Feature Importance, kein direkter Effekt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Trainingszeit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Sehr schnell (Sekunden) ✅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Moderat (Sekunden–Minuten)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Für Frühwarnung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Ideal (hoher Recall: 78,3%) ✅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Ungeeignet (Recall: 52,4%)</w:t>
            </w:r>
          </w:p>
        </w:tc>
      </w:tr>
    </w:tbl>
    <w:p/>
    <w:p>
      <w:pPr>
        <w:spacing w:after="120" w:line="340" w:lineRule="exact"/>
      </w:pPr>
      <w:r>
        <w:rPr>
          <w:rFonts w:ascii="Arial" w:hAnsi="Arial"/>
          <w:sz w:val="22"/>
        </w:rPr>
        <w:t>Für ein Churn-Frühwarnsystem ist Recall entscheidend: Ein nicht erkannter Kündiger (False Negative) verursacht dauerhaften Kundenverlust, während ein False Positive (fälschlich als Kündiger markierter treuer Kunde) lediglich unnötige Retentionskosten erzeugt – ein deutlich geringerer Schaden. Daher ist Logistic Regression trotz geringerer Precision die optimale Wahl für diesen Anwendungsfall.</w:t>
      </w:r>
    </w:p>
    <w:p>
      <w:pPr>
        <w:pStyle w:val="Heading2"/>
      </w:pPr>
      <w:r>
        <w:t>4.2 Holdout-Testset Evaluation</w:t>
      </w:r>
    </w:p>
    <w:p>
      <w:pPr>
        <w:spacing w:after="120" w:line="340" w:lineRule="exact"/>
      </w:pPr>
      <w:r>
        <w:rPr>
          <w:rFonts w:ascii="Arial" w:hAnsi="Arial"/>
          <w:sz w:val="22"/>
        </w:rPr>
        <w:t>Alle Modelle wurden final auf dem zurückgehaltenen Testset evaluiert (1.409 Kunden, 20% des Gesamtdatensatzes, stratifizierter Split):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r>
              <w:rPr>
                <w:rFonts w:ascii="Arial" w:hAnsi="Arial"/>
                <w:b/>
                <w:sz w:val="20"/>
              </w:rPr>
              <w:t>Modell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b/>
                <w:sz w:val="20"/>
              </w:rPr>
              <w:t>F1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b/>
                <w:sz w:val="20"/>
              </w:rPr>
              <w:t>Recall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b/>
                <w:sz w:val="20"/>
              </w:rPr>
              <w:t>Precision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b/>
                <w:sz w:val="20"/>
              </w:rPr>
              <w:t>ROC-AUC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b/>
                <w:sz w:val="20"/>
              </w:rPr>
              <w:t>PR-AUC</w:t>
            </w:r>
          </w:p>
        </w:tc>
      </w:tr>
      <w:tr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LogReg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0.6136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0.7834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0.5043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0.8413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0.6326</w:t>
            </w:r>
          </w:p>
        </w:tc>
      </w:tr>
      <w:tr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GradBoost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0.5895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0.5241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0.6735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0.8434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0.6641</w:t>
            </w:r>
          </w:p>
        </w:tc>
      </w:tr>
      <w:tr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RandomForest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0.5854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0.623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0.5521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0.8218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0.6038</w:t>
            </w:r>
          </w:p>
        </w:tc>
      </w:tr>
      <w:tr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Dummy (MostFrequent)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0.0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0.5</w:t>
            </w:r>
          </w:p>
        </w:tc>
        <w:tc>
          <w:tcPr>
            <w:tcW w:type="dxa" w:w="1520"/>
          </w:tcPr>
          <w:p>
            <w:r>
              <w:rPr>
                <w:rFonts w:ascii="Arial" w:hAnsi="Arial"/>
                <w:sz w:val="20"/>
              </w:rPr>
              <w:t>0.2654</w:t>
            </w:r>
          </w:p>
        </w:tc>
      </w:tr>
    </w:tbl>
    <w:p/>
    <w:p>
      <w:pPr>
        <w:jc w:val="center"/>
      </w:pPr>
      <w:r>
        <w:rPr>
          <w:i/>
        </w:rPr>
        <w:t>Tab. 2: Holdout-Testset Evaluation (1.409 Kunden, 20% des Datensatzes)</w:t>
      </w:r>
    </w:p>
    <w:p>
      <w:pPr>
        <w:pStyle w:val="Heading2"/>
      </w:pPr>
      <w:r>
        <w:t>4.3 Konfusionsmatrix</w:t>
      </w:r>
    </w:p>
    <w:p>
      <w:pPr>
        <w:spacing w:after="120" w:line="340" w:lineRule="exact"/>
      </w:pPr>
      <w:r>
        <w:rPr>
          <w:rFonts w:ascii="Arial" w:hAnsi="Arial"/>
          <w:sz w:val="22"/>
        </w:rPr>
        <w:t>Abb. 5 zeigt die Konfusionsmatrix für Logistic Regression auf dem Testset. Von 374 tatsächlichen Churn-Kunden wurden 293 korrekt erkannt (True Positives). 81 Churn-Kunden wurden nicht erkannt (False Negatives – verpässte Kündiger). Von 1.035 Nicht-Churn-Kunden wurden 747 korrekt als loyal klassifiziert. 288 loyale Kunden wurden fälschlicherweise als Kündiger markiert (False Positives).</w:t>
      </w:r>
    </w:p>
    <w:p>
      <w:r>
        <w:drawing>
          <wp:inline xmlns:a="http://schemas.openxmlformats.org/drawingml/2006/main" xmlns:pic="http://schemas.openxmlformats.org/drawingml/2006/picture">
            <wp:extent cx="3240000" cy="2730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3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Abb. 5: Konfusionsmatrix – Logistic Regression (Testset, 1.409 Kunden)</w:t>
      </w:r>
    </w:p>
    <w:p>
      <w:pPr>
        <w:pStyle w:val="Heading2"/>
      </w:pPr>
      <w:r>
        <w:t>4.4 ROC- und Precision-Recall-Kurven</w:t>
      </w:r>
    </w:p>
    <w:p>
      <w:pPr>
        <w:spacing w:after="120" w:line="340" w:lineRule="exact"/>
      </w:pPr>
      <w:r>
        <w:rPr>
          <w:rFonts w:ascii="Arial" w:hAnsi="Arial"/>
          <w:sz w:val="22"/>
        </w:rPr>
        <w:t>Abb. 6 zeigt die ROC-Kurven aller drei Modelle. Gradient Boosting erzielt marginale Vorteile beim ROC-AUC (0.843 vs. 0.841 für LogReg), der Unterschied ist jedoch minimal. Die Precision-Recall-Kurve (Abb. 7) verdeutlicht, dass LogReg bei niedrigen Precision-Schwellen (also hohem Recall) besser abschneidet – relevant für das Frühwarnsystem.</w:t>
      </w:r>
    </w:p>
    <w:p>
      <w:r>
        <w:drawing>
          <wp:inline xmlns:a="http://schemas.openxmlformats.org/drawingml/2006/main" xmlns:pic="http://schemas.openxmlformats.org/drawingml/2006/picture">
            <wp:extent cx="3960000" cy="3283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8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Abb. 6: ROC-Kurven – Modellvergleich auf Testset</w:t>
      </w:r>
    </w:p>
    <w:p>
      <w:r>
        <w:drawing>
          <wp:inline xmlns:a="http://schemas.openxmlformats.org/drawingml/2006/main" xmlns:pic="http://schemas.openxmlformats.org/drawingml/2006/picture">
            <wp:extent cx="3960000" cy="3283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8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Abb. 7: Precision-Recall-Kurven – Modellvergleich auf Testset</w:t>
      </w:r>
    </w:p>
    <w:p>
      <w:pPr>
        <w:pStyle w:val="Heading2"/>
      </w:pPr>
      <w:r>
        <w:t>4.5 Feature Importance (Logistic Regression)</w:t>
      </w:r>
    </w:p>
    <w:p>
      <w:pPr>
        <w:spacing w:after="120" w:line="340" w:lineRule="exact"/>
      </w:pPr>
      <w:r>
        <w:rPr>
          <w:rFonts w:ascii="Arial" w:hAnsi="Arial"/>
          <w:sz w:val="22"/>
        </w:rPr>
        <w:t>Abb. 8 zeigt die Top-20-Features nach absolutem Koeffizientenwert der Logistic Regression. Positive Koeffizienten erhöhen die Churn-Wahrscheinlichkeit (log-odds), negative senken sie:</w:t>
      </w:r>
    </w:p>
    <w:p>
      <w:r>
        <w:drawing>
          <wp:inline xmlns:a="http://schemas.openxmlformats.org/drawingml/2006/main" xmlns:pic="http://schemas.openxmlformats.org/drawingml/2006/picture">
            <wp:extent cx="4680000" cy="40728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logre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72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Abb. 8: Logistic Regression Koeffizienten – Top-20 Features (rot=Churn-fördernd, grün=Churn-hemmend)</w:t>
      </w:r>
    </w:p>
    <w:p>
      <w:pPr>
        <w:spacing w:after="120" w:line="340" w:lineRule="exact"/>
      </w:pPr>
      <w:r>
        <w:rPr>
          <w:rFonts w:ascii="Arial" w:hAnsi="Arial"/>
          <w:sz w:val="22"/>
        </w:rPr>
        <w:t>Die wichtigsten Churn-fördernden Features sind Contract_Month-to-month und tenure (negativ). Kurze Vertragsdauer und monatliche Verträge sind die stärksten Prädiktoren. Churn-hemmend wirken v. a. Contract_Two year und zusätzliche Services wie TechSupport_Yes.</w:t>
      </w:r>
    </w:p>
    <w:p>
      <w:pPr>
        <w:pStyle w:val="Heading1"/>
      </w:pPr>
      <w:r>
        <w:t>5. Hypothesenprüfung</w:t>
      </w:r>
    </w:p>
    <w:p>
      <w:pPr>
        <w:pStyle w:val="Heading2"/>
      </w:pPr>
      <w:r>
        <w:t>H1: Vertragsmerkmale dominieren Demografik</w:t>
      </w:r>
    </w:p>
    <w:p>
      <w:pPr>
        <w:spacing w:after="120" w:line="340" w:lineRule="exact"/>
      </w:pPr>
      <w:r>
        <w:rPr>
          <w:rFonts w:ascii="Arial" w:hAnsi="Arial"/>
          <w:sz w:val="22"/>
        </w:rPr>
        <w:t>H1 lautet: Vertragsmerkmale (Contract Type, Tenure) haben einen stärkeren Einfluss auf Churn als demografische Merkmale (Geschlecht, SeniorCitizen).</w:t>
      </w:r>
    </w:p>
    <w:p>
      <w:pPr>
        <w:spacing w:after="120" w:line="340" w:lineRule="exact"/>
      </w:pPr>
      <w:r>
        <w:rPr>
          <w:rFonts w:ascii="Arial" w:hAnsi="Arial"/>
          <w:sz w:val="22"/>
        </w:rPr>
        <w:t>Ergebnis: ✅ BESTÄTIGT. Die Koeffizientenanalyse (Abb. 8) zeigt, dass Contract_Month-to-month und tenure zu den stärksten Prädiktoren gehören. gender und SeniorCitizen haben deutlich geringere Koeffizientenbeträge. Die EDA (Abb. 2–3) belegt dies visuell: month-to-month-Kunden kündigen mit &gt;40% Rate, während Demografie kaum differenziert.</w:t>
      </w:r>
    </w:p>
    <w:p>
      <w:pPr>
        <w:pStyle w:val="Heading2"/>
      </w:pPr>
      <w:r>
        <w:t>H2: Ensemble-Modelle übertreffen lineare Modelle</w:t>
      </w:r>
    </w:p>
    <w:p>
      <w:pPr>
        <w:spacing w:after="120" w:line="340" w:lineRule="exact"/>
      </w:pPr>
      <w:r>
        <w:rPr>
          <w:rFonts w:ascii="Arial" w:hAnsi="Arial"/>
          <w:sz w:val="22"/>
        </w:rPr>
        <w:t>H2 lautet: Ensemble-Modelle (Random Forest, Gradient Boosting) erzielen höhere Vorhersageleistung als Logistic Regression.</w:t>
      </w:r>
    </w:p>
    <w:p>
      <w:pPr>
        <w:spacing w:after="120" w:line="340" w:lineRule="exact"/>
      </w:pPr>
      <w:r>
        <w:rPr>
          <w:rFonts w:ascii="Arial" w:hAnsi="Arial"/>
          <w:sz w:val="22"/>
        </w:rPr>
        <w:t>Ergebnis: ❌ WIDERLEGT. Logistic Regression übertrifft beide Ensemble-Modelle beim F1-Score (LogReg: 0.614, RF: 0.585, GradBoost: 0.590) und beim Recall (LogReg: 0.783, RF: 0.623, GradBoost: 0.524). Nur beim ROC-AUC liegt Gradient Boosting marginal vorne (0.843 vs. 0.841). Mögliche Erklärung: Bei diesem tabellarischen Datensatz mit relativ linearen Zusammenhängen ist die höhere Komplexität von Ensembles kein Vorteil. Zudem profitiert LogReg stärker von class_weight='balanced'. H2 muss daher als widerlegt gelten.</w:t>
      </w:r>
    </w:p>
    <w:p>
      <w:pPr>
        <w:pStyle w:val="Heading2"/>
      </w:pPr>
      <w:r>
        <w:t>H3: Leakage-freie Pipeline verbessert Generalisierung</w:t>
      </w:r>
    </w:p>
    <w:p>
      <w:pPr>
        <w:spacing w:after="120" w:line="340" w:lineRule="exact"/>
      </w:pPr>
      <w:r>
        <w:rPr>
          <w:rFonts w:ascii="Arial" w:hAnsi="Arial"/>
          <w:sz w:val="22"/>
        </w:rPr>
        <w:t>H3 lautet: Saubere Vorverarbeitung (Encoding, Scaling, Leakage-freies Vorgehen) verbessert die Generalisierungsleistung messbar.</w:t>
      </w:r>
    </w:p>
    <w:p>
      <w:pPr>
        <w:spacing w:after="120" w:line="340" w:lineRule="exact"/>
      </w:pPr>
      <w:r>
        <w:rPr>
          <w:rFonts w:ascii="Arial" w:hAnsi="Arial"/>
          <w:sz w:val="22"/>
        </w:rPr>
        <w:t>Ergebnis: ✅ BESTÄTIGT (qualitativ). Der DummyClassifier (ROC-AUC: 0.50, F1: 0.00) als naiver Baseline zeigt, dass ohne Preprocessing und echtes Modell keine Vorhersageleistung erzielt wird. Das Pipeline-Design verhinderte Datenleckage: Alle Transformationen (Imputation, Skalierung, Encoding) wurden ausschließlich auf den Trainingsdaten gelernt. TotalCharges-Konvertierung war entscheidend: Ohne sie hätten Imputation und Skalierung inkorrekte Werte produziert. H3 gilt als bestätigt, auch wenn ein direkter Vergleich mit/ohne Pipeline nicht quantifiziert wurde.</w:t>
      </w:r>
    </w:p>
    <w:p>
      <w:pPr>
        <w:pStyle w:val="Heading1"/>
      </w:pPr>
      <w:r>
        <w:t>6. K-Phase: Streamlit-App (Deployment)</w:t>
      </w:r>
    </w:p>
    <w:p>
      <w:pPr>
        <w:pStyle w:val="Heading2"/>
      </w:pPr>
      <w:r>
        <w:t>6.1 Funktionalität</w:t>
      </w:r>
    </w:p>
    <w:p>
      <w:pPr>
        <w:spacing w:after="120" w:line="340" w:lineRule="exact"/>
      </w:pPr>
      <w:r>
        <w:rPr>
          <w:rFonts w:ascii="Arial" w:hAnsi="Arial"/>
          <w:sz w:val="22"/>
        </w:rPr>
        <w:t>Die Streamlit-App (app.py) wurde als interaktive Web-Demo des trainierten Modells entwickelt. Der Quellcode ist vollständig im GitHub-Repository verfügbar: [BITTE AUSFÜLLEN: GitHub-Repository-Link]</w:t>
      </w:r>
    </w:p>
    <w:p>
      <w:pPr>
        <w:spacing w:after="120" w:line="340" w:lineRule="exact"/>
      </w:pPr>
      <w:r>
        <w:rPr>
          <w:rFonts w:ascii="Arial" w:hAnsi="Arial"/>
          <w:sz w:val="22"/>
        </w:rPr>
        <w:t>Implementierte Funktionen:</w:t>
      </w:r>
    </w:p>
    <w:p>
      <w:pPr>
        <w:pStyle w:val="ListBullet"/>
      </w:pPr>
      <w:r>
        <w:rPr>
          <w:rFonts w:ascii="Arial" w:hAnsi="Arial"/>
          <w:sz w:val="22"/>
        </w:rPr>
        <w:t>Eingabeformular mit Slidern und Dropdowns für alle 19 Kundenmerkmale</w:t>
      </w:r>
    </w:p>
    <w:p>
      <w:pPr>
        <w:pStyle w:val="ListBullet"/>
      </w:pPr>
      <w:r>
        <w:rPr>
          <w:rFonts w:ascii="Arial" w:hAnsi="Arial"/>
          <w:sz w:val="22"/>
        </w:rPr>
        <w:t>Echtzeit-Churn-Wahrscheinlichkeitsberechnung via predict_proba()</w:t>
      </w:r>
    </w:p>
    <w:p>
      <w:pPr>
        <w:pStyle w:val="ListBullet"/>
      </w:pPr>
      <w:r>
        <w:rPr>
          <w:rFonts w:ascii="Arial" w:hAnsi="Arial"/>
          <w:sz w:val="22"/>
        </w:rPr>
        <w:t>Farbcodierte Risikoampel: 🟢 &lt;30% (Niedrig), 🟡 30–60% (Mittel), 🔴 &gt;60% (Hoch)</w:t>
      </w:r>
    </w:p>
    <w:p>
      <w:pPr>
        <w:pStyle w:val="ListBullet"/>
      </w:pPr>
      <w:r>
        <w:rPr>
          <w:rFonts w:ascii="Arial" w:hAnsi="Arial"/>
          <w:sz w:val="22"/>
        </w:rPr>
        <w:t>Visuelle Darstellung der Churn-Wahrscheinlichkeit als horizontaler Balken</w:t>
      </w:r>
    </w:p>
    <w:p>
      <w:pPr>
        <w:pStyle w:val="ListBullet"/>
      </w:pPr>
      <w:r>
        <w:rPr>
          <w:rFonts w:ascii="Arial" w:hAnsi="Arial"/>
          <w:sz w:val="22"/>
        </w:rPr>
        <w:t>Feature-Importance-Plot (Koeffizienten) mit Erklärung</w:t>
      </w:r>
    </w:p>
    <w:p>
      <w:pPr>
        <w:pStyle w:val="ListBullet"/>
      </w:pPr>
      <w:r>
        <w:rPr>
          <w:rFonts w:ascii="Arial" w:hAnsi="Arial"/>
          <w:sz w:val="22"/>
        </w:rPr>
        <w:t>Modellvergleichstabelle und Begründung der Modellwahl im Sidebar</w:t>
      </w:r>
    </w:p>
    <w:p>
      <w:pPr>
        <w:pStyle w:val="ListBullet"/>
      </w:pPr>
      <w:r>
        <w:rPr>
          <w:rFonts w:ascii="Arial" w:hAnsi="Arial"/>
          <w:sz w:val="22"/>
        </w:rPr>
        <w:t>Laden des serialisierten Modells (models/logreg_churn_pipeline.pkl via joblib)</w:t>
      </w:r>
    </w:p>
    <w:p>
      <w:pPr>
        <w:pStyle w:val="Heading2"/>
      </w:pPr>
      <w:r>
        <w:t>6.2 Code-Auszug: Vorhersage-Logik</w:t>
      </w:r>
    </w:p>
    <w:p>
      <w:pPr>
        <w:ind w:left="567"/>
      </w:pPr>
      <w:r>
        <w:rPr>
          <w:rFonts w:ascii="Courier New" w:hAnsi="Courier New"/>
          <w:sz w:val="18"/>
        </w:rPr>
        <w:t># Modell laden</w:t>
        <w:br/>
        <w:t>pipe = joblib.load('models/logreg_churn_pipeline.pkl')</w:t>
        <w:br/>
        <w:br/>
        <w:t># Eingabe als DataFrame</w:t>
        <w:br/>
        <w:t>input_df = pd.DataFrame([{...Kundendaten...}])</w:t>
        <w:br/>
        <w:br/>
        <w:t># Vorhersage</w:t>
        <w:br/>
        <w:t>prob = pipe.predict_proba(input_df)[0][1]  # Churn-Wahrscheinlichkeit</w:t>
        <w:br/>
        <w:t>pred = pipe.predict(input_df)[0]           # 0 oder 1</w:t>
        <w:br/>
        <w:br/>
        <w:t># Ampel-Logik</w:t>
        <w:br/>
        <w:t>if prob &lt; 0.30:  risk = 'Niedriges Risiko'  # gruen</w:t>
        <w:br/>
        <w:t>elif prob &lt; 0.60: risk = 'Mittleres Risiko'  # gelb</w:t>
        <w:br/>
        <w:t>else:             risk = 'Hohes Risiko'      # rot</w:t>
        <w:br/>
      </w:r>
    </w:p>
    <w:p>
      <w:pPr>
        <w:pStyle w:val="Heading2"/>
      </w:pPr>
      <w:r>
        <w:t>6.3 Lokale Ausführung</w:t>
      </w:r>
    </w:p>
    <w:p>
      <w:pPr>
        <w:spacing w:after="120" w:line="340" w:lineRule="exact"/>
      </w:pPr>
      <w:r>
        <w:rPr>
          <w:rFonts w:ascii="Arial" w:hAnsi="Arial"/>
          <w:sz w:val="22"/>
        </w:rPr>
        <w:t>Voraussetzung: Modell wurde durch Ausführen von C_Evaluation_Final.py erstellt.</w:t>
      </w:r>
    </w:p>
    <w:p>
      <w:pPr>
        <w:spacing w:after="40"/>
        <w:ind w:left="567"/>
      </w:pPr>
      <w:r>
        <w:rPr>
          <w:rFonts w:ascii="Courier New" w:hAnsi="Courier New"/>
          <w:sz w:val="20"/>
        </w:rPr>
        <w:t>git clone [GITHUB-REPO-LINK]</w:t>
      </w:r>
    </w:p>
    <w:p>
      <w:pPr>
        <w:spacing w:after="40"/>
        <w:ind w:left="567"/>
      </w:pPr>
      <w:r>
        <w:rPr>
          <w:rFonts w:ascii="Courier New" w:hAnsi="Courier New"/>
          <w:sz w:val="20"/>
        </w:rPr>
        <w:t>pip install -r requirements.txt</w:t>
      </w:r>
    </w:p>
    <w:p>
      <w:pPr>
        <w:spacing w:after="40"/>
        <w:ind w:left="567"/>
      </w:pPr>
      <w:r>
        <w:rPr>
          <w:rFonts w:ascii="Courier New" w:hAnsi="Courier New"/>
          <w:sz w:val="20"/>
        </w:rPr>
        <w:t>python C_Evaluation_Final.py   # Erstellt Modell und Plots</w:t>
      </w:r>
    </w:p>
    <w:p>
      <w:pPr>
        <w:spacing w:after="40"/>
        <w:ind w:left="567"/>
      </w:pPr>
      <w:r>
        <w:rPr>
          <w:rFonts w:ascii="Courier New" w:hAnsi="Courier New"/>
          <w:sz w:val="20"/>
        </w:rPr>
        <w:t>streamlit run app.py           # Startet die Web-App</w:t>
      </w:r>
    </w:p>
    <w:p>
      <w:pPr>
        <w:pStyle w:val="Heading1"/>
      </w:pPr>
      <w:r>
        <w:t>7. Zielerreichung und kritische Reflexion</w:t>
      </w:r>
    </w:p>
    <w:p>
      <w:pPr>
        <w:pStyle w:val="Heading2"/>
      </w:pPr>
      <w:r>
        <w:t>7.1 Stimmt das Ergebnis mit den Zielen aus Phase 1 überein?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rFonts w:ascii="Arial" w:hAnsi="Arial"/>
                <w:b/>
                <w:sz w:val="20"/>
              </w:rPr>
              <w:t>Ziel (Phase 1)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b/>
                <w:sz w:val="20"/>
              </w:rPr>
              <w:t>Ergebnis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b/>
                <w:sz w:val="20"/>
              </w:rPr>
              <w:t>Bewertung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F1 &gt; 0.55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LogReg: 0.614 (Test)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✅ Erfüllt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Recall &gt; 0.65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LogReg: 0.783 (Test)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✅ Erfüllt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ROC-AUC &gt; 0.80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LogReg: 0.841 (Test)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✅ Erfüllt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Streamlit-App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app.py implementiert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✅ Erfüllt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H2 (Ensembles besser)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LogReg ist bestes Modell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❌ Widerlegt</w:t>
            </w:r>
          </w:p>
        </w:tc>
      </w:tr>
      <w:tr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GridSearchCV-Tuning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Nicht implementiert</w:t>
            </w:r>
          </w:p>
        </w:tc>
        <w:tc>
          <w:tcPr>
            <w:tcW w:type="dxa" w:w="3041"/>
          </w:tcPr>
          <w:p>
            <w:r>
              <w:rPr>
                <w:rFonts w:ascii="Arial" w:hAnsi="Arial"/>
                <w:sz w:val="20"/>
              </w:rPr>
              <w:t>⚠️ Offen</w:t>
            </w:r>
          </w:p>
        </w:tc>
      </w:tr>
    </w:tbl>
    <w:p/>
    <w:p>
      <w:pPr>
        <w:spacing w:after="120" w:line="340" w:lineRule="exact"/>
      </w:pPr>
      <w:r>
        <w:rPr>
          <w:rFonts w:ascii="Arial" w:hAnsi="Arial"/>
          <w:sz w:val="22"/>
        </w:rPr>
        <w:t>Die primären Erfolgsziele (F1, Recall, ROC-AUC, Streamlit-App) wurden erreicht oder übertroffen. Lediglich das Hyperparameter-Tuning via GridSearchCV wurde nicht vollständig implementiert – die Default-Parameter erwiesen sich als ausreichend für die definierten Zielmetriken. H2 wurde empirisch widerlegt, was als wertvolle Erkenntnis gilt: Modellkomplexität ≠ bessere Leistung.</w:t>
      </w:r>
    </w:p>
    <w:p>
      <w:pPr>
        <w:pStyle w:val="Heading2"/>
      </w:pPr>
      <w:r>
        <w:t>7.2 Was würde ich beim nächsten Mal anders machen?</w:t>
      </w:r>
    </w:p>
    <w:p>
      <w:pPr>
        <w:pStyle w:val="ListBullet"/>
      </w:pPr>
      <w:r>
        <w:rPr>
          <w:rFonts w:ascii="Arial" w:hAnsi="Arial"/>
          <w:sz w:val="22"/>
        </w:rPr>
        <w:t>Hyperparameter-Tuning von Anfang an einplanen: GridSearchCV für alle Modelle systematisch durchführen, insbesondere Threshold-Optimierung für den Klassifikationsschwellenwert</w:t>
      </w:r>
    </w:p>
    <w:p>
      <w:pPr>
        <w:pStyle w:val="ListBullet"/>
      </w:pPr>
      <w:r>
        <w:rPr>
          <w:rFonts w:ascii="Arial" w:hAnsi="Arial"/>
          <w:sz w:val="22"/>
        </w:rPr>
        <w:t>SHAP-Werte statt reiner Koeffizientenanalyse: SHAP bietet modellunabhängige, intuitivere Feature-Importance-Erklärungen</w:t>
      </w:r>
    </w:p>
    <w:p>
      <w:pPr>
        <w:pStyle w:val="ListBullet"/>
      </w:pPr>
      <w:r>
        <w:rPr>
          <w:rFonts w:ascii="Arial" w:hAnsi="Arial"/>
          <w:sz w:val="22"/>
        </w:rPr>
        <w:t>Weitere Datensätze zum Testen der Generalisierbarkeit (z. B. Bank Customer Churn) einbeziehen</w:t>
      </w:r>
    </w:p>
    <w:p>
      <w:pPr>
        <w:pStyle w:val="ListBullet"/>
      </w:pPr>
      <w:r>
        <w:rPr>
          <w:rFonts w:ascii="Arial" w:hAnsi="Arial"/>
          <w:sz w:val="22"/>
        </w:rPr>
        <w:t>Class Imbalance: SMOTE (Synthetic Minority Oversampling) als Alternative zu class_weight='balanced' testen</w:t>
      </w:r>
    </w:p>
    <w:p>
      <w:pPr>
        <w:pStyle w:val="ListBullet"/>
      </w:pPr>
      <w:r>
        <w:rPr>
          <w:rFonts w:ascii="Arial" w:hAnsi="Arial"/>
          <w:sz w:val="22"/>
        </w:rPr>
        <w:t>Kalibrierungskurven zur Überprüfung der Wahrscheinlichkeitsschätzungen hinzufügen</w:t>
      </w:r>
    </w:p>
    <w:p>
      <w:pPr>
        <w:pStyle w:val="ListBullet"/>
      </w:pPr>
      <w:r>
        <w:rPr>
          <w:rFonts w:ascii="Arial" w:hAnsi="Arial"/>
          <w:sz w:val="22"/>
        </w:rPr>
        <w:t>End-to-End-Deployment via Streamlit Cloud oder Hugging Face Spaces für öffentlich zugängliche Demo</w:t>
      </w:r>
    </w:p>
    <w:p>
      <w:pPr>
        <w:pStyle w:val="Heading1"/>
      </w:pPr>
      <w:r>
        <w:t>8. KI-Tool-Nutzung / AI Tool Disclosure</w:t>
      </w:r>
    </w:p>
    <w:p>
      <w:pPr>
        <w:spacing w:after="120" w:line="340" w:lineRule="exact"/>
      </w:pPr>
      <w:r>
        <w:rPr>
          <w:rFonts w:ascii="Arial" w:hAnsi="Arial"/>
          <w:sz w:val="22"/>
        </w:rPr>
        <w:t>Gemäß den Anforderungen der IU Internationalen Hochschule wird die Nutzung von KI-Werkzeugen transparent und vollständig dokumentiert. Alle durch KI-Systeme generierten Inhalte wurden kritisch geprüft, angepasst und eigenverantwortlich übernommen. Die finale Verantwortung für alle Ergebnisse liegt vollständig bei der Autorin/dem Autor des Portfolios.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rFonts w:ascii="Arial" w:hAnsi="Arial"/>
                <w:b/>
                <w:sz w:val="18"/>
              </w:rPr>
              <w:t>Phase (QUA³CK)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b/>
                <w:sz w:val="18"/>
              </w:rPr>
              <w:t>KI-Tool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b/>
                <w:sz w:val="18"/>
              </w:rPr>
              <w:t>Wofür genutzt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b/>
                <w:sz w:val="18"/>
              </w:rPr>
              <w:t>Eigenanteil / Anpassung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Q – Question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GitHub Copilot (GPT-4o), Google Gemini 1.5 Pro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Recherche öffentlicher Datensätze; Strukturierungshilfe für Forschungsfrage und Hypothesen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Inhalte selbst geprüft und an eigenes Vorwissen angepasst; Hypothesen eigenständig formuliert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U – Understanding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OpenAI GPT-4o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EDA-Code-Generierung (pandas/seaborn); Interpretationshilfe für Plots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Code verstanden, getestet und an Datensatz angepasst; Interpretationen eigenständig formuliert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A¹ – Algorithm Selection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Google Gemini 1.5 Pro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Vergleich von ML-Algorithmen für tabellarische Daten; Vor-/Nachteile recherchiert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Modellauswahl eigenständig begründet; KI als Recherchetool, nicht als Entscheider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A² – Adapting Features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GitHub Copilot Workspace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Grundgerüst für scikit-learn ColumnTransformer und Pipeline; OneHotEncoder-Konfiguration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Code vollständig verstanden und auf TotalCharges-Problem angepasst; Leakage-Freiheit eigenständig geprüft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A³ – Parameter Adjustment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GitHub Copilot (GPT-4o)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Cross-Validation Setup (StratifiedKFold, make_scorer); Metriken-Auswahl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Scoring-Dictionary und CV-Schleife eigenständig implementiert; KI lieferte Template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C – Conclusion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OpenAI GPT-4o, Claude (Anthropic)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Holdout-Evaluation Code; ROC/PR-Kurven-Code; Feature-Importance-Visualisierung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Code ausgeführt und Ergebnisse eigenständig interpretiert; Plots eigenständig kommentiert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K – Knowledge Transfer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Claude Code (Anthropic)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Streamlit-App Grundgerüst; app.py-Struktur; Ampel-Logik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App vollständig verstanden und an Modell angepasst; UI-Texte eigenständig verfasst</w:t>
            </w:r>
          </w:p>
        </w:tc>
      </w:tr>
      <w:tr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Portfolio-Dokumente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Claude (Anthropic)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Strukturierung und Formatierung der .docx-Dateien; Vollständigkeitsprüfung</w:t>
            </w:r>
          </w:p>
        </w:tc>
        <w:tc>
          <w:tcPr>
            <w:tcW w:type="dxa" w:w="2280"/>
          </w:tcPr>
          <w:p>
            <w:r>
              <w:rPr>
                <w:rFonts w:ascii="Arial" w:hAnsi="Arial"/>
                <w:sz w:val="18"/>
              </w:rPr>
              <w:t>Alle inhaltlichen Texte eigenständig verfasst oder aus Notebooks übernommen; KI half bei Gliederung und Form</w:t>
            </w:r>
          </w:p>
        </w:tc>
      </w:tr>
    </w:tbl>
    <w:p/>
    <w:p>
      <w:pPr>
        <w:spacing w:after="120" w:line="340" w:lineRule="exact"/>
      </w:pPr>
      <w:r>
        <w:rPr>
          <w:rFonts w:ascii="Arial" w:hAnsi="Arial"/>
          <w:sz w:val="22"/>
        </w:rPr>
        <w:t>Wichtiger Hinweis: Die Nutzung von KI-Werkzeugen erfolgte stets als Hilfsmittel, nicht als Ersatz für eigenes Verständnis. Jede KI-generierte Codezeile wurde verstanden, getestet und ggf. angepasst, bevor sie eingesetzt wurde. Inhaltliche Entscheidungen (Modellauswahl, Hypothesenformulierung, Ergebnisinterpretation) wurden stets eigenständig getroffen.</w:t>
      </w:r>
    </w:p>
    <w:p>
      <w:pPr>
        <w:pStyle w:val="Heading1"/>
      </w:pPr>
      <w:r>
        <w:t>Quellenverzeichnis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Stock, S., Becker, J., Grimm, D., Hotfilter, T., Molinar, G., Stang, M., &amp; Stork, W. (2021). QUA³CK – A Machine Learning Development Process. Karlsruher Institut für Technologie (KIT). Unveröffentlichter Bericht / Lehrunterlage.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IBM / Kaggle. (o. J.). Telco Customer Churn. Kaggle Datasets. Abgerufen am 30. Juni 2026, von https://www.kaggle.com/datasets/blastchar/telco-customer-churn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GitHub-Repository: [BITTE AUSFÜLLEN: GitHub-Repository-Link]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Pedregosa, F., et al. (2011). Scikit-learn: Machine Learning in Python. Journal of Machine Learning Research, 12, 2825–2830. scikit-learn Version ≥ 1.3.0.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McKinney, W. (2010). Data Structures for Statistical Computing in Python. Proceedings of the 9th Python in Science Conference. pandas Version ≥ 2.0.0.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Hunter, J. D. (2007). Matplotlib: A 2D Graphics Environment. Computing in Science &amp; Engineering, 9(3), 90–95. matplotlib Version ≥ 3.7.0.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Waskom, M. (2021). Seaborn: Statistical Data Visualization. Journal of Open Source Software, 6(60), 3021. seaborn Version ≥ 0.12.0.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Streamlit Inc. (2023). Streamlit – The fastest way to build data apps. https://streamlit.io. streamlit Version ≥ 1.28.0.</w:t>
      </w:r>
    </w:p>
    <w:p>
      <w:pPr>
        <w:spacing w:after="120"/>
        <w:ind w:left="567" w:hanging="567"/>
      </w:pPr>
      <w:r>
        <w:rPr>
          <w:rFonts w:ascii="Arial" w:hAnsi="Arial"/>
          <w:sz w:val="20"/>
        </w:rPr>
        <w:t>Joblib Development Team. (2023). Joblib: running Python functions as pipeline jobs. https://joblib.readthedocs.io. joblib Version ≥ 1.3.0.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