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40" w:lineRule="auto"/>
        <w:ind w:left="80" w:right="3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ind w:left="80" w:right="30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Факультет информационных систем и технологий</w:t>
      </w:r>
    </w:p>
    <w:p w:rsidR="00000000" w:rsidDel="00000000" w:rsidP="00000000" w:rsidRDefault="00000000" w:rsidRPr="00000000" w14:paraId="00000006">
      <w:pPr>
        <w:spacing w:before="60" w:lineRule="auto"/>
        <w:ind w:left="80" w:right="300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Кафедра «Измерительно-вычислительные комплексы»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43"/>
          <w:szCs w:val="43"/>
        </w:rPr>
      </w:pPr>
      <w:r w:rsidDel="00000000" w:rsidR="00000000" w:rsidRPr="00000000">
        <w:rPr>
          <w:rFonts w:ascii="Times New Roman" w:cs="Times New Roman" w:eastAsia="Times New Roman" w:hAnsi="Times New Roman"/>
          <w:sz w:val="43"/>
          <w:szCs w:val="4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80" w:right="30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«Методы и средства проектирования информационных систем и технологий»</w:t>
      </w:r>
    </w:p>
    <w:p w:rsidR="00000000" w:rsidDel="00000000" w:rsidP="00000000" w:rsidRDefault="00000000" w:rsidRPr="00000000" w14:paraId="00000009">
      <w:pPr>
        <w:spacing w:before="180" w:lineRule="auto"/>
        <w:ind w:left="80" w:right="30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Отчет по лабораторной работе №1</w:t>
      </w:r>
    </w:p>
    <w:p w:rsidR="00000000" w:rsidDel="00000000" w:rsidP="00000000" w:rsidRDefault="00000000" w:rsidRPr="00000000" w14:paraId="0000000A">
      <w:pPr>
        <w:spacing w:after="8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«Выбор технологической платформы и первая страница проекта»</w:t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Проектируемая система: «Хаб Коллекционера — сервис переноса коллекций»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480" w:right="36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 студент</w:t>
      </w:r>
    </w:p>
    <w:p w:rsidR="00000000" w:rsidDel="00000000" w:rsidP="00000000" w:rsidRDefault="00000000" w:rsidRPr="00000000" w14:paraId="00000010">
      <w:pPr>
        <w:ind w:left="6480" w:right="36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гр. ИСТбд-41</w:t>
      </w:r>
    </w:p>
    <w:p w:rsidR="00000000" w:rsidDel="00000000" w:rsidP="00000000" w:rsidRDefault="00000000" w:rsidRPr="00000000" w14:paraId="00000011">
      <w:pPr>
        <w:ind w:left="6480" w:right="360" w:firstLine="0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Саранцев С.А.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480" w:right="36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  <w:br w:type="textWrapping"/>
        <w:t xml:space="preserve">Баженов Д.В.</w:t>
      </w:r>
    </w:p>
    <w:p w:rsidR="00000000" w:rsidDel="00000000" w:rsidP="00000000" w:rsidRDefault="00000000" w:rsidRPr="00000000" w14:paraId="00000013">
      <w:pPr>
        <w:ind w:left="6480" w:right="36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480" w:right="36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6480" w:right="36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Ульяновск, 2026 г.</w:t>
      </w:r>
      <w:r w:rsidDel="00000000" w:rsidR="00000000" w:rsidRPr="00000000">
        <w:rPr>
          <w:rtl w:val="0"/>
        </w:rPr>
      </w:r>
    </w:p>
    <w:p>
      <w:pPr>
        <w:pStyle w:val="Heading1"/>
        <w:keepNext/>
        <w:pageBreakBefore/>
        <w:spacing w:before="80" w:after="160"/>
        <w:jc w:val="left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before="0" w:after="180" w:line="276" w:lineRule="auto"/>
        <w:jc w:val="both"/>
      </w:pPr>
      <w:r>
        <w:rPr>
          <w:rFonts w:ascii="Times New Roman" w:hAnsi="Times New Roman"/>
          <w:b w:val="0"/>
          <w:sz w:val="28"/>
        </w:rPr>
        <w:t>Цель работы — выбрать технологическую платформу для сервиса переноса коллекций и запустить его первую страницу в Docker. Сервис в будущем преобразует записи из таблиц и текстовых файлов в архив, который можно импортировать в мобильное приложение «Хаб Коллекционера». В этой работе реализована только стартовая страница сервиса.</w:t>
      </w:r>
    </w:p>
    <w:p>
      <w:pPr>
        <w:pStyle w:val="Heading1"/>
        <w:keepNext/>
        <w:spacing w:before="200" w:after="160"/>
        <w:jc w:val="left"/>
      </w:pPr>
      <w:r>
        <w:rPr>
          <w:rFonts w:ascii="Times New Roman" w:hAnsi="Times New Roman"/>
          <w:b/>
          <w:sz w:val="32"/>
        </w:rPr>
        <w:t>1. Выбор технологической платформы</w:t>
      </w:r>
    </w:p>
    <w:p>
      <w:pPr>
        <w:spacing w:before="0" w:after="180" w:line="276" w:lineRule="auto"/>
        <w:jc w:val="both"/>
      </w:pPr>
      <w:r>
        <w:rPr>
          <w:rFonts w:ascii="Times New Roman" w:hAnsi="Times New Roman"/>
          <w:b w:val="0"/>
          <w:sz w:val="28"/>
        </w:rPr>
        <w:t>В качестве серверной платформы выбраны Node.js и Express. Такой стек позволяет начать с одного HTTP-сервера и позже добавить маршруты для загрузки файла, проверки результата преобразования и выдачи архива. Сравнение вариантов приведено в таблице 1.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Таблица 1 — Сравнение подходов к реализации сервиса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4"/>
        <w:gridCol w:w="963"/>
        <w:gridCol w:w="5896"/>
        <w:tblGridChange w:id="0">
          <w:tblGrid>
            <w:gridCol w:w="3195"/>
            <w:gridCol w:w="3180"/>
            <w:gridCol w:w="2655"/>
          </w:tblGrid>
        </w:tblGridChange>
      </w:tblGrid>
      <w:tr>
        <w:trPr>
          <w:cantSplit w:val="0"/>
          <w:tblHeader w:val="0"/>
        </w:trPr>
        <w:tc>
          <w:tcPr>
            <w:tcW w:type="dxa" w:w="215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Подход</w:t>
            </w:r>
          </w:p>
        </w:tc>
        <w:tc>
          <w:tcPr>
            <w:tcW w:type="dxa" w:w="96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Выбор</w:t>
            </w:r>
          </w:p>
        </w:tc>
        <w:tc>
          <w:tcPr>
            <w:tcW w:type="dxa" w:w="589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Обоснование</w:t>
            </w:r>
          </w:p>
        </w:tc>
      </w:tr>
      <w:tr>
        <w:trPr>
          <w:cantSplit w:val="0"/>
          <w:tblHeader w:val="0"/>
        </w:trPr>
        <w:tc>
          <w:tcPr>
            <w:tcW w:type="dxa" w:w="215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Node.js без фреймворка</w:t>
            </w:r>
          </w:p>
        </w:tc>
        <w:tc>
          <w:tcPr>
            <w:tcW w:type="dxa" w:w="96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589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Маршруты и обработку HTTP-запросов пришлось бы собирать вручную.</w:t>
            </w:r>
          </w:p>
        </w:tc>
      </w:tr>
      <w:tr>
        <w:trPr>
          <w:cantSplit w:val="0"/>
          <w:tblHeader w:val="0"/>
        </w:trPr>
        <w:tc>
          <w:tcPr>
            <w:tcW w:type="dxa" w:w="215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Набор отдельных библиотек</w:t>
            </w:r>
          </w:p>
        </w:tc>
        <w:tc>
          <w:tcPr>
            <w:tcW w:type="dxa" w:w="96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589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Для первой версии потребовалась бы дополнительная настройка их совместной работы.</w:t>
            </w:r>
          </w:p>
        </w:tc>
      </w:tr>
      <w:tr>
        <w:trPr>
          <w:cantSplit w:val="0"/>
          <w:tblHeader w:val="0"/>
        </w:trPr>
        <w:tc>
          <w:tcPr>
            <w:tcW w:type="dxa" w:w="215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Express 5.2.1</w:t>
            </w:r>
          </w:p>
        </w:tc>
        <w:tc>
          <w:tcPr>
            <w:tcW w:type="dxa" w:w="96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589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Даёт простой HTTP-маршрут для страницы и основу для будущего API.</w:t>
            </w:r>
          </w:p>
        </w:tc>
      </w:tr>
      <w:tr>
        <w:trPr>
          <w:cantSplit w:val="0"/>
          <w:tblHeader w:val="0"/>
        </w:trPr>
        <w:tc>
          <w:tcPr>
            <w:tcW w:type="dxa" w:w="215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Готовая CMS или CRM</w:t>
            </w:r>
          </w:p>
        </w:tc>
        <w:tc>
          <w:tcPr>
            <w:tcW w:type="dxa" w:w="96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589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Их типовые сценарии не предназначены для переноса произвольных коллекций.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60"/>
        <w:jc w:val="left"/>
      </w:pPr>
      <w:r>
        <w:rPr>
          <w:rFonts w:ascii="Times New Roman" w:hAnsi="Times New Roman"/>
          <w:b/>
          <w:sz w:val="32"/>
        </w:rPr>
        <w:t>2. Компоненты и версии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Таблица 2 — Выбранные компоненты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"/>
        <w:gridCol w:w="1133"/>
        <w:gridCol w:w="6179"/>
        <w:tblGridChange w:id="0">
          <w:tblGrid>
            <w:gridCol w:w="3195"/>
            <w:gridCol w:w="3180"/>
            <w:gridCol w:w="2655"/>
          </w:tblGrid>
        </w:tblGridChange>
      </w:tblGrid>
      <w:tr>
        <w:trPr>
          <w:cantSplit w:val="0"/>
          <w:tblHeader w:val="0"/>
        </w:trPr>
        <w:tc>
          <w:tcPr>
            <w:tcW w:type="dxa" w:w="170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113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618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 w:val="0"/>
          <w:tblHeader w:val="0"/>
        </w:trPr>
        <w:tc>
          <w:tcPr>
            <w:tcW w:type="dxa" w:w="170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Node.js</w:t>
            </w:r>
          </w:p>
        </w:tc>
        <w:tc>
          <w:tcPr>
            <w:tcW w:type="dxa" w:w="113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24.21.0</w:t>
            </w:r>
          </w:p>
        </w:tc>
        <w:tc>
          <w:tcPr>
            <w:tcW w:type="dxa" w:w="618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Среда выполнения сервера; версия закреплена в базовом образе Docker.</w:t>
            </w:r>
          </w:p>
        </w:tc>
      </w:tr>
      <w:tr>
        <w:trPr>
          <w:cantSplit w:val="0"/>
          <w:tblHeader w:val="0"/>
        </w:trPr>
        <w:tc>
          <w:tcPr>
            <w:tcW w:type="dxa" w:w="1701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Express</w:t>
            </w:r>
          </w:p>
        </w:tc>
        <w:tc>
          <w:tcPr>
            <w:tcW w:type="dxa" w:w="113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5.2.1</w:t>
            </w:r>
          </w:p>
        </w:tc>
        <w:tc>
          <w:tcPr>
            <w:tcW w:type="dxa" w:w="618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2"/>
              </w:rPr>
              <w:t>Обработка HTTP-запроса к главной странице; версия закреплена в package.json.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60"/>
        <w:jc w:val="left"/>
      </w:pPr>
      <w:r>
        <w:rPr>
          <w:rFonts w:ascii="Times New Roman" w:hAnsi="Times New Roman"/>
          <w:b/>
          <w:sz w:val="32"/>
        </w:rPr>
        <w:t>3. Первая страница и Dockerfile</w:t>
      </w:r>
    </w:p>
    <w:p>
      <w:pPr>
        <w:spacing w:before="0" w:after="180" w:line="276" w:lineRule="auto"/>
        <w:jc w:val="both"/>
      </w:pPr>
      <w:r>
        <w:rPr>
          <w:rFonts w:ascii="Times New Roman" w:hAnsi="Times New Roman"/>
          <w:b w:val="0"/>
          <w:sz w:val="28"/>
        </w:rPr>
        <w:t>Маршрут GET / в файле src/server.js отдаёт страницу public/index.html. На ней указаны название продукта, назначение сервиса, версия 0.0.1 и текущий статус разработки. Сервер слушает порт 8080.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Текст Dockerfile:</w:t>
      </w:r>
    </w:p>
    <w:p>
      <w:pPr>
        <w:keepLines/>
        <w:spacing w:before="0" w:after="100" w:line="240" w:lineRule="auto"/>
      </w:pPr>
      <w:r>
        <w:rPr>
          <w:rFonts w:ascii="Consolas" w:hAnsi="Consolas"/>
          <w:sz w:val="18"/>
        </w:rPr>
        <w:t>﻿FROM node:24.21.0-alpine3.23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WORKDIR /app</w:t>
      </w:r>
      <w:r>
        <w:br/>
      </w:r>
      <w:r>
        <w:rPr>
          <w:rFonts w:ascii="Consolas" w:hAnsi="Consolas"/>
          <w:sz w:val="18"/>
        </w:rPr>
        <w:t>COPY package.json ./</w:t>
      </w:r>
      <w:r>
        <w:br/>
      </w:r>
      <w:r>
        <w:rPr>
          <w:rFonts w:ascii="Consolas" w:hAnsi="Consolas"/>
          <w:sz w:val="18"/>
        </w:rPr>
        <w:t>RUN npm install --omit=dev --ignore-scripts --no-audit --no-fund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COPY src ./src</w:t>
      </w:r>
      <w:r>
        <w:br/>
      </w:r>
      <w:r>
        <w:rPr>
          <w:rFonts w:ascii="Consolas" w:hAnsi="Consolas"/>
          <w:sz w:val="18"/>
        </w:rPr>
        <w:t>COPY public ./public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ENV NODE_ENV=production</w:t>
      </w:r>
      <w:r>
        <w:br/>
      </w:r>
      <w:r>
        <w:rPr>
          <w:rFonts w:ascii="Consolas" w:hAnsi="Consolas"/>
          <w:sz w:val="18"/>
        </w:rPr>
        <w:t>ENV PORT=8080</w:t>
      </w:r>
      <w:r>
        <w:br/>
      </w:r>
      <w:r>
        <w:rPr>
          <w:rFonts w:ascii="Consolas" w:hAnsi="Consolas"/>
          <w:sz w:val="18"/>
        </w:rPr>
        <w:t>EXPOSE 8080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CMD ["npm", "start"]</w:t>
      </w:r>
    </w:p>
    <w:p>
      <w:pPr>
        <w:pStyle w:val="Heading1"/>
        <w:keepNext/>
        <w:spacing w:before="200" w:after="160"/>
        <w:jc w:val="left"/>
      </w:pPr>
      <w:r>
        <w:rPr>
          <w:rFonts w:ascii="Times New Roman" w:hAnsi="Times New Roman"/>
          <w:b/>
          <w:sz w:val="32"/>
        </w:rPr>
        <w:t>4. Публикация и проверка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sz w:val="28"/>
        </w:rPr>
        <w:t>Образ опубликован в Docker Hub. Для его запуска достаточно выполнить команды ниже, затем открыть http://localhost:8080. На рисунке 1 показана страница, открытая из контейнера в браузере.</w:t>
      </w:r>
    </w:p>
    <w:p>
      <w:pPr>
        <w:keepLines/>
        <w:spacing w:before="0" w:after="100" w:line="240" w:lineRule="auto"/>
      </w:pPr>
      <w:r>
        <w:rPr>
          <w:rFonts w:ascii="Consolas" w:hAnsi="Consolas"/>
          <w:sz w:val="18"/>
        </w:rPr>
        <w:t>docker pull semiys/mispisit-lab1:0.0.1</w:t>
      </w:r>
      <w:r>
        <w:br/>
      </w:r>
      <w:r>
        <w:rPr>
          <w:rFonts w:ascii="Consolas" w:hAnsi="Consolas"/>
          <w:sz w:val="18"/>
        </w:rPr>
        <w:t>docker run --rm -p 8080:8080 semiys/mispisit-lab1:0.0.1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0"/>
        </w:rPr>
        <w:t>Исходный код: https://github.com/Semiys/collector-transfer-service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0"/>
        </w:rPr>
        <w:t>Docker Hub: https://hub.docker.com/r/semiys/mispisit-lab1</w:t>
      </w:r>
    </w:p>
    <w:p>
      <w:pPr>
        <w:keepNext/>
        <w:spacing w:before="120" w:after="60"/>
        <w:jc w:val="center"/>
      </w:pPr>
      <w:r>
        <w:drawing>
          <wp:inline>
            <wp:extent cx="5580000" cy="2846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7c73ee8-978e-44fc-921d-1bb3d840c7c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Рисунок 1 — Стартовая страница сервиса по адресу localhost:8080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