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2022-04-27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 = 28</w:t>
      </w:r>
    </w:p>
    <w:p>
      <w:pPr>
        <w:pStyle w:val="BodyText"/>
      </w:pPr>
      <w:r>
        <w:rPr>
          <w:bCs/>
          <w:b/>
        </w:rPr>
        <w:t xml:space="preserve">Age in years</w:t>
      </w:r>
    </w:p>
    <w:p>
      <w:pPr>
        <w:pStyle w:val="BodyText"/>
      </w:pPr>
      <w:r>
        <w:t xml:space="preserve">52 (41, 64)</w:t>
      </w:r>
    </w:p>
    <w:p>
      <w:pPr>
        <w:pStyle w:val="BodyText"/>
      </w:pPr>
      <w:r>
        <w:rPr>
          <w:bCs/>
          <w:b/>
        </w:rPr>
        <w:t xml:space="preserve">Gender</w:t>
      </w:r>
    </w:p>
    <w:p>
      <w:pPr>
        <w:pStyle w:val="BodyText"/>
      </w:pPr>
      <w:r>
        <w:t xml:space="preserve">F</w:t>
      </w:r>
    </w:p>
    <w:p>
      <w:pPr>
        <w:pStyle w:val="BodyText"/>
      </w:pPr>
      <w:r>
        <w:t xml:space="preserve">13 (46%)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15 (54%)</w:t>
      </w:r>
    </w:p>
    <w:p>
      <w:pPr>
        <w:pStyle w:val="BodyText"/>
      </w:pPr>
      <w:r>
        <w:rPr>
          <w:bCs/>
          <w:b/>
        </w:rPr>
        <w:t xml:space="preserve">Side of Dislocation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8 (29%)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20 (71%)</w:t>
      </w:r>
    </w:p>
    <w:p>
      <w:pPr>
        <w:pStyle w:val="BodyText"/>
      </w:pPr>
      <w:r>
        <w:rPr>
          <w:bCs/>
          <w:b/>
        </w:rPr>
        <w:t xml:space="preserve">Duration of dislocation in weeks</w:t>
      </w:r>
    </w:p>
    <w:p>
      <w:pPr>
        <w:pStyle w:val="BodyText"/>
      </w:pPr>
      <w:r>
        <w:t xml:space="preserve">20 (8, 24)</w:t>
      </w:r>
    </w:p>
    <w:p>
      <w:pPr>
        <w:pStyle w:val="BodyText"/>
      </w:pPr>
      <w:r>
        <w:rPr>
          <w:bCs/>
          <w:b/>
        </w:rPr>
        <w:t xml:space="preserve">Bony or Soft tissue pathology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 (14%)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19 (68%)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3 (11%)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 (7.1%)</w:t>
      </w:r>
    </w:p>
    <w:p>
      <w:pPr>
        <w:pStyle w:val="BodyText"/>
      </w:pPr>
      <w:r>
        <w:rPr>
          <w:bCs/>
          <w:b/>
        </w:rPr>
        <w:t xml:space="preserve">Type of surgical procedure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12 (43%)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 (11%)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3 (11%)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(3.6%)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7 (25%)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 (7.1%)</w:t>
      </w:r>
    </w:p>
    <w:p>
      <w:pPr>
        <w:pStyle w:val="BodyText"/>
      </w:pPr>
      <w:r>
        <w:rPr>
          <w:bCs/>
          <w:b/>
        </w:rPr>
        <w:t xml:space="preserve">Revision surgery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26 (93%)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2 (7.1%)</w:t>
      </w:r>
    </w:p>
    <w:p>
      <w:pPr>
        <w:pStyle w:val="BodyText"/>
      </w:pPr>
      <w:r>
        <w:rPr>
          <w:bCs/>
          <w:b/>
        </w:rPr>
        <w:t xml:space="preserve">Complications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(4.0%)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 (8.0%)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22 (88%)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Dr Joseph B Sempa</dc:creator>
  <cp:keywords/>
  <dcterms:created xsi:type="dcterms:W3CDTF">2022-04-27T18:27:31Z</dcterms:created>
  <dcterms:modified xsi:type="dcterms:W3CDTF">2022-04-27T18:27:31Z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2022-04-27</vt:lpwstr>
  </property>
  <property fmtid="{D5CDD505-2E9C-101B-9397-08002B2CF9AE}" pid="4" name="output">
    <vt:lpwstr/>
  </property>
</Properties>
</file>