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854E" w14:textId="7A991D5E" w:rsidR="00EE701B" w:rsidRPr="00E866CD" w:rsidRDefault="00702A80" w:rsidP="00BC3212">
      <w:pPr>
        <w:pStyle w:val="Abstract"/>
        <w:rPr>
          <w:b/>
          <w:bCs/>
          <w:sz w:val="36"/>
          <w:szCs w:val="36"/>
        </w:rPr>
      </w:pPr>
      <w:r>
        <w:rPr>
          <w:b/>
          <w:bCs/>
          <w:sz w:val="36"/>
          <w:szCs w:val="36"/>
        </w:rPr>
        <w:t xml:space="preserve"> </w:t>
      </w:r>
      <w:r w:rsidR="001C2CEE">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35E6E7D8"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C916F9">
        <w:rPr>
          <w:rFonts w:asciiTheme="majorHAnsi" w:hAnsiTheme="majorHAnsi" w:cstheme="majorHAnsi"/>
          <w:b/>
          <w:bCs/>
        </w:rPr>
        <w:t xml:space="preserve"> J Sempa</w:t>
      </w:r>
      <w:r w:rsidR="00C916F9">
        <w:rPr>
          <w:rFonts w:asciiTheme="majorHAnsi" w:hAnsiTheme="majorHAnsi" w:cstheme="majorHAnsi"/>
          <w:b/>
          <w:bCs/>
          <w:vertAlign w:val="superscript"/>
        </w:rPr>
        <w:t>7</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 J 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A Grossman</w:t>
      </w:r>
      <w:r w:rsidR="00D43FAF">
        <w:rPr>
          <w:rFonts w:asciiTheme="majorHAnsi" w:hAnsiTheme="majorHAnsi" w:cstheme="majorHAnsi"/>
          <w:b/>
          <w:bCs/>
          <w:vertAlign w:val="superscript"/>
        </w:rPr>
        <w:t>3</w:t>
      </w:r>
      <w:r w:rsidRPr="00C01E3C">
        <w:rPr>
          <w:rFonts w:asciiTheme="majorHAnsi" w:hAnsiTheme="majorHAnsi" w:cstheme="majorHAnsi"/>
          <w:b/>
          <w:bCs/>
        </w:rPr>
        <w:t xml:space="preserve">, 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w:t>
      </w:r>
      <w:proofErr w:type="gramStart"/>
      <w:r w:rsidR="00DA58DE" w:rsidRPr="009B2721">
        <w:rPr>
          <w:rFonts w:asciiTheme="majorHAnsi" w:hAnsiTheme="majorHAnsi" w:cstheme="majorHAnsi"/>
          <w:sz w:val="18"/>
          <w:szCs w:val="18"/>
        </w:rPr>
        <w:t>Hospital</w:t>
      </w:r>
      <w:proofErr w:type="gramEnd"/>
      <w:r w:rsidR="00DA58DE" w:rsidRPr="009B2721">
        <w:rPr>
          <w:rFonts w:asciiTheme="majorHAnsi" w:hAnsiTheme="majorHAnsi" w:cstheme="majorHAnsi"/>
          <w:sz w:val="18"/>
          <w:szCs w:val="18"/>
        </w:rPr>
        <w:t xml:space="preserve">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77777777"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214A8C42" w:rsidR="00A329F3" w:rsidRPr="00C01E3C" w:rsidRDefault="0084528E" w:rsidP="00A2732F">
      <w:pPr>
        <w:pStyle w:val="BodyText"/>
        <w:rPr>
          <w:rFonts w:asciiTheme="majorHAnsi" w:hAnsiTheme="majorHAnsi" w:cstheme="majorHAnsi"/>
          <w:b/>
          <w:bCs/>
          <w:sz w:val="32"/>
          <w:szCs w:val="32"/>
        </w:rPr>
      </w:pPr>
      <w:r>
        <w:rPr>
          <w:rFonts w:asciiTheme="majorHAnsi" w:hAnsiTheme="majorHAnsi" w:cstheme="majorHAnsi"/>
          <w:b/>
          <w:bCs/>
          <w:sz w:val="32"/>
          <w:szCs w:val="32"/>
          <w:lang w:val="en-GB"/>
        </w:rPr>
        <w:t xml:space="preserve"> </w:t>
      </w:r>
      <w:r w:rsidR="00AD7CC3">
        <w:rPr>
          <w:rFonts w:asciiTheme="majorHAnsi" w:hAnsiTheme="majorHAnsi" w:cstheme="majorHAnsi"/>
          <w:b/>
          <w:bCs/>
          <w:sz w:val="32"/>
          <w:szCs w:val="32"/>
          <w:lang w:val="en-GB"/>
        </w:rPr>
        <w:t>04 June 2024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018C2F87"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 xml:space="preserve">AIDS defining illnesses. </w:t>
      </w:r>
      <w:r w:rsidR="004742DC">
        <w:rPr>
          <w:rFonts w:asciiTheme="majorHAnsi" w:hAnsiTheme="majorHAnsi" w:cstheme="majorHAnsi"/>
          <w:sz w:val="22"/>
          <w:szCs w:val="22"/>
        </w:rPr>
        <w:t xml:space="preserve">AIDS </w:t>
      </w:r>
      <w:r w:rsidRPr="00DF24FE">
        <w:rPr>
          <w:rFonts w:asciiTheme="majorHAnsi" w:hAnsiTheme="majorHAnsi" w:cstheme="majorHAnsi"/>
          <w:sz w:val="22"/>
          <w:szCs w:val="22"/>
        </w:rPr>
        <w:t>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hypoadrenalism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F1047E">
        <w:rPr>
          <w:rFonts w:asciiTheme="majorHAnsi" w:hAnsiTheme="majorHAnsi" w:cstheme="majorHAnsi"/>
          <w:sz w:val="22"/>
          <w:szCs w:val="22"/>
        </w:rPr>
        <w:t xml:space="preserve"> seen with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9F03216"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xml:space="preserve">, </w:t>
      </w:r>
      <w:proofErr w:type="gramStart"/>
      <w:r w:rsidR="0017494E">
        <w:rPr>
          <w:rFonts w:asciiTheme="majorHAnsi" w:hAnsiTheme="majorHAnsi" w:cstheme="majorHAnsi"/>
          <w:sz w:val="22"/>
          <w:szCs w:val="22"/>
        </w:rPr>
        <w:t>intravenous</w:t>
      </w:r>
      <w:proofErr w:type="gramEnd"/>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w:t>
      </w:r>
      <w:proofErr w:type="spellStart"/>
      <w:r w:rsidR="0000097C">
        <w:rPr>
          <w:rFonts w:asciiTheme="majorHAnsi" w:hAnsiTheme="majorHAnsi" w:cstheme="majorHAnsi"/>
          <w:sz w:val="22"/>
          <w:szCs w:val="22"/>
        </w:rPr>
        <w:t>tetracosactide</w:t>
      </w:r>
      <w:proofErr w:type="spellEnd"/>
      <w:r w:rsidR="0000097C">
        <w:rPr>
          <w:rFonts w:asciiTheme="majorHAnsi" w:hAnsiTheme="majorHAnsi" w:cstheme="majorHAnsi"/>
          <w:sz w:val="22"/>
          <w:szCs w:val="22"/>
        </w:rPr>
        <w:t xml:space="preserve"> test was performed in patients with random cortisol concentrations in the morning</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Pr="00DF24FE"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7838B7F1" w14:textId="29AF4DE9" w:rsidR="00706DAC" w:rsidRDefault="00EE701B" w:rsidP="00DA72C6">
      <w:pPr>
        <w:pStyle w:val="BodyText"/>
        <w:rPr>
          <w:rFonts w:asciiTheme="majorHAnsi" w:hAnsiTheme="majorHAnsi" w:cstheme="majorHAnsi"/>
          <w:sz w:val="22"/>
          <w:szCs w:val="22"/>
        </w:rPr>
      </w:pPr>
      <w:r w:rsidRPr="00DF24FE">
        <w:rPr>
          <w:rFonts w:asciiTheme="majorHAnsi" w:hAnsiTheme="majorHAnsi" w:cstheme="majorHAnsi"/>
          <w:b/>
          <w:bCs/>
          <w:sz w:val="22"/>
          <w:szCs w:val="22"/>
        </w:rPr>
        <w:t>Conclusion</w:t>
      </w:r>
      <w:r w:rsidR="00F57414">
        <w:rPr>
          <w:rFonts w:asciiTheme="majorHAnsi" w:hAnsiTheme="majorHAnsi" w:cstheme="majorHAnsi"/>
          <w:b/>
          <w:bCs/>
          <w:sz w:val="22"/>
          <w:szCs w:val="22"/>
        </w:rPr>
        <w:t xml:space="preserve">: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50D38DAA" w14:textId="77777777" w:rsidR="00DA72C6" w:rsidRDefault="00DA72C6" w:rsidP="00DE5C72">
      <w:pPr>
        <w:pStyle w:val="BodyText"/>
        <w:rPr>
          <w:rFonts w:asciiTheme="majorHAnsi" w:hAnsiTheme="majorHAnsi" w:cstheme="majorHAnsi"/>
          <w:b/>
          <w:sz w:val="22"/>
          <w:szCs w:val="22"/>
        </w:rPr>
      </w:pPr>
    </w:p>
    <w:p w14:paraId="14311899" w14:textId="77777777" w:rsidR="00DA72C6" w:rsidRDefault="00DA72C6" w:rsidP="00DE5C72">
      <w:pPr>
        <w:pStyle w:val="BodyText"/>
        <w:rPr>
          <w:rFonts w:asciiTheme="majorHAnsi" w:hAnsiTheme="majorHAnsi" w:cstheme="majorHAnsi"/>
          <w:b/>
          <w:sz w:val="22"/>
          <w:szCs w:val="22"/>
        </w:rPr>
      </w:pPr>
    </w:p>
    <w:p w14:paraId="4549822B" w14:textId="77777777" w:rsidR="00DA72C6" w:rsidRDefault="00DA72C6" w:rsidP="00DE5C72">
      <w:pPr>
        <w:pStyle w:val="BodyText"/>
        <w:rPr>
          <w:rFonts w:asciiTheme="majorHAnsi" w:hAnsiTheme="majorHAnsi" w:cstheme="majorHAnsi"/>
          <w:b/>
          <w:sz w:val="22"/>
          <w:szCs w:val="22"/>
        </w:rPr>
      </w:pPr>
    </w:p>
    <w:p w14:paraId="78ABC942" w14:textId="77777777" w:rsidR="00DA72C6" w:rsidRDefault="00DA72C6" w:rsidP="00DE5C72">
      <w:pPr>
        <w:pStyle w:val="BodyText"/>
        <w:rPr>
          <w:rFonts w:asciiTheme="majorHAnsi" w:hAnsiTheme="majorHAnsi" w:cstheme="majorHAnsi"/>
          <w:b/>
          <w:sz w:val="22"/>
          <w:szCs w:val="22"/>
        </w:rPr>
      </w:pPr>
    </w:p>
    <w:p w14:paraId="622913F4" w14:textId="77777777" w:rsidR="00DA72C6" w:rsidRDefault="00DA72C6" w:rsidP="00DE5C72">
      <w:pPr>
        <w:pStyle w:val="BodyText"/>
        <w:rPr>
          <w:rFonts w:asciiTheme="majorHAnsi" w:hAnsiTheme="majorHAnsi" w:cstheme="majorHAnsi"/>
          <w:b/>
          <w:sz w:val="22"/>
          <w:szCs w:val="22"/>
        </w:rPr>
      </w:pPr>
    </w:p>
    <w:p w14:paraId="697F2F05" w14:textId="77777777" w:rsidR="00DA72C6" w:rsidRDefault="00DA72C6" w:rsidP="00DE5C72">
      <w:pPr>
        <w:pStyle w:val="BodyText"/>
        <w:rPr>
          <w:rFonts w:asciiTheme="majorHAnsi" w:hAnsiTheme="majorHAnsi" w:cstheme="majorHAnsi"/>
          <w:b/>
          <w:sz w:val="22"/>
          <w:szCs w:val="22"/>
        </w:rPr>
      </w:pPr>
    </w:p>
    <w:p w14:paraId="4091ECBC" w14:textId="77777777" w:rsidR="00DA72C6" w:rsidRDefault="00DA72C6" w:rsidP="00DE5C72">
      <w:pPr>
        <w:pStyle w:val="BodyText"/>
        <w:rPr>
          <w:rFonts w:asciiTheme="majorHAnsi" w:hAnsiTheme="majorHAnsi" w:cstheme="majorHAnsi"/>
          <w:b/>
          <w:sz w:val="22"/>
          <w:szCs w:val="22"/>
        </w:rPr>
      </w:pPr>
    </w:p>
    <w:p w14:paraId="13E4B0C8" w14:textId="77777777" w:rsidR="00DA72C6" w:rsidRDefault="00DA72C6" w:rsidP="00DE5C72">
      <w:pPr>
        <w:pStyle w:val="BodyText"/>
        <w:rPr>
          <w:rFonts w:asciiTheme="majorHAnsi" w:hAnsiTheme="majorHAnsi" w:cstheme="majorHAnsi"/>
          <w:b/>
          <w:sz w:val="22"/>
          <w:szCs w:val="22"/>
        </w:rPr>
      </w:pPr>
    </w:p>
    <w:p w14:paraId="17BA666F" w14:textId="77777777" w:rsidR="00DA72C6" w:rsidRDefault="00DA72C6" w:rsidP="00DE5C72">
      <w:pPr>
        <w:pStyle w:val="BodyText"/>
        <w:rPr>
          <w:rFonts w:asciiTheme="majorHAnsi" w:hAnsiTheme="majorHAnsi" w:cstheme="majorHAnsi"/>
          <w:b/>
          <w:sz w:val="22"/>
          <w:szCs w:val="22"/>
        </w:rPr>
      </w:pPr>
    </w:p>
    <w:p w14:paraId="2ABA22E2" w14:textId="77777777" w:rsidR="00DA72C6" w:rsidRDefault="00DA72C6" w:rsidP="00DE5C72">
      <w:pPr>
        <w:pStyle w:val="BodyText"/>
        <w:rPr>
          <w:rFonts w:asciiTheme="majorHAnsi" w:hAnsiTheme="majorHAnsi" w:cstheme="majorHAnsi"/>
          <w:b/>
          <w:sz w:val="22"/>
          <w:szCs w:val="22"/>
        </w:rPr>
      </w:pPr>
    </w:p>
    <w:p w14:paraId="67249BB6" w14:textId="77777777" w:rsidR="00B01C0E" w:rsidRDefault="00B01C0E" w:rsidP="00DE5C72">
      <w:pPr>
        <w:pStyle w:val="BodyText"/>
        <w:rPr>
          <w:rFonts w:asciiTheme="majorHAnsi" w:hAnsiTheme="majorHAnsi" w:cstheme="majorHAnsi"/>
          <w:b/>
          <w:sz w:val="22"/>
          <w:szCs w:val="22"/>
        </w:rPr>
      </w:pPr>
    </w:p>
    <w:p w14:paraId="035880C3" w14:textId="77777777" w:rsidR="00F45B54" w:rsidRDefault="00F45B54" w:rsidP="00DE5C72">
      <w:pPr>
        <w:pStyle w:val="BodyText"/>
        <w:rPr>
          <w:rFonts w:asciiTheme="majorHAnsi" w:hAnsiTheme="majorHAnsi" w:cstheme="majorHAnsi"/>
          <w:b/>
          <w:sz w:val="22"/>
          <w:szCs w:val="22"/>
        </w:rPr>
      </w:pPr>
    </w:p>
    <w:p w14:paraId="540150E1" w14:textId="77777777" w:rsidR="00F45B54" w:rsidRDefault="00F45B54" w:rsidP="00DE5C72">
      <w:pPr>
        <w:pStyle w:val="BodyText"/>
        <w:rPr>
          <w:rFonts w:asciiTheme="majorHAnsi" w:hAnsiTheme="majorHAnsi" w:cstheme="majorHAnsi"/>
          <w:b/>
          <w:sz w:val="22"/>
          <w:szCs w:val="22"/>
        </w:rPr>
      </w:pPr>
    </w:p>
    <w:p w14:paraId="7B4706E0" w14:textId="77777777" w:rsidR="00F45B54" w:rsidRDefault="00F45B54"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073C6A07" w14:textId="158642CD" w:rsidR="00166B2A"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medical condition</w:t>
      </w:r>
      <w:r w:rsidR="00D428C8">
        <w:rPr>
          <w:rFonts w:asciiTheme="majorHAnsi" w:hAnsiTheme="majorHAnsi" w:cstheme="majorHAnsi"/>
          <w:sz w:val="22"/>
          <w:szCs w:val="22"/>
        </w:rPr>
        <w:t>,</w:t>
      </w:r>
      <w:r>
        <w:rPr>
          <w:rFonts w:asciiTheme="majorHAnsi" w:hAnsiTheme="majorHAnsi" w:cstheme="majorHAnsi"/>
          <w:sz w:val="22"/>
          <w:szCs w:val="22"/>
        </w:rPr>
        <w:t xml:space="preserve"> caused by deficiency of</w:t>
      </w:r>
      <w:r w:rsidR="006D7970">
        <w:rPr>
          <w:rFonts w:asciiTheme="majorHAnsi" w:hAnsiTheme="majorHAnsi" w:cstheme="majorHAnsi"/>
          <w:sz w:val="22"/>
          <w:szCs w:val="22"/>
        </w:rPr>
        <w:t xml:space="preserve"> glucocorticoids and mineralocorticoids</w:t>
      </w:r>
      <w:r w:rsidR="003C7DF5">
        <w:rPr>
          <w:rFonts w:asciiTheme="majorHAnsi" w:hAnsiTheme="majorHAnsi" w:cstheme="majorHAnsi"/>
          <w:sz w:val="22"/>
          <w:szCs w:val="22"/>
        </w:rPr>
        <w:t xml:space="preserve"> without treatment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 xml:space="preserve">of glucocorticoid therapy, the majority of the primary adrenal </w:t>
      </w:r>
      <w:r w:rsidR="00BD564E">
        <w:rPr>
          <w:rFonts w:asciiTheme="majorHAnsi" w:hAnsiTheme="majorHAnsi" w:cstheme="majorHAnsi"/>
          <w:sz w:val="22"/>
          <w:szCs w:val="22"/>
        </w:rPr>
        <w:t>insufficiency</w:t>
      </w:r>
      <w:r>
        <w:rPr>
          <w:rFonts w:asciiTheme="majorHAnsi" w:hAnsiTheme="majorHAnsi" w:cstheme="majorHAnsi"/>
          <w:sz w:val="22"/>
          <w:szCs w:val="22"/>
        </w:rPr>
        <w:t xml:space="preserve"> patients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B6618F">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r w:rsidR="00D428C8">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&lt;EndNote&gt;&lt;Cite&gt;&lt;Author&gt;Betterle&lt;/Author&gt;&lt;Year&gt;2011&lt;/Year&gt;&lt;RecNum&gt;28948&lt;/RecNum&gt;&lt;DisplayText&gt;(2)&lt;/DisplayText&gt;&lt;record&gt;&lt;rec-number&gt;28948&lt;/rec-number&gt;&lt;foreign-keys&gt;&lt;key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(2)</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 despite the high background prevalence of tuberculosis</w:t>
      </w:r>
      <w:r w:rsidR="009D5DB1">
        <w:rPr>
          <w:rFonts w:asciiTheme="majorHAnsi" w:hAnsiTheme="majorHAnsi" w:cstheme="majorHAnsi"/>
          <w:sz w:val="22"/>
          <w:szCs w:val="22"/>
        </w:rPr>
        <w:t xml:space="preserve"> (TB)</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&lt;EndNote&gt;&lt;Cite&gt;&lt;Author&gt;Mofokeng&lt;/Author&gt;&lt;Year&gt;2020&lt;/Year&gt;&lt;RecNum&gt;9539&lt;/RecNum&gt;&lt;DisplayText&gt;(3)&lt;/DisplayText&gt;&lt;record&gt;&lt;rec-number&gt;9539&lt;/rec-number&gt;&lt;foreign-keys&gt;&lt;key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(3)</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 that</w:t>
      </w:r>
      <w:r w:rsidR="00D428C8">
        <w:rPr>
          <w:rFonts w:asciiTheme="majorHAnsi" w:hAnsiTheme="majorHAnsi" w:cstheme="majorHAnsi"/>
          <w:sz w:val="22"/>
          <w:szCs w:val="22"/>
        </w:rPr>
        <w:t xml:space="preserve"> </w:t>
      </w:r>
      <w:r w:rsidR="00D75C76">
        <w:rPr>
          <w:rFonts w:asciiTheme="majorHAnsi" w:hAnsiTheme="majorHAnsi" w:cstheme="majorHAnsi"/>
          <w:sz w:val="22"/>
          <w:szCs w:val="22"/>
        </w:rPr>
        <w:t xml:space="preserve">coexistent </w:t>
      </w:r>
      <w:r w:rsidR="00D428C8">
        <w:rPr>
          <w:rFonts w:asciiTheme="majorHAnsi" w:hAnsiTheme="majorHAnsi" w:cstheme="majorHAnsi"/>
          <w:sz w:val="22"/>
          <w:szCs w:val="22"/>
        </w:rPr>
        <w:t xml:space="preserve">infections are </w:t>
      </w:r>
      <w:r w:rsidR="00D75C76">
        <w:rPr>
          <w:rFonts w:asciiTheme="majorHAnsi" w:hAnsiTheme="majorHAnsi" w:cstheme="majorHAnsi"/>
          <w:sz w:val="22"/>
          <w:szCs w:val="22"/>
        </w:rPr>
        <w:t xml:space="preserve">a </w:t>
      </w:r>
      <w:r w:rsidR="00385B11">
        <w:rPr>
          <w:rFonts w:asciiTheme="majorHAnsi" w:hAnsiTheme="majorHAnsi" w:cstheme="majorHAnsi"/>
          <w:sz w:val="22"/>
          <w:szCs w:val="22"/>
        </w:rPr>
        <w:t>significant</w:t>
      </w:r>
      <w:r w:rsidR="001E0616" w:rsidRPr="00DF24FE">
        <w:rPr>
          <w:rFonts w:asciiTheme="majorHAnsi" w:hAnsiTheme="majorHAnsi" w:cstheme="majorHAnsi"/>
          <w:sz w:val="22"/>
          <w:szCs w:val="22"/>
        </w:rPr>
        <w:t xml:space="preserve"> cause of</w:t>
      </w:r>
      <w:r w:rsidR="00A40ACA">
        <w:rPr>
          <w:rFonts w:asciiTheme="majorHAnsi" w:hAnsiTheme="majorHAnsi" w:cstheme="majorHAnsi"/>
          <w:sz w:val="22"/>
          <w:szCs w:val="22"/>
        </w:rPr>
        <w:t xml:space="preserve"> primary adrenal insufficiency </w:t>
      </w:r>
      <w:r w:rsidR="001E0616" w:rsidRPr="00DF24FE">
        <w:rPr>
          <w:rFonts w:asciiTheme="majorHAnsi" w:hAnsiTheme="majorHAnsi" w:cstheme="majorHAnsi"/>
          <w:sz w:val="22"/>
          <w:szCs w:val="22"/>
        </w:rPr>
        <w:t>in sub-Saharan Africa</w:t>
      </w:r>
      <w:r w:rsidR="00B46C2D">
        <w:rPr>
          <w:rFonts w:asciiTheme="majorHAnsi" w:hAnsiTheme="majorHAnsi" w:cstheme="majorHAnsi"/>
          <w:sz w:val="22"/>
          <w:szCs w:val="22"/>
        </w:rPr>
        <w:t xml:space="preserve"> with</w:t>
      </w:r>
      <w:r w:rsidR="00D75C76">
        <w:rPr>
          <w:rFonts w:asciiTheme="majorHAnsi" w:hAnsiTheme="majorHAnsi" w:cstheme="majorHAnsi"/>
          <w:sz w:val="22"/>
          <w:szCs w:val="22"/>
        </w:rPr>
        <w:t xml:space="preserve"> an</w:t>
      </w:r>
      <w:r w:rsidR="00B46C2D">
        <w:rPr>
          <w:rFonts w:asciiTheme="majorHAnsi" w:hAnsiTheme="majorHAnsi" w:cstheme="majorHAnsi"/>
          <w:sz w:val="22"/>
          <w:szCs w:val="22"/>
        </w:rPr>
        <w:t xml:space="preserve">  estimated</w:t>
      </w:r>
      <w:r w:rsidR="001864ED">
        <w:rPr>
          <w:rFonts w:asciiTheme="majorHAnsi" w:hAnsiTheme="majorHAnsi" w:cstheme="majorHAnsi"/>
          <w:sz w:val="22"/>
          <w:szCs w:val="22"/>
        </w:rPr>
        <w:t xml:space="preserve"> prevalence of </w:t>
      </w:r>
      <w:r w:rsidR="00B46C2D">
        <w:rPr>
          <w:rFonts w:asciiTheme="majorHAnsi" w:hAnsiTheme="majorHAnsi" w:cstheme="majorHAnsi"/>
          <w:sz w:val="22"/>
          <w:szCs w:val="22"/>
        </w:rPr>
        <w:t>34% and 29.8%  for TB and</w:t>
      </w:r>
      <w:r w:rsidR="009D5DB1">
        <w:rPr>
          <w:rFonts w:asciiTheme="majorHAnsi" w:hAnsiTheme="majorHAnsi" w:cstheme="majorHAnsi"/>
          <w:sz w:val="22"/>
          <w:szCs w:val="22"/>
        </w:rPr>
        <w:t xml:space="preserve"> Acquired Immune Deficiency Syndrome</w:t>
      </w:r>
      <w:r w:rsidR="00B46C2D">
        <w:rPr>
          <w:rFonts w:asciiTheme="majorHAnsi" w:hAnsiTheme="majorHAnsi" w:cstheme="majorHAnsi"/>
          <w:sz w:val="22"/>
          <w:szCs w:val="22"/>
        </w:rPr>
        <w:t xml:space="preserve"> </w:t>
      </w:r>
      <w:r w:rsidR="009D5DB1">
        <w:rPr>
          <w:rFonts w:asciiTheme="majorHAnsi" w:hAnsiTheme="majorHAnsi" w:cstheme="majorHAnsi"/>
          <w:sz w:val="22"/>
          <w:szCs w:val="22"/>
        </w:rPr>
        <w:t>(</w:t>
      </w:r>
      <w:r w:rsidR="00B46C2D">
        <w:rPr>
          <w:rFonts w:asciiTheme="majorHAnsi" w:hAnsiTheme="majorHAnsi" w:cstheme="majorHAnsi"/>
          <w:sz w:val="22"/>
          <w:szCs w:val="22"/>
        </w:rPr>
        <w:t>AIDS</w:t>
      </w:r>
      <w:r w:rsidR="009D5DB1">
        <w:rPr>
          <w:rFonts w:asciiTheme="majorHAnsi" w:hAnsiTheme="majorHAnsi" w:cstheme="majorHAnsi"/>
          <w:sz w:val="22"/>
          <w:szCs w:val="22"/>
        </w:rPr>
        <w:t>)</w:t>
      </w:r>
      <w:r w:rsidR="00B46C2D">
        <w:rPr>
          <w:rFonts w:asciiTheme="majorHAnsi" w:hAnsiTheme="majorHAnsi" w:cstheme="majorHAnsi"/>
          <w:sz w:val="22"/>
          <w:szCs w:val="22"/>
        </w:rPr>
        <w:t>, respectively</w:t>
      </w:r>
      <w:r w:rsidR="00440A50">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&lt;EndNote&gt;&lt;Cite&gt;&lt;Author&gt;Mofokeng&lt;/Author&gt;&lt;Year&gt;2020&lt;/Year&gt;&lt;RecNum&gt;29081&lt;/RecNum&gt;&lt;DisplayText&gt;(4)&lt;/DisplayText&gt;&lt;record&gt;&lt;rec-number&gt;29081&lt;/rec-number&gt;&lt;foreign-keys&gt;&lt;key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(4)</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CCA03C2" w:rsidR="001F48B5" w:rsidRPr="00DF24FE" w:rsidRDefault="001F48B5" w:rsidP="00267310">
      <w:pPr>
        <w:pStyle w:val="BodyText"/>
        <w:jc w:val="both"/>
        <w:rPr>
          <w:rFonts w:asciiTheme="majorHAnsi" w:hAnsiTheme="majorHAnsi" w:cstheme="majorHAnsi"/>
          <w:sz w:val="22"/>
          <w:szCs w:val="22"/>
        </w:rPr>
      </w:pPr>
      <w:r>
        <w:rPr>
          <w:rFonts w:asciiTheme="majorHAnsi" w:hAnsiTheme="majorHAnsi" w:cstheme="majorHAnsi"/>
          <w:sz w:val="22"/>
          <w:szCs w:val="22"/>
        </w:rPr>
        <w:t xml:space="preserve">Patients </w:t>
      </w:r>
      <w:r w:rsidRPr="001F48B5">
        <w:rPr>
          <w:rFonts w:asciiTheme="majorHAnsi" w:hAnsiTheme="majorHAnsi" w:cstheme="majorHAnsi"/>
          <w:sz w:val="22"/>
          <w:szCs w:val="22"/>
        </w:rPr>
        <w:t xml:space="preserve">with HIV may suffer from primary adrenal insufficiency </w:t>
      </w:r>
      <w:r>
        <w:rPr>
          <w:rFonts w:asciiTheme="majorHAnsi" w:hAnsiTheme="majorHAnsi" w:cstheme="majorHAnsi"/>
          <w:sz w:val="22"/>
          <w:szCs w:val="22"/>
        </w:rPr>
        <w:t xml:space="preserve">due to </w:t>
      </w:r>
      <w:r w:rsidRPr="001F48B5">
        <w:rPr>
          <w:rFonts w:asciiTheme="majorHAnsi" w:hAnsiTheme="majorHAnsi" w:cstheme="majorHAnsi"/>
          <w:sz w:val="22"/>
          <w:szCs w:val="22"/>
        </w:rPr>
        <w:t>tuberculosis,</w:t>
      </w:r>
      <w:r>
        <w:rPr>
          <w:rFonts w:asciiTheme="majorHAnsi" w:hAnsiTheme="majorHAnsi" w:cstheme="majorHAnsi"/>
          <w:sz w:val="22"/>
          <w:szCs w:val="22"/>
        </w:rPr>
        <w:t xml:space="preserve"> mycobacterium avium </w:t>
      </w:r>
      <w:proofErr w:type="spellStart"/>
      <w:r>
        <w:rPr>
          <w:rFonts w:asciiTheme="majorHAnsi" w:hAnsiTheme="majorHAnsi" w:cstheme="majorHAnsi"/>
          <w:sz w:val="22"/>
          <w:szCs w:val="22"/>
        </w:rPr>
        <w:t>Intracellulare</w:t>
      </w:r>
      <w:proofErr w:type="spellEnd"/>
      <w:r w:rsidRPr="001F48B5">
        <w:rPr>
          <w:rFonts w:asciiTheme="majorHAnsi" w:hAnsiTheme="majorHAnsi" w:cstheme="majorHAnsi"/>
          <w:sz w:val="22"/>
          <w:szCs w:val="22"/>
        </w:rPr>
        <w:t xml:space="preserve"> </w:t>
      </w:r>
      <w:r>
        <w:rPr>
          <w:rFonts w:asciiTheme="majorHAnsi" w:hAnsiTheme="majorHAnsi" w:cstheme="majorHAnsi"/>
          <w:sz w:val="22"/>
          <w:szCs w:val="22"/>
        </w:rPr>
        <w:t>(</w:t>
      </w:r>
      <w:r w:rsidRPr="001F48B5">
        <w:rPr>
          <w:rFonts w:asciiTheme="majorHAnsi" w:hAnsiTheme="majorHAnsi" w:cstheme="majorHAnsi"/>
          <w:sz w:val="22"/>
          <w:szCs w:val="22"/>
        </w:rPr>
        <w:t>M</w:t>
      </w:r>
      <w:r>
        <w:rPr>
          <w:rFonts w:asciiTheme="majorHAnsi" w:hAnsiTheme="majorHAnsi" w:cstheme="majorHAnsi"/>
          <w:sz w:val="22"/>
          <w:szCs w:val="22"/>
        </w:rPr>
        <w:t>AI)</w:t>
      </w:r>
      <w:r w:rsidRPr="001F48B5">
        <w:rPr>
          <w:rFonts w:asciiTheme="majorHAnsi" w:hAnsiTheme="majorHAnsi" w:cstheme="majorHAnsi"/>
          <w:sz w:val="22"/>
          <w:szCs w:val="22"/>
        </w:rPr>
        <w:t xml:space="preserve">, CMV, toxoplasmosis, remove cyst this Carini histoplasmosis, </w:t>
      </w:r>
      <w:r>
        <w:rPr>
          <w:rFonts w:asciiTheme="majorHAnsi" w:hAnsiTheme="majorHAnsi" w:cstheme="majorHAnsi"/>
          <w:sz w:val="22"/>
          <w:szCs w:val="22"/>
        </w:rPr>
        <w:t xml:space="preserve">malignancies such as </w:t>
      </w:r>
      <w:r w:rsidRPr="001F48B5">
        <w:rPr>
          <w:rFonts w:asciiTheme="majorHAnsi" w:hAnsiTheme="majorHAnsi" w:cstheme="majorHAnsi"/>
          <w:sz w:val="22"/>
          <w:szCs w:val="22"/>
        </w:rPr>
        <w:t>non</w:t>
      </w:r>
      <w:r>
        <w:rPr>
          <w:rFonts w:asciiTheme="majorHAnsi" w:hAnsiTheme="majorHAnsi" w:cstheme="majorHAnsi"/>
          <w:sz w:val="22"/>
          <w:szCs w:val="22"/>
        </w:rPr>
        <w:t>-</w:t>
      </w:r>
      <w:proofErr w:type="spellStart"/>
      <w:r>
        <w:rPr>
          <w:rFonts w:asciiTheme="majorHAnsi" w:hAnsiTheme="majorHAnsi" w:cstheme="majorHAnsi"/>
          <w:sz w:val="22"/>
          <w:szCs w:val="22"/>
        </w:rPr>
        <w:t>Hod</w:t>
      </w:r>
      <w:r w:rsidRPr="001F48B5">
        <w:rPr>
          <w:rFonts w:asciiTheme="majorHAnsi" w:hAnsiTheme="majorHAnsi" w:cstheme="majorHAnsi"/>
          <w:sz w:val="22"/>
          <w:szCs w:val="22"/>
        </w:rPr>
        <w:t>kings</w:t>
      </w:r>
      <w:proofErr w:type="spellEnd"/>
      <w:r w:rsidRPr="001F48B5">
        <w:rPr>
          <w:rFonts w:asciiTheme="majorHAnsi" w:hAnsiTheme="majorHAnsi" w:cstheme="majorHAnsi"/>
          <w:sz w:val="22"/>
          <w:szCs w:val="22"/>
        </w:rPr>
        <w:t xml:space="preserve"> lymphoma</w:t>
      </w:r>
      <w:r>
        <w:rPr>
          <w:rFonts w:asciiTheme="majorHAnsi" w:hAnsiTheme="majorHAnsi" w:cstheme="majorHAnsi"/>
          <w:sz w:val="22"/>
          <w:szCs w:val="22"/>
        </w:rPr>
        <w:t xml:space="preserve"> and Kaposi sarcoma KS, fungal infections such as cryptococcus, blastomycosis, and histoplasmosis. Secondary adrenal insufficiency may be caused by toxoplasmosis</w:t>
      </w:r>
      <w:r w:rsidR="00A51524">
        <w:rPr>
          <w:rFonts w:asciiTheme="majorHAnsi" w:hAnsiTheme="majorHAnsi" w:cstheme="majorHAnsi"/>
          <w:sz w:val="22"/>
          <w:szCs w:val="22"/>
        </w:rPr>
        <w:t xml:space="preserve"> and </w:t>
      </w:r>
      <w:r>
        <w:rPr>
          <w:rFonts w:asciiTheme="majorHAnsi" w:hAnsiTheme="majorHAnsi" w:cstheme="majorHAnsi"/>
          <w:sz w:val="22"/>
          <w:szCs w:val="22"/>
        </w:rPr>
        <w:t>cytomegalovirus</w:t>
      </w:r>
      <w:r w:rsidR="00A51524">
        <w:rPr>
          <w:rFonts w:asciiTheme="majorHAnsi" w:hAnsiTheme="majorHAnsi" w:cstheme="majorHAnsi"/>
          <w:sz w:val="22"/>
          <w:szCs w:val="22"/>
        </w:rPr>
        <w:t xml:space="preserve"> infection of the Pituitary gland.</w:t>
      </w:r>
      <w:r w:rsidR="00800C8C">
        <w:rPr>
          <w:rFonts w:asciiTheme="majorHAnsi" w:hAnsiTheme="majorHAnsi" w:cstheme="majorHAnsi"/>
          <w:sz w:val="22"/>
          <w:szCs w:val="22"/>
        </w:rPr>
        <w:t xml:space="preserve"> </w:t>
      </w:r>
      <w:proofErr w:type="spellStart"/>
      <w:r w:rsidR="00A51524">
        <w:rPr>
          <w:rFonts w:asciiTheme="majorHAnsi" w:hAnsiTheme="majorHAnsi" w:cstheme="majorHAnsi"/>
          <w:sz w:val="22"/>
          <w:szCs w:val="22"/>
        </w:rPr>
        <w:t>Eldrisi</w:t>
      </w:r>
      <w:proofErr w:type="spellEnd"/>
      <w:r w:rsidR="00A51524">
        <w:rPr>
          <w:rFonts w:asciiTheme="majorHAnsi" w:hAnsiTheme="majorHAnsi" w:cstheme="majorHAnsi"/>
          <w:sz w:val="22"/>
          <w:szCs w:val="22"/>
        </w:rPr>
        <w:t xml:space="preserve"> &amp; Verghese.</w:t>
      </w:r>
    </w:p>
    <w:p w14:paraId="34FB8943" w14:textId="026C5EC5"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 </w:t>
      </w:r>
      <w:r w:rsidR="00E03A20">
        <w:rPr>
          <w:rFonts w:asciiTheme="majorHAnsi" w:hAnsiTheme="majorHAnsi" w:cstheme="majorHAnsi"/>
          <w:sz w:val="22"/>
          <w:szCs w:val="22"/>
        </w:rPr>
        <w:t xml:space="preserve">describing </w:t>
      </w:r>
      <w:r w:rsidRPr="00DF24FE">
        <w:rPr>
          <w:rFonts w:asciiTheme="majorHAnsi" w:hAnsiTheme="majorHAnsi" w:cstheme="majorHAnsi"/>
          <w:sz w:val="22"/>
          <w:szCs w:val="22"/>
        </w:rPr>
        <w:t>the prevalence 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study</w:t>
      </w:r>
      <w:r w:rsidR="00E37129" w:rsidRPr="00E37129">
        <w:rPr>
          <w:rFonts w:asciiTheme="majorHAnsi" w:hAnsiTheme="majorHAnsi" w:cstheme="majorHAnsi"/>
          <w:sz w:val="22"/>
          <w:szCs w:val="22"/>
        </w:rPr>
        <w:t xml:space="preserve"> </w:t>
      </w:r>
      <w:r w:rsidR="00E37129">
        <w:rPr>
          <w:rFonts w:asciiTheme="majorHAnsi" w:hAnsiTheme="majorHAnsi" w:cstheme="majorHAnsi"/>
          <w:sz w:val="22"/>
          <w:szCs w:val="22"/>
        </w:rPr>
        <w:t xml:space="preserve">by </w:t>
      </w:r>
      <w:r w:rsidR="00E37129" w:rsidRPr="00E37129">
        <w:rPr>
          <w:rFonts w:asciiTheme="majorHAnsi" w:hAnsiTheme="majorHAnsi" w:cstheme="majorHAnsi"/>
          <w:sz w:val="22"/>
          <w:szCs w:val="22"/>
        </w:rPr>
        <w:t xml:space="preserve">Afreen </w:t>
      </w:r>
      <w:r w:rsidR="00E37129" w:rsidRPr="00E37129">
        <w:rPr>
          <w:rFonts w:asciiTheme="majorHAnsi" w:hAnsiTheme="majorHAnsi" w:cstheme="majorHAnsi"/>
          <w:i/>
          <w:iCs/>
          <w:sz w:val="22"/>
          <w:szCs w:val="22"/>
        </w:rPr>
        <w:t>et al</w:t>
      </w:r>
      <w:r w:rsidR="00E37129" w:rsidRPr="00E37129">
        <w:rPr>
          <w:rFonts w:asciiTheme="majorHAnsi" w:hAnsiTheme="majorHAnsi" w:cstheme="majorHAnsi"/>
          <w:sz w:val="22"/>
          <w:szCs w:val="22"/>
        </w:rPr>
        <w:t xml:space="preserve">, </w:t>
      </w:r>
      <w:r w:rsidR="00D05777">
        <w:rPr>
          <w:rFonts w:asciiTheme="majorHAnsi" w:hAnsiTheme="majorHAnsi" w:cstheme="majorHAnsi"/>
          <w:sz w:val="22"/>
          <w:szCs w:val="22"/>
        </w:rPr>
        <w:t xml:space="preserve"> 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r w:rsidR="00F40406">
        <w:rPr>
          <w:rFonts w:asciiTheme="majorHAnsi" w:hAnsiTheme="majorHAnsi" w:cstheme="majorHAnsi"/>
          <w:sz w:val="22"/>
          <w:szCs w:val="22"/>
        </w:rPr>
        <w:t>adrenal insufficiency (AI)</w:t>
      </w:r>
      <w:r w:rsidR="00D64D54">
        <w:rPr>
          <w:rFonts w:asciiTheme="majorHAnsi" w:hAnsiTheme="majorHAnsi" w:cstheme="majorHAnsi"/>
          <w:sz w:val="22"/>
          <w:szCs w:val="22"/>
        </w:rPr>
        <w:t xml:space="preserve"> </w:t>
      </w:r>
      <w:r w:rsidR="00E37129">
        <w:rPr>
          <w:rFonts w:asciiTheme="majorHAnsi" w:hAnsiTheme="majorHAnsi" w:cstheme="majorHAnsi"/>
          <w:sz w:val="22"/>
          <w:szCs w:val="22"/>
        </w:rPr>
        <w:t xml:space="preserve">was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of 250 microgram</w:t>
      </w:r>
      <w:r w:rsidR="00D05777">
        <w:rPr>
          <w:rFonts w:asciiTheme="majorHAnsi" w:hAnsiTheme="majorHAnsi" w:cstheme="majorHAnsi"/>
          <w:sz w:val="22"/>
          <w:szCs w:val="22"/>
        </w:rPr>
        <w:t xml:space="preserve"> intravenous </w:t>
      </w:r>
      <w:proofErr w:type="spellStart"/>
      <w:r w:rsidR="00D05777">
        <w:rPr>
          <w:rFonts w:asciiTheme="majorHAnsi" w:hAnsiTheme="majorHAnsi" w:cstheme="majorHAnsi"/>
          <w:sz w:val="22"/>
          <w:szCs w:val="22"/>
        </w:rPr>
        <w:t>tetracosactide</w:t>
      </w:r>
      <w:proofErr w:type="spellEnd"/>
      <w:r w:rsidR="00D05777">
        <w:rPr>
          <w:rFonts w:asciiTheme="majorHAnsi" w:hAnsiTheme="majorHAnsi" w:cstheme="majorHAnsi"/>
          <w:sz w:val="22"/>
          <w:szCs w:val="22"/>
        </w:rPr>
        <w:t xml:space="preserv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&lt;EndNote&gt;&lt;Cite&gt;&lt;Author&gt;Afreen&lt;/Author&gt;&lt;Year&gt;2017&lt;/Year&gt;&lt;RecNum&gt;29083&lt;/RecNum&gt;&lt;DisplayText&gt;(8)&lt;/DisplayText&gt;&lt;record&gt;&lt;rec-number&gt;29083&lt;/rec-number&gt;&lt;foreign-keys&gt;&lt;key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B6618F">
        <w:rPr>
          <w:rFonts w:asciiTheme="majorHAnsi" w:hAnsiTheme="majorHAnsi" w:cstheme="majorHAnsi"/>
          <w:noProof/>
          <w:sz w:val="22"/>
          <w:szCs w:val="22"/>
        </w:rPr>
        <w:t>(8)</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had not been initiated on antiretroviral treatment</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227151">
        <w:rPr>
          <w:rFonts w:asciiTheme="majorHAnsi" w:hAnsiTheme="majorHAnsi" w:cstheme="majorHAnsi"/>
          <w:sz w:val="22"/>
          <w:szCs w:val="22"/>
        </w:rPr>
        <w:t xml:space="preserve">reported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E37129">
        <w:rPr>
          <w:rFonts w:asciiTheme="majorHAnsi" w:hAnsiTheme="majorHAnsi" w:cstheme="majorHAnsi"/>
          <w:sz w:val="22"/>
          <w:szCs w:val="22"/>
        </w:rPr>
        <w:t xml:space="preserve"> to be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proofErr w:type="spellStart"/>
      <w:r w:rsidR="0094511F">
        <w:rPr>
          <w:rFonts w:asciiTheme="majorHAnsi" w:hAnsiTheme="majorHAnsi" w:cstheme="majorHAnsi"/>
          <w:sz w:val="22"/>
          <w:szCs w:val="22"/>
        </w:rPr>
        <w:t>tetracosactide</w:t>
      </w:r>
      <w:proofErr w:type="spellEnd"/>
      <w:r w:rsidR="0094511F">
        <w:rPr>
          <w:rFonts w:asciiTheme="majorHAnsi" w:hAnsiTheme="majorHAnsi" w:cstheme="majorHAnsi"/>
          <w:sz w:val="22"/>
          <w:szCs w:val="22"/>
        </w:rPr>
        <w:t xml:space="preserv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&lt;EndNote&gt;&lt;Cite&gt;&lt;Author&gt;Odeniyi&lt;/Author&gt;&lt;Year&gt;2013&lt;/Year&gt;&lt;RecNum&gt;29096&lt;/RecNum&gt;&lt;DisplayText&gt;(9)&lt;/DisplayText&gt;&lt;record&gt;&lt;rec-number&gt;29096&lt;/rec-number&gt;&lt;foreign-keys&gt;&lt;key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B6618F">
        <w:rPr>
          <w:rFonts w:asciiTheme="majorHAnsi" w:hAnsiTheme="majorHAnsi" w:cstheme="majorHAnsi"/>
          <w:noProof/>
          <w:sz w:val="22"/>
          <w:szCs w:val="22"/>
        </w:rPr>
        <w:t>(9)</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46D08E8E" w:rsidR="006F2E97" w:rsidRDefault="00D80CBA" w:rsidP="00C77B9E">
      <w:pPr>
        <w:pStyle w:val="BodyText"/>
        <w:jc w:val="both"/>
        <w:rPr>
          <w:rFonts w:asciiTheme="majorHAnsi" w:hAnsiTheme="majorHAnsi" w:cstheme="majorHAnsi"/>
          <w:sz w:val="22"/>
          <w:szCs w:val="22"/>
        </w:rPr>
      </w:pPr>
      <w:r w:rsidRPr="00D80CBA">
        <w:rPr>
          <w:rFonts w:asciiTheme="majorHAnsi" w:hAnsiTheme="majorHAnsi" w:cstheme="majorHAnsi"/>
          <w:sz w:val="22"/>
          <w:szCs w:val="22"/>
        </w:rPr>
        <w:t xml:space="preserve">There is a high </w:t>
      </w:r>
      <w:r w:rsidR="000845A9" w:rsidRPr="003713AC">
        <w:rPr>
          <w:rFonts w:asciiTheme="majorHAnsi" w:hAnsiTheme="majorHAnsi" w:cstheme="majorHAnsi"/>
          <w:sz w:val="22"/>
          <w:szCs w:val="22"/>
        </w:rPr>
        <w:t>background</w:t>
      </w:r>
      <w:r w:rsidR="000845A9">
        <w:rPr>
          <w:rFonts w:asciiTheme="majorHAnsi" w:hAnsiTheme="majorHAnsi" w:cstheme="majorHAnsi"/>
          <w:sz w:val="22"/>
          <w:szCs w:val="22"/>
        </w:rPr>
        <w:t xml:space="preserve"> </w:t>
      </w:r>
      <w:r w:rsidRPr="00D80CBA">
        <w:rPr>
          <w:rFonts w:asciiTheme="majorHAnsi" w:hAnsiTheme="majorHAnsi" w:cstheme="majorHAnsi"/>
          <w:sz w:val="22"/>
          <w:szCs w:val="22"/>
        </w:rPr>
        <w:t>prevalence</w:t>
      </w:r>
      <w:r w:rsidR="00E92353">
        <w:rPr>
          <w:rFonts w:asciiTheme="majorHAnsi" w:hAnsiTheme="majorHAnsi" w:cstheme="majorHAnsi"/>
          <w:sz w:val="22"/>
          <w:szCs w:val="22"/>
        </w:rPr>
        <w:t xml:space="preserve"> of</w:t>
      </w:r>
      <w:r w:rsidRPr="00D80CBA">
        <w:rPr>
          <w:rFonts w:asciiTheme="majorHAnsi" w:hAnsiTheme="majorHAnsi" w:cstheme="majorHAnsi"/>
          <w:sz w:val="22"/>
          <w:szCs w:val="22"/>
        </w:rPr>
        <w:t xml:space="preserve"> </w:t>
      </w:r>
      <w:r w:rsidR="00F77B63">
        <w:rPr>
          <w:rFonts w:asciiTheme="majorHAnsi" w:hAnsiTheme="majorHAnsi" w:cstheme="majorHAnsi"/>
          <w:sz w:val="22"/>
          <w:szCs w:val="22"/>
        </w:rPr>
        <w:t xml:space="preserve">9% </w:t>
      </w:r>
      <w:r w:rsidR="005C409B" w:rsidRPr="00973F36">
        <w:rPr>
          <w:rFonts w:asciiTheme="majorHAnsi" w:hAnsiTheme="majorHAnsi" w:cstheme="majorHAnsi"/>
          <w:sz w:val="22"/>
          <w:szCs w:val="22"/>
        </w:rPr>
        <w:fldChar w:fldCharType="begin"/>
      </w:r>
      <w:r w:rsidR="00B6618F" w:rsidRPr="00973F36">
        <w:rPr>
          <w:rFonts w:asciiTheme="majorHAnsi" w:hAnsiTheme="majorHAnsi" w:cstheme="majorHAnsi"/>
          <w:sz w:val="22"/>
          <w:szCs w:val="22"/>
        </w:rPr>
        <w:instrText xml:space="preserve"> ADDIN EN.CITE &lt;EndNote&gt;&lt;Cite ExcludeYear="1"&gt;&lt;Author&gt;Goliber&lt;/Author&gt;&lt;Year&gt;2002&lt;/Year&gt;&lt;RecNum&gt;29105&lt;/RecNum&gt;&lt;DisplayText&gt;(10)&lt;/DisplayText&gt;&lt;record&gt;&lt;rec-number&gt;29105&lt;/rec-number&gt;&lt;foreign-keys&gt;&lt;key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005C409B" w:rsidRPr="00973F36">
        <w:rPr>
          <w:rFonts w:asciiTheme="majorHAnsi" w:hAnsiTheme="majorHAnsi" w:cstheme="majorHAnsi"/>
          <w:sz w:val="22"/>
          <w:szCs w:val="22"/>
        </w:rPr>
        <w:fldChar w:fldCharType="separate"/>
      </w:r>
      <w:r w:rsidR="00B6618F" w:rsidRPr="00973F36">
        <w:rPr>
          <w:rFonts w:asciiTheme="majorHAnsi" w:hAnsiTheme="majorHAnsi" w:cstheme="majorHAnsi"/>
          <w:noProof/>
          <w:sz w:val="22"/>
          <w:szCs w:val="22"/>
        </w:rPr>
        <w:t>(10)</w:t>
      </w:r>
      <w:r w:rsidR="005C409B" w:rsidRPr="00973F36">
        <w:rPr>
          <w:rFonts w:asciiTheme="majorHAnsi" w:hAnsiTheme="majorHAnsi" w:cstheme="majorHAnsi"/>
          <w:sz w:val="22"/>
          <w:szCs w:val="22"/>
        </w:rPr>
        <w:fldChar w:fldCharType="end"/>
      </w:r>
      <w:r w:rsidR="00A42EA8">
        <w:rPr>
          <w:rFonts w:asciiTheme="majorHAnsi" w:hAnsiTheme="majorHAnsi" w:cstheme="majorHAnsi"/>
          <w:sz w:val="22"/>
          <w:szCs w:val="22"/>
        </w:rPr>
        <w:t xml:space="preserve"> </w:t>
      </w:r>
      <w:r w:rsidRPr="00D80CBA">
        <w:rPr>
          <w:rFonts w:asciiTheme="majorHAnsi" w:hAnsiTheme="majorHAnsi" w:cstheme="majorHAnsi"/>
          <w:sz w:val="22"/>
          <w:szCs w:val="22"/>
        </w:rPr>
        <w:t>of Human immune virus (HIV) infection</w:t>
      </w:r>
      <w:r w:rsidR="00A40F58">
        <w:rPr>
          <w:rFonts w:asciiTheme="majorHAnsi" w:hAnsiTheme="majorHAnsi" w:cstheme="majorHAnsi"/>
          <w:sz w:val="22"/>
          <w:szCs w:val="22"/>
        </w:rPr>
        <w:t xml:space="preserve"> </w:t>
      </w:r>
      <w:r w:rsidRPr="00D80CBA">
        <w:rPr>
          <w:rFonts w:asciiTheme="majorHAnsi" w:hAnsiTheme="majorHAnsi" w:cstheme="majorHAnsi"/>
          <w:sz w:val="22"/>
          <w:szCs w:val="22"/>
        </w:rPr>
        <w:fldChar w:fldCharType="begin"/>
      </w:r>
      <w:r w:rsidR="00B6618F">
        <w:rPr>
          <w:rFonts w:asciiTheme="majorHAnsi" w:hAnsiTheme="majorHAnsi" w:cstheme="majorHAnsi"/>
          <w:sz w:val="22"/>
          <w:szCs w:val="22"/>
        </w:rPr>
        <w:instrText xml:space="preserve"> ADDIN EN.CITE &lt;EndNote&gt;&lt;Cite&gt;&lt;Author&gt;Hofbauer&lt;/Author&gt;&lt;Year&gt;1996&lt;/Year&gt;&lt;RecNum&gt;29084&lt;/RecNum&gt;&lt;DisplayText&gt;(7)&lt;/DisplayText&gt;&lt;record&gt;&lt;rec-number&gt;29084&lt;/rec-number&gt;&lt;foreign-keys&gt;&lt;key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D80CBA">
        <w:rPr>
          <w:rFonts w:asciiTheme="majorHAnsi" w:hAnsiTheme="majorHAnsi" w:cstheme="majorHAnsi"/>
          <w:sz w:val="22"/>
          <w:szCs w:val="22"/>
        </w:rPr>
        <w:fldChar w:fldCharType="separate"/>
      </w:r>
      <w:r w:rsidR="00B6618F">
        <w:rPr>
          <w:rFonts w:asciiTheme="majorHAnsi" w:hAnsiTheme="majorHAnsi" w:cstheme="majorHAnsi"/>
          <w:noProof/>
          <w:sz w:val="22"/>
          <w:szCs w:val="22"/>
        </w:rPr>
        <w:t>(7)</w:t>
      </w:r>
      <w:r w:rsidRPr="00D80CBA">
        <w:rPr>
          <w:rFonts w:asciiTheme="majorHAnsi" w:hAnsiTheme="majorHAnsi" w:cstheme="majorHAnsi"/>
          <w:sz w:val="22"/>
          <w:szCs w:val="22"/>
        </w:rPr>
        <w:fldChar w:fldCharType="end"/>
      </w:r>
      <w:r w:rsidRPr="00D80CBA">
        <w:rPr>
          <w:rFonts w:asciiTheme="majorHAnsi" w:hAnsiTheme="majorHAnsi" w:cstheme="majorHAnsi"/>
          <w:sz w:val="22"/>
          <w:szCs w:val="22"/>
        </w:rPr>
        <w:t xml:space="preserve"> in sub-Saharan Africa, which is associated with significant mortality </w:t>
      </w:r>
      <w:r w:rsidR="00C22E9D">
        <w:rPr>
          <w:rFonts w:asciiTheme="majorHAnsi" w:hAnsiTheme="majorHAnsi" w:cstheme="majorHAnsi"/>
          <w:sz w:val="22"/>
          <w:szCs w:val="22"/>
        </w:rPr>
        <w:t>estimated in 2001</w:t>
      </w:r>
      <w:r w:rsidR="00E92353">
        <w:rPr>
          <w:rFonts w:asciiTheme="majorHAnsi" w:hAnsiTheme="majorHAnsi" w:cstheme="majorHAnsi"/>
          <w:sz w:val="22"/>
          <w:szCs w:val="22"/>
        </w:rPr>
        <w:t xml:space="preserve"> to be </w:t>
      </w:r>
      <w:r w:rsidR="00C22E9D">
        <w:rPr>
          <w:rFonts w:asciiTheme="majorHAnsi" w:hAnsiTheme="majorHAnsi" w:cstheme="majorHAnsi"/>
          <w:sz w:val="22"/>
          <w:szCs w:val="22"/>
        </w:rPr>
        <w:t xml:space="preserve">2.2 million of 3 million deaths  </w:t>
      </w:r>
      <w:commentRangeStart w:id="0"/>
      <w:commentRangeStart w:id="1"/>
      <w:r w:rsidR="00C22E9D">
        <w:rPr>
          <w:rFonts w:asciiTheme="majorHAnsi" w:hAnsiTheme="majorHAnsi" w:cstheme="majorHAnsi"/>
          <w:sz w:val="22"/>
          <w:szCs w:val="22"/>
        </w:rPr>
        <w:t>worldwide</w:t>
      </w:r>
      <w:r w:rsidR="00C01D4B">
        <w:rPr>
          <w:rFonts w:asciiTheme="majorHAnsi" w:hAnsiTheme="majorHAnsi" w:cstheme="majorHAnsi"/>
          <w:sz w:val="22"/>
          <w:szCs w:val="22"/>
        </w:rPr>
        <w:t xml:space="preserve"> </w:t>
      </w:r>
      <w:commentRangeEnd w:id="0"/>
      <w:r w:rsidR="003C7DF5">
        <w:rPr>
          <w:rStyle w:val="CommentReference"/>
          <w:rFonts w:ascii="Arial" w:hAnsi="Arial"/>
        </w:rPr>
        <w:commentReference w:id="0"/>
      </w:r>
      <w:commentRangeEnd w:id="1"/>
      <w:r w:rsidR="00F64203">
        <w:rPr>
          <w:rStyle w:val="CommentReference"/>
          <w:rFonts w:ascii="Arial" w:hAnsi="Arial"/>
        </w:rPr>
        <w:commentReference w:id="1"/>
      </w:r>
      <w:r w:rsidR="00C01D4B">
        <w:rPr>
          <w:rFonts w:asciiTheme="majorHAnsi" w:hAnsiTheme="majorHAnsi" w:cstheme="majorHAnsi"/>
          <w:sz w:val="22"/>
          <w:szCs w:val="22"/>
        </w:rPr>
        <w:t>(12)</w:t>
      </w:r>
      <w:r w:rsidRPr="00D80CBA">
        <w:rPr>
          <w:rFonts w:asciiTheme="majorHAnsi" w:hAnsiTheme="majorHAnsi" w:cstheme="majorHAnsi"/>
          <w:sz w:val="22"/>
          <w:szCs w:val="22"/>
        </w:rPr>
        <w:t>.</w:t>
      </w:r>
      <w:r w:rsidR="00C22E9D">
        <w:rPr>
          <w:rFonts w:asciiTheme="majorHAnsi" w:hAnsiTheme="majorHAnsi" w:cstheme="majorHAnsi"/>
          <w:sz w:val="22"/>
          <w:szCs w:val="22"/>
        </w:rPr>
        <w:t xml:space="preserve"> </w:t>
      </w:r>
      <w:r w:rsidRPr="00D80CBA">
        <w:rPr>
          <w:rFonts w:asciiTheme="majorHAnsi" w:hAnsiTheme="majorHAnsi" w:cstheme="majorHAnsi"/>
          <w:sz w:val="22"/>
          <w:szCs w:val="22"/>
        </w:rPr>
        <w:t xml:space="preserve"> </w:t>
      </w:r>
      <w:r w:rsidR="00E43E5C">
        <w:rPr>
          <w:rFonts w:asciiTheme="majorHAnsi" w:hAnsiTheme="majorHAnsi" w:cstheme="majorHAnsi"/>
          <w:sz w:val="22"/>
          <w:szCs w:val="22"/>
        </w:rPr>
        <w:t xml:space="preserve"> </w:t>
      </w:r>
      <w:r w:rsidR="007762C4" w:rsidRPr="00D00ECA">
        <w:rPr>
          <w:rFonts w:asciiTheme="majorHAnsi" w:hAnsiTheme="majorHAnsi" w:cstheme="majorHAnsi"/>
          <w:sz w:val="22"/>
          <w:szCs w:val="22"/>
        </w:rPr>
        <w:t>Compared to Europe and North America,</w:t>
      </w:r>
      <w:r w:rsidR="007762C4">
        <w:rPr>
          <w:rFonts w:asciiTheme="majorHAnsi" w:hAnsiTheme="majorHAnsi" w:cstheme="majorHAnsi"/>
          <w:sz w:val="22"/>
          <w:szCs w:val="22"/>
        </w:rPr>
        <w:t xml:space="preserve"> e</w:t>
      </w:r>
      <w:r w:rsidR="00C255A3">
        <w:rPr>
          <w:rFonts w:asciiTheme="majorHAnsi" w:hAnsiTheme="majorHAnsi" w:cstheme="majorHAnsi"/>
          <w:sz w:val="22"/>
          <w:szCs w:val="22"/>
        </w:rPr>
        <w:t>arly mortality</w:t>
      </w:r>
      <w:r w:rsidR="0060722A">
        <w:rPr>
          <w:rFonts w:asciiTheme="majorHAnsi" w:hAnsiTheme="majorHAnsi" w:cstheme="majorHAnsi"/>
          <w:sz w:val="22"/>
          <w:szCs w:val="22"/>
        </w:rPr>
        <w:t xml:space="preserve"> </w:t>
      </w:r>
      <w:r w:rsidR="00C01D4B">
        <w:rPr>
          <w:rFonts w:asciiTheme="majorHAnsi" w:hAnsiTheme="majorHAnsi" w:cstheme="majorHAnsi"/>
          <w:sz w:val="22"/>
          <w:szCs w:val="22"/>
        </w:rPr>
        <w:t xml:space="preserve">in HIV positive patients </w:t>
      </w:r>
      <w:r w:rsidR="0060722A">
        <w:rPr>
          <w:rFonts w:asciiTheme="majorHAnsi" w:hAnsiTheme="majorHAnsi" w:cstheme="majorHAnsi"/>
          <w:sz w:val="22"/>
          <w:szCs w:val="22"/>
        </w:rPr>
        <w:t>is</w:t>
      </w:r>
      <w:r w:rsidR="00C255A3">
        <w:rPr>
          <w:rFonts w:asciiTheme="majorHAnsi" w:hAnsiTheme="majorHAnsi" w:cstheme="majorHAnsi"/>
          <w:sz w:val="22"/>
          <w:szCs w:val="22"/>
        </w:rPr>
        <w:t xml:space="preserve"> higher in resource limited settings, including South Africa</w:t>
      </w:r>
      <w:r w:rsidR="003C7DF5">
        <w:rPr>
          <w:rFonts w:asciiTheme="majorHAnsi" w:hAnsiTheme="majorHAnsi" w:cstheme="majorHAnsi"/>
          <w:sz w:val="22"/>
          <w:szCs w:val="22"/>
        </w:rPr>
        <w:t>,</w:t>
      </w:r>
      <w:r w:rsidR="00A40F58">
        <w:rPr>
          <w:rFonts w:asciiTheme="majorHAnsi" w:hAnsiTheme="majorHAnsi" w:cstheme="majorHAnsi"/>
          <w:sz w:val="22"/>
          <w:szCs w:val="22"/>
        </w:rPr>
        <w:t xml:space="preserve"> </w:t>
      </w:r>
      <w:r w:rsidR="00C255A3">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&lt;EndNote&gt;&lt;Cite&gt;&lt;Author&gt;Boulle&lt;/Author&gt;&lt;Year&gt;2014&lt;/Year&gt;&lt;RecNum&gt;29113&lt;/RecNum&gt;&lt;DisplayText&gt;(12)&lt;/DisplayText&gt;&lt;record&gt;&lt;rec-number&gt;29113&lt;/rec-number&gt;&lt;foreign-keys&gt;&lt;key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00C255A3">
        <w:rPr>
          <w:rFonts w:asciiTheme="majorHAnsi" w:hAnsiTheme="majorHAnsi" w:cstheme="majorHAnsi"/>
          <w:sz w:val="22"/>
          <w:szCs w:val="22"/>
        </w:rPr>
        <w:fldChar w:fldCharType="separate"/>
      </w:r>
      <w:r w:rsidR="00C255A3">
        <w:rPr>
          <w:rFonts w:asciiTheme="majorHAnsi" w:hAnsiTheme="majorHAnsi" w:cstheme="majorHAnsi"/>
          <w:noProof/>
          <w:sz w:val="22"/>
          <w:szCs w:val="22"/>
        </w:rPr>
        <w:t>(12)</w:t>
      </w:r>
      <w:r w:rsidR="00C255A3">
        <w:rPr>
          <w:rFonts w:asciiTheme="majorHAnsi" w:hAnsiTheme="majorHAnsi" w:cstheme="majorHAnsi"/>
          <w:sz w:val="22"/>
          <w:szCs w:val="22"/>
        </w:rPr>
        <w:fldChar w:fldCharType="end"/>
      </w:r>
      <w:r w:rsidR="00C01D4B">
        <w:rPr>
          <w:rFonts w:asciiTheme="majorHAnsi" w:hAnsiTheme="majorHAnsi" w:cstheme="majorHAnsi"/>
          <w:sz w:val="22"/>
          <w:szCs w:val="22"/>
        </w:rPr>
        <w:t xml:space="preserve"> due to late presentation and inadequate health</w:t>
      </w:r>
      <w:r w:rsidR="003C7DF5">
        <w:rPr>
          <w:rFonts w:asciiTheme="majorHAnsi" w:hAnsiTheme="majorHAnsi" w:cstheme="majorHAnsi"/>
          <w:sz w:val="22"/>
          <w:szCs w:val="22"/>
        </w:rPr>
        <w:t xml:space="preserve"> resources</w:t>
      </w:r>
      <w:r w:rsidR="00A40F58">
        <w:rPr>
          <w:rFonts w:asciiTheme="majorHAnsi" w:hAnsiTheme="majorHAnsi" w:cstheme="majorHAnsi"/>
          <w:sz w:val="22"/>
          <w:szCs w:val="22"/>
        </w:rPr>
        <w:t>.</w:t>
      </w:r>
      <w:r w:rsidR="0099680A">
        <w:rPr>
          <w:rFonts w:asciiTheme="majorHAnsi" w:hAnsiTheme="majorHAnsi" w:cstheme="majorHAnsi"/>
          <w:sz w:val="22"/>
          <w:szCs w:val="22"/>
        </w:rPr>
        <w:t xml:space="preserve"> Although undiagnosed </w:t>
      </w:r>
      <w:r w:rsidR="00D26CF1">
        <w:rPr>
          <w:rFonts w:asciiTheme="majorHAnsi" w:hAnsiTheme="majorHAnsi" w:cstheme="majorHAnsi"/>
          <w:sz w:val="22"/>
          <w:szCs w:val="22"/>
        </w:rPr>
        <w:t>a</w:t>
      </w:r>
      <w:r w:rsidR="00BD564E">
        <w:rPr>
          <w:rFonts w:asciiTheme="majorHAnsi" w:hAnsiTheme="majorHAnsi" w:cstheme="majorHAnsi"/>
          <w:sz w:val="22"/>
          <w:szCs w:val="22"/>
        </w:rPr>
        <w:t xml:space="preserve">drenal insufficiency is associated </w:t>
      </w:r>
      <w:r w:rsidR="00F241AD">
        <w:rPr>
          <w:rFonts w:asciiTheme="majorHAnsi" w:hAnsiTheme="majorHAnsi" w:cstheme="majorHAnsi"/>
          <w:sz w:val="22"/>
          <w:szCs w:val="22"/>
        </w:rPr>
        <w:t>with invariable mortality</w:t>
      </w:r>
      <w:r w:rsidR="00A40F58">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C255A3">
        <w:rPr>
          <w:rFonts w:asciiTheme="majorHAnsi" w:hAnsiTheme="majorHAnsi" w:cstheme="majorHAnsi"/>
          <w:sz w:val="22"/>
          <w:szCs w:val="22"/>
        </w:rPr>
        <w:instrText xml:space="preserve"> ADDIN EN.CITE &lt;EndNote&gt;&lt;Cite&gt;&lt;Author&gt;Lousada&lt;/Author&gt;&lt;Year&gt;2021&lt;/Year&gt;&lt;RecNum&gt;29102&lt;/RecNum&gt;&lt;DisplayText&gt;(13)&lt;/DisplayText&gt;&lt;record&gt;&lt;rec-number&gt;29102&lt;/rec-number&gt;&lt;foreign-keys&gt;&lt;key app="EN" db-id="xzvfpae2fxdffzes59g5pwd2dwdvvx0ss2x0" timestamp="1676545052" guid="2e39321c-1d03-4709-ab63-25b6f0118139"&gt;29102&lt;/key&gt;&lt;/foreign-keys&gt;&lt;ref-type name="Journal Article"&gt;17&lt;/ref-type&gt;&lt;contributors&gt;&lt;authors&gt;&lt;author&gt;Lousada, Lia Mesquita&lt;/author&gt;&lt;author&gt;Mendonca, Berenice B&lt;/author&gt;&lt;author&gt;Bachega, Tania ASS&lt;/author&gt;&lt;/authors&gt;&lt;/contributors&gt;&lt;titles&gt;&lt;title&gt;Adrenal crisis and mortality rate in adrenal insufficiency and congenital adrenal hyperplasia&lt;/title&gt;&lt;secondary-title&gt;Archives of Endocrinology and Metabolism&lt;/secondary-title&gt;&lt;/titles&gt;&lt;periodical&gt;&lt;full-title&gt;Archives of Endocrinology and Metabolism&lt;/full-title&gt;&lt;/periodical&gt;&lt;pages&gt;488-494&lt;/pages&gt;&lt;volume&gt;65&lt;/volume&gt;&lt;dates&gt;&lt;year&gt;2021&lt;/year&gt;&lt;/dates&gt;&lt;isbn&gt;2359-3997&lt;/isbn&gt;&lt;urls&gt;&lt;/urls&gt;&lt;/record&gt;&lt;/Cite&gt;&lt;/EndNote&gt;</w:instrText>
      </w:r>
      <w:r w:rsidR="008D3F54">
        <w:rPr>
          <w:rFonts w:asciiTheme="majorHAnsi" w:hAnsiTheme="majorHAnsi" w:cstheme="majorHAnsi"/>
          <w:sz w:val="22"/>
          <w:szCs w:val="22"/>
        </w:rPr>
        <w:fldChar w:fldCharType="separate"/>
      </w:r>
      <w:r w:rsidR="00C255A3">
        <w:rPr>
          <w:rFonts w:asciiTheme="majorHAnsi" w:hAnsiTheme="majorHAnsi" w:cstheme="majorHAnsi"/>
          <w:noProof/>
          <w:sz w:val="22"/>
          <w:szCs w:val="22"/>
        </w:rPr>
        <w:t>(13)</w:t>
      </w:r>
      <w:r w:rsidR="008D3F54">
        <w:rPr>
          <w:rFonts w:asciiTheme="majorHAnsi" w:hAnsiTheme="majorHAnsi" w:cstheme="majorHAnsi"/>
          <w:sz w:val="22"/>
          <w:szCs w:val="22"/>
        </w:rPr>
        <w:fldChar w:fldCharType="end"/>
      </w:r>
      <w:r w:rsidR="00F241AD">
        <w:rPr>
          <w:rFonts w:asciiTheme="majorHAnsi" w:hAnsiTheme="majorHAnsi" w:cstheme="majorHAnsi"/>
          <w:sz w:val="22"/>
          <w:szCs w:val="22"/>
        </w:rPr>
        <w:t>,</w:t>
      </w:r>
      <w:r w:rsidR="003C7DF5">
        <w:rPr>
          <w:rFonts w:asciiTheme="majorHAnsi" w:hAnsiTheme="majorHAnsi" w:cstheme="majorHAnsi"/>
          <w:sz w:val="22"/>
          <w:szCs w:val="22"/>
        </w:rPr>
        <w:t xml:space="preserve"> these patients receiving treatment retain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&lt;EndNote&gt;&lt;Cite&gt;&lt;Author&gt;Bergthorsdottir&lt;/Author&gt;&lt;Year&gt;2006&lt;/Year&gt;&lt;RecNum&gt;29114&lt;/RecNum&gt;&lt;DisplayText&gt;(14)&lt;/DisplayText&gt;&lt;record&gt;&lt;rec-number&gt;29114&lt;/rec-number&gt;&lt;foreign-keys&gt;&lt;key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0A46AC">
        <w:rPr>
          <w:rFonts w:asciiTheme="majorHAnsi" w:hAnsiTheme="majorHAnsi" w:cstheme="majorHAnsi"/>
          <w:noProof/>
          <w:sz w:val="22"/>
          <w:szCs w:val="22"/>
        </w:rPr>
        <w:t>(14)</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0A46AC">
        <w:rPr>
          <w:rFonts w:asciiTheme="majorHAnsi" w:hAnsiTheme="majorHAnsi" w:cstheme="majorHAnsi"/>
          <w:sz w:val="22"/>
          <w:szCs w:val="22"/>
        </w:rPr>
        <w:instrText xml:space="preserve"> ADDIN EN.CITE &lt;EndNote&gt;&lt;Cite&gt;&lt;Author&gt;Husebye&lt;/Author&gt;&lt;Year&gt;2021&lt;/Year&gt;&lt;RecNum&gt;29103&lt;/RecNum&gt;&lt;DisplayText&gt;(15)&lt;/DisplayText&gt;&lt;record&gt;&lt;rec-number&gt;29103&lt;/rec-number&gt;&lt;foreign-keys&gt;&lt;key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0A46AC">
        <w:rPr>
          <w:rFonts w:asciiTheme="majorHAnsi" w:hAnsiTheme="majorHAnsi" w:cstheme="majorHAnsi"/>
          <w:noProof/>
          <w:sz w:val="22"/>
          <w:szCs w:val="22"/>
        </w:rPr>
        <w:t>(15)</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It has also been established that 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may also confer a higher mortality</w:t>
      </w:r>
      <w:r w:rsidR="000002AF">
        <w:rPr>
          <w:rFonts w:asciiTheme="majorHAnsi" w:hAnsiTheme="majorHAnsi" w:cstheme="majorHAnsi"/>
          <w:sz w:val="22"/>
          <w:szCs w:val="22"/>
        </w:rPr>
        <w:t>.</w:t>
      </w:r>
      <w:r w:rsidR="000002AF" w:rsidDel="000002AF">
        <w:rPr>
          <w:rFonts w:asciiTheme="majorHAnsi" w:hAnsiTheme="majorHAnsi" w:cstheme="majorHAnsi"/>
          <w:sz w:val="22"/>
          <w:szCs w:val="22"/>
        </w:rPr>
        <w:t xml:space="preserve"> </w:t>
      </w:r>
      <w:r w:rsidR="003C7DF5">
        <w:rPr>
          <w:rFonts w:asciiTheme="majorHAnsi" w:hAnsiTheme="majorHAnsi" w:cstheme="majorHAnsi"/>
          <w:sz w:val="22"/>
          <w:szCs w:val="22"/>
        </w:rPr>
        <w:t>(Reference)</w:t>
      </w:r>
    </w:p>
    <w:p w14:paraId="5A287AAE" w14:textId="55710C41" w:rsidR="00DE5C72" w:rsidRPr="00DF24FE" w:rsidRDefault="00172936"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Since adrenal insufficiency is one of the endocrine complications of </w:t>
      </w:r>
      <w:proofErr w:type="gramStart"/>
      <w:r>
        <w:rPr>
          <w:rFonts w:asciiTheme="majorHAnsi" w:hAnsiTheme="majorHAnsi" w:cstheme="majorHAnsi"/>
          <w:sz w:val="22"/>
          <w:szCs w:val="22"/>
        </w:rPr>
        <w:t>HIV</w:t>
      </w:r>
      <w:r w:rsidR="00A96E70">
        <w:rPr>
          <w:rFonts w:asciiTheme="majorHAnsi" w:hAnsiTheme="majorHAnsi" w:cstheme="majorHAnsi"/>
          <w:sz w:val="22"/>
          <w:szCs w:val="22"/>
        </w:rPr>
        <w:t xml:space="preserve"> </w:t>
      </w:r>
      <w:commentRangeStart w:id="2"/>
      <w:commentRangeStart w:id="3"/>
      <w:r w:rsidR="00A96E70">
        <w:rPr>
          <w:rFonts w:asciiTheme="majorHAnsi" w:hAnsiTheme="majorHAnsi" w:cstheme="majorHAnsi"/>
          <w:sz w:val="22"/>
          <w:szCs w:val="22"/>
        </w:rPr>
        <w:t>,</w:t>
      </w:r>
      <w:proofErr w:type="gramEnd"/>
      <w:r w:rsidR="00A96E70">
        <w:rPr>
          <w:rFonts w:asciiTheme="majorHAnsi" w:hAnsiTheme="majorHAnsi" w:cstheme="majorHAnsi"/>
          <w:sz w:val="22"/>
          <w:szCs w:val="22"/>
        </w:rPr>
        <w:t xml:space="preserve"> </w:t>
      </w:r>
      <w:commentRangeEnd w:id="2"/>
      <w:r w:rsidR="003C7DF5">
        <w:rPr>
          <w:rStyle w:val="CommentReference"/>
          <w:rFonts w:ascii="Arial" w:hAnsi="Arial"/>
        </w:rPr>
        <w:commentReference w:id="2"/>
      </w:r>
      <w:commentRangeEnd w:id="3"/>
      <w:r w:rsidR="002A6563">
        <w:rPr>
          <w:rStyle w:val="CommentReference"/>
          <w:rFonts w:ascii="Arial" w:hAnsi="Arial"/>
        </w:rPr>
        <w:commentReference w:id="3"/>
      </w:r>
      <w:r w:rsidR="00A96E70">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it may </w:t>
      </w:r>
      <w:r w:rsidR="00CC5985">
        <w:rPr>
          <w:rFonts w:asciiTheme="majorHAnsi" w:hAnsiTheme="majorHAnsi" w:cstheme="majorHAnsi"/>
          <w:sz w:val="22"/>
          <w:szCs w:val="22"/>
        </w:rPr>
        <w:t xml:space="preserve">also </w:t>
      </w:r>
      <w:r>
        <w:rPr>
          <w:rFonts w:asciiTheme="majorHAnsi" w:hAnsiTheme="majorHAnsi" w:cstheme="majorHAnsi"/>
          <w:sz w:val="22"/>
          <w:szCs w:val="22"/>
        </w:rPr>
        <w:t xml:space="preserve">be one of the </w:t>
      </w:r>
      <w:r w:rsidR="00CC5985">
        <w:rPr>
          <w:rFonts w:asciiTheme="majorHAnsi" w:hAnsiTheme="majorHAnsi" w:cstheme="majorHAnsi"/>
          <w:sz w:val="22"/>
          <w:szCs w:val="22"/>
        </w:rPr>
        <w:t xml:space="preserve">additional </w:t>
      </w:r>
      <w:r>
        <w:rPr>
          <w:rFonts w:asciiTheme="majorHAnsi" w:hAnsiTheme="majorHAnsi" w:cstheme="majorHAnsi"/>
          <w:sz w:val="22"/>
          <w:szCs w:val="22"/>
        </w:rPr>
        <w:t>causes of mortality</w:t>
      </w:r>
      <w:r w:rsidR="00603322">
        <w:rPr>
          <w:rFonts w:asciiTheme="majorHAnsi" w:hAnsiTheme="majorHAnsi" w:cstheme="majorHAnsi"/>
          <w:sz w:val="22"/>
          <w:szCs w:val="22"/>
        </w:rPr>
        <w:t xml:space="preserve"> </w:t>
      </w:r>
      <w:proofErr w:type="spellStart"/>
      <w:r w:rsidR="004002F7">
        <w:rPr>
          <w:rFonts w:asciiTheme="majorHAnsi" w:hAnsiTheme="majorHAnsi" w:cstheme="majorHAnsi"/>
          <w:sz w:val="22"/>
          <w:szCs w:val="22"/>
        </w:rPr>
        <w:t>mortality</w:t>
      </w:r>
      <w:proofErr w:type="spellEnd"/>
      <w:r w:rsidR="004002F7">
        <w:rPr>
          <w:rFonts w:asciiTheme="majorHAnsi" w:hAnsiTheme="majorHAnsi" w:cstheme="majorHAnsi"/>
          <w:sz w:val="22"/>
          <w:szCs w:val="22"/>
        </w:rPr>
        <w:t>.</w:t>
      </w:r>
      <w:r w:rsidR="006D0316">
        <w:rPr>
          <w:rFonts w:asciiTheme="majorHAnsi" w:hAnsiTheme="majorHAnsi" w:cstheme="majorHAnsi"/>
          <w:sz w:val="22"/>
          <w:szCs w:val="22"/>
        </w:rPr>
        <w:t xml:space="preserve"> Moreover, we </w:t>
      </w:r>
      <w:r w:rsidR="00893BD4">
        <w:rPr>
          <w:rFonts w:asciiTheme="majorHAnsi" w:hAnsiTheme="majorHAnsi" w:cstheme="majorHAnsi"/>
          <w:sz w:val="22"/>
          <w:szCs w:val="22"/>
        </w:rPr>
        <w:t>considered that initiation of appropriate</w:t>
      </w:r>
      <w:r w:rsidR="006D0316">
        <w:rPr>
          <w:rFonts w:asciiTheme="majorHAnsi" w:hAnsiTheme="majorHAnsi" w:cstheme="majorHAnsi"/>
          <w:sz w:val="22"/>
          <w:szCs w:val="22"/>
        </w:rPr>
        <w:t xml:space="preserve"> replacement therapy for </w:t>
      </w:r>
      <w:r w:rsidR="00893BD4">
        <w:rPr>
          <w:rFonts w:asciiTheme="majorHAnsi" w:hAnsiTheme="majorHAnsi" w:cstheme="majorHAnsi"/>
          <w:sz w:val="22"/>
          <w:szCs w:val="22"/>
        </w:rPr>
        <w:t>adrenal insufficiency</w:t>
      </w:r>
      <w:r w:rsidR="000E1108">
        <w:rPr>
          <w:rFonts w:asciiTheme="majorHAnsi" w:hAnsiTheme="majorHAnsi" w:cstheme="majorHAnsi"/>
          <w:sz w:val="22"/>
          <w:szCs w:val="22"/>
        </w:rPr>
        <w:t xml:space="preserve"> may</w:t>
      </w:r>
      <w:r w:rsidR="00035B35">
        <w:rPr>
          <w:rFonts w:asciiTheme="majorHAnsi" w:hAnsiTheme="majorHAnsi" w:cstheme="majorHAnsi"/>
          <w:sz w:val="22"/>
          <w:szCs w:val="22"/>
        </w:rPr>
        <w:t xml:space="preserve"> confer a positive impact on mortality</w:t>
      </w:r>
      <w:r w:rsidR="00F251D1">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 hypoadrenalism 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 adrenal insufficiency</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4DFB1005" w:rsidR="00842C3A" w:rsidRDefault="00597270" w:rsidP="00BE52C6">
      <w:pPr>
        <w:pStyle w:val="BodyText"/>
        <w:jc w:val="both"/>
        <w:rPr>
          <w:rFonts w:asciiTheme="majorHAnsi" w:hAnsiTheme="majorHAnsi" w:cstheme="majorHAnsi"/>
          <w:sz w:val="22"/>
          <w:szCs w:val="22"/>
        </w:rPr>
      </w:pPr>
      <w:r w:rsidRPr="00520C2E">
        <w:rPr>
          <w:rFonts w:asciiTheme="majorHAnsi" w:hAnsiTheme="majorHAnsi" w:cstheme="majorHAnsi"/>
          <w:bCs/>
          <w:sz w:val="22"/>
          <w:szCs w:val="22"/>
        </w:rPr>
        <w:t>Permission to conduct the study</w:t>
      </w:r>
      <w:r w:rsidR="00272E55" w:rsidRPr="00520C2E">
        <w:rPr>
          <w:rFonts w:asciiTheme="majorHAnsi" w:hAnsiTheme="majorHAnsi" w:cstheme="majorHAnsi"/>
          <w:bCs/>
          <w:sz w:val="22"/>
          <w:szCs w:val="22"/>
        </w:rPr>
        <w:t xml:space="preserve"> (</w:t>
      </w:r>
      <w:proofErr w:type="spellStart"/>
      <w:r w:rsidR="00272E55" w:rsidRPr="00520C2E">
        <w:rPr>
          <w:rFonts w:asciiTheme="majorHAnsi" w:hAnsiTheme="majorHAnsi" w:cstheme="majorHAnsi"/>
          <w:bCs/>
          <w:sz w:val="22"/>
          <w:szCs w:val="22"/>
        </w:rPr>
        <w:t>HREC</w:t>
      </w:r>
      <w:proofErr w:type="spellEnd"/>
      <w:r w:rsidR="00272E55" w:rsidRPr="00520C2E">
        <w:rPr>
          <w:rFonts w:asciiTheme="majorHAnsi" w:hAnsiTheme="majorHAnsi" w:cstheme="majorHAnsi"/>
          <w:bCs/>
          <w:sz w:val="22"/>
          <w:szCs w:val="22"/>
        </w:rPr>
        <w:t xml:space="preserve"> 163/2015) </w:t>
      </w:r>
      <w:r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BE52C6">
        <w:rPr>
          <w:rFonts w:asciiTheme="majorHAnsi" w:hAnsiTheme="majorHAnsi" w:cstheme="majorHAnsi"/>
          <w:sz w:val="22"/>
          <w:szCs w:val="22"/>
        </w:rPr>
        <w:t xml:space="preserve"> the research and ethics committee permitted us to take retrospective consent, with the view of limiting bias and providing an opportunity for all patients to receive potentially life-saving treatment.</w:t>
      </w:r>
    </w:p>
    <w:p w14:paraId="7123A86D" w14:textId="70C907B0"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lastRenderedPageBreak/>
        <w:t>Inclusion</w:t>
      </w:r>
      <w:r w:rsidR="007E3AAE">
        <w:rPr>
          <w:rFonts w:asciiTheme="majorHAnsi" w:hAnsiTheme="majorHAnsi" w:cstheme="majorHAnsi"/>
          <w:i/>
          <w:iCs/>
          <w:sz w:val="22"/>
          <w:szCs w:val="22"/>
        </w:rPr>
        <w:t xml:space="preserve"> and exclusion criteria</w:t>
      </w:r>
    </w:p>
    <w:p w14:paraId="661E6371" w14:textId="6CBF1AB0"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 or inhaled steroids in the previous three 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372E47B3" w:rsidR="00E853BB" w:rsidRPr="001D2C61" w:rsidRDefault="00597270" w:rsidP="00BC3212">
      <w:pPr>
        <w:pStyle w:val="BodyText"/>
        <w:jc w:val="both"/>
        <w:rPr>
          <w:rFonts w:asciiTheme="majorHAnsi" w:hAnsiTheme="majorHAnsi" w:cstheme="majorHAnsi"/>
          <w:sz w:val="22"/>
          <w:szCs w:val="22"/>
        </w:rPr>
      </w:pPr>
      <w:r>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r w:rsidR="004A5836">
        <w:rPr>
          <w:rFonts w:asciiTheme="majorHAnsi" w:hAnsiTheme="majorHAnsi" w:cstheme="majorHAnsi"/>
          <w:sz w:val="22"/>
          <w:szCs w:val="22"/>
        </w:rPr>
        <w:t>Patients who met the inclusion criteria</w:t>
      </w:r>
      <w:r w:rsidR="00234404">
        <w:rPr>
          <w:rFonts w:asciiTheme="majorHAnsi" w:hAnsiTheme="majorHAnsi" w:cstheme="majorHAnsi"/>
          <w:sz w:val="22"/>
          <w:szCs w:val="22"/>
        </w:rPr>
        <w:t xml:space="preserve"> </w:t>
      </w:r>
      <w:r w:rsidR="004A5836">
        <w:rPr>
          <w:rFonts w:asciiTheme="majorHAnsi" w:hAnsiTheme="majorHAnsi" w:cstheme="majorHAnsi"/>
          <w:sz w:val="22"/>
          <w:szCs w:val="22"/>
        </w:rPr>
        <w:t>had blood samples taken for serum cortisol and plasma ACTH between 08:00 and 09:00</w:t>
      </w:r>
      <w:r w:rsidR="007E3AAE">
        <w:rPr>
          <w:rFonts w:asciiTheme="majorHAnsi" w:hAnsiTheme="majorHAnsi" w:cstheme="majorHAnsi"/>
          <w:sz w:val="22"/>
          <w:szCs w:val="22"/>
        </w:rPr>
        <w:t xml:space="preserve"> on the day of enrolment</w:t>
      </w:r>
      <w:r w:rsidR="004A5836">
        <w:rPr>
          <w:rFonts w:asciiTheme="majorHAnsi" w:hAnsiTheme="majorHAnsi" w:cstheme="majorHAnsi"/>
          <w:sz w:val="22"/>
          <w:szCs w:val="22"/>
        </w:rPr>
        <w:t>.</w:t>
      </w:r>
      <w:r w:rsidR="00BC3212">
        <w:rPr>
          <w:rFonts w:asciiTheme="majorHAnsi" w:hAnsiTheme="majorHAnsi" w:cstheme="majorHAnsi"/>
          <w:sz w:val="22"/>
          <w:szCs w:val="22"/>
        </w:rPr>
        <w:t xml:space="preserve"> </w:t>
      </w:r>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w:t>
      </w:r>
      <w:proofErr w:type="spellStart"/>
      <w:r w:rsidR="00D61422" w:rsidRPr="001D2C61">
        <w:rPr>
          <w:rFonts w:asciiTheme="majorHAnsi" w:hAnsiTheme="majorHAnsi" w:cstheme="majorHAnsi"/>
          <w:sz w:val="22"/>
          <w:szCs w:val="22"/>
        </w:rPr>
        <w:t>tetracosactide</w:t>
      </w:r>
      <w:proofErr w:type="spellEnd"/>
      <w:r w:rsidR="00D61422" w:rsidRPr="001D2C61">
        <w:rPr>
          <w:rFonts w:asciiTheme="majorHAnsi" w:hAnsiTheme="majorHAnsi" w:cstheme="majorHAnsi"/>
          <w:sz w:val="22"/>
          <w:szCs w:val="22"/>
        </w:rPr>
        <w:t xml:space="preserv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4586D31A" w:rsidR="00AD2C6B" w:rsidRDefault="00FE39B9" w:rsidP="00BD5E5A">
      <w:pPr>
        <w:spacing w:before="100" w:beforeAutospacing="1" w:after="100" w:afterAutospacing="1"/>
        <w:jc w:val="both"/>
        <w:outlineLvl w:val="2"/>
        <w:rPr>
          <w:rFonts w:ascii="Calibri" w:hAnsi="Calibri" w:cs="Calibri"/>
          <w:sz w:val="22"/>
          <w:szCs w:val="22"/>
        </w:rPr>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5A25F3">
        <w:rPr>
          <w:rFonts w:ascii="Calibri" w:hAnsi="Calibri" w:cs="Calibri"/>
          <w:sz w:val="22"/>
          <w:szCs w:val="22"/>
        </w:rPr>
        <w:t xml:space="preserve"> (</w:t>
      </w:r>
      <w:r w:rsidRPr="001D2C61">
        <w:rPr>
          <w:rFonts w:ascii="Calibri" w:hAnsi="Calibri" w:cs="Calibri"/>
          <w:sz w:val="22"/>
          <w:szCs w:val="22"/>
        </w:rPr>
        <w:t>and cortisol,</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6C3621" w:rsidRPr="001D2C61">
        <w:rPr>
          <w:rFonts w:ascii="Calibri" w:hAnsi="Calibri" w:cs="Calibri"/>
          <w:sz w:val="22"/>
          <w:szCs w:val="22"/>
        </w:rPr>
        <w:t xml:space="preserve"> and</w:t>
      </w:r>
      <w:r w:rsidR="00243C94" w:rsidRPr="001D2C61">
        <w:rPr>
          <w:rFonts w:ascii="Calibri" w:hAnsi="Calibri" w:cs="Calibri"/>
          <w:sz w:val="22"/>
          <w:szCs w:val="22"/>
        </w:rPr>
        <w:t xml:space="preserve"> plasma</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36549F" w:rsidRPr="001D2C61">
        <w:rPr>
          <w:rFonts w:ascii="Calibri" w:hAnsi="Calibri" w:cs="Calibri"/>
          <w:sz w:val="22"/>
          <w:szCs w:val="22"/>
        </w:rPr>
        <w:t xml:space="preserve">Lancet laboratory </w:t>
      </w:r>
      <w:r w:rsidR="00256AA7">
        <w:rPr>
          <w:rFonts w:ascii="Calibri" w:hAnsi="Calibri" w:cs="Calibri"/>
          <w:sz w:val="22"/>
          <w:szCs w:val="22"/>
        </w:rPr>
        <w:t>which analyzed</w:t>
      </w:r>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Cobas</w:t>
      </w:r>
      <w:r w:rsidR="0060364E">
        <w:rPr>
          <w:rFonts w:ascii="Calibri" w:hAnsi="Calibri" w:cs="Calibri"/>
          <w:sz w:val="22"/>
          <w:szCs w:val="22"/>
        </w:rPr>
        <w:t xml:space="preserve"> immunoassay</w:t>
      </w:r>
      <w:r w:rsidR="00295337" w:rsidRPr="001D2C61">
        <w:rPr>
          <w:rFonts w:ascii="Calibri" w:hAnsi="Calibri" w:cs="Calibri"/>
          <w:sz w:val="22"/>
          <w:szCs w:val="22"/>
        </w:rPr>
        <w:t xml:space="preserve"> </w:t>
      </w:r>
      <w:r w:rsidR="00E72E61">
        <w:rPr>
          <w:rFonts w:ascii="Calibri" w:hAnsi="Calibri" w:cs="Calibri"/>
          <w:sz w:val="22"/>
          <w:szCs w:val="22"/>
        </w:rPr>
        <w:t>plat</w:t>
      </w:r>
      <w:r w:rsidR="00011F77">
        <w:rPr>
          <w:rFonts w:ascii="Calibri" w:hAnsi="Calibri" w:cs="Calibri"/>
          <w:sz w:val="22"/>
          <w:szCs w:val="22"/>
        </w:rPr>
        <w:t>form</w:t>
      </w:r>
      <w:r w:rsidR="007E3AAE">
        <w:rPr>
          <w:rFonts w:ascii="Calibri" w:hAnsi="Calibri" w:cs="Calibri"/>
          <w:sz w:val="22"/>
          <w:szCs w:val="22"/>
        </w:rPr>
        <w:t>.</w:t>
      </w:r>
      <w:r w:rsidR="00C01D4B">
        <w:rPr>
          <w:rFonts w:ascii="Calibri" w:hAnsi="Calibri" w:cs="Calibri"/>
          <w:sz w:val="22"/>
          <w:szCs w:val="22"/>
        </w:rPr>
        <w:t xml:space="preserve"> </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commentRangeStart w:id="4"/>
      <w:commentRangeStart w:id="5"/>
      <w:r>
        <w:rPr>
          <w:rFonts w:ascii="Calibri" w:hAnsi="Calibri" w:cs="Calibri"/>
          <w:i/>
          <w:iCs/>
          <w:sz w:val="22"/>
          <w:szCs w:val="22"/>
        </w:rPr>
        <w:t>The</w:t>
      </w:r>
      <w:commentRangeEnd w:id="4"/>
      <w:r w:rsidR="007E3AAE">
        <w:rPr>
          <w:rStyle w:val="CommentReference"/>
          <w:rFonts w:ascii="Arial" w:hAnsi="Arial"/>
        </w:rPr>
        <w:commentReference w:id="4"/>
      </w:r>
      <w:commentRangeEnd w:id="5"/>
      <w:r w:rsidR="00BD7EBB">
        <w:rPr>
          <w:rStyle w:val="CommentReference"/>
          <w:rFonts w:ascii="Arial" w:hAnsi="Arial"/>
        </w:rPr>
        <w:commentReference w:id="5"/>
      </w:r>
      <w:r>
        <w:rPr>
          <w:rFonts w:ascii="Calibri" w:hAnsi="Calibri" w:cs="Calibri"/>
          <w:i/>
          <w:iCs/>
          <w:sz w:val="22"/>
          <w:szCs w:val="22"/>
        </w:rPr>
        <w:t xml:space="preserve"> </w:t>
      </w:r>
      <w:proofErr w:type="spellStart"/>
      <w:r w:rsidR="00F23499">
        <w:rPr>
          <w:rFonts w:ascii="Calibri" w:hAnsi="Calibri" w:cs="Calibri"/>
          <w:i/>
          <w:iCs/>
          <w:sz w:val="22"/>
          <w:szCs w:val="22"/>
        </w:rPr>
        <w:t>tetracosactide</w:t>
      </w:r>
      <w:proofErr w:type="spellEnd"/>
      <w:r w:rsidR="00F23499">
        <w:rPr>
          <w:rFonts w:ascii="Calibri" w:hAnsi="Calibri" w:cs="Calibri"/>
          <w:i/>
          <w:iCs/>
          <w:sz w:val="22"/>
          <w:szCs w:val="22"/>
        </w:rPr>
        <w:t xml:space="preserve"> </w:t>
      </w:r>
      <w:r w:rsidR="00F23499" w:rsidRPr="009508A5">
        <w:rPr>
          <w:rFonts w:ascii="Calibri" w:hAnsi="Calibri" w:cs="Calibri"/>
          <w:i/>
          <w:iCs/>
          <w:sz w:val="22"/>
          <w:szCs w:val="22"/>
        </w:rPr>
        <w:t>test</w:t>
      </w:r>
    </w:p>
    <w:p w14:paraId="597BB17D" w14:textId="3D5EE204" w:rsidR="008557BC" w:rsidRPr="00242E72" w:rsidRDefault="00AD2C6B" w:rsidP="00267310">
      <w:pPr>
        <w:spacing w:before="100" w:beforeAutospacing="1" w:after="100" w:afterAutospacing="1"/>
        <w:jc w:val="both"/>
        <w:outlineLvl w:val="2"/>
        <w:rPr>
          <w:rFonts w:ascii="Calibri" w:hAnsi="Calibri" w:cs="Calibri"/>
          <w:sz w:val="22"/>
          <w:szCs w:val="22"/>
        </w:rPr>
      </w:pPr>
      <w:r w:rsidRPr="00AD2C6B">
        <w:rPr>
          <w:rFonts w:ascii="Calibri" w:hAnsi="Calibri" w:cs="Calibri"/>
          <w:sz w:val="22"/>
          <w:szCs w:val="22"/>
        </w:rPr>
        <w:t xml:space="preserve">The samples for plasma ACTH and cortisol were submitted to the National Health Laboratory Services (NHLS). The </w:t>
      </w:r>
      <w:r w:rsidR="00242E72">
        <w:rPr>
          <w:rFonts w:ascii="Calibri" w:hAnsi="Calibri" w:cs="Calibri"/>
          <w:sz w:val="22"/>
          <w:szCs w:val="22"/>
        </w:rPr>
        <w:t xml:space="preserve">method </w:t>
      </w:r>
      <w:r w:rsidRPr="00AD2C6B">
        <w:rPr>
          <w:rFonts w:ascii="Calibri" w:hAnsi="Calibri" w:cs="Calibri"/>
          <w:sz w:val="22"/>
          <w:szCs w:val="22"/>
        </w:rPr>
        <w:t>employed by this laboratory is the</w:t>
      </w:r>
      <w:r w:rsidR="00492FD6">
        <w:rPr>
          <w:rFonts w:ascii="Calibri" w:hAnsi="Calibri" w:cs="Calibri"/>
          <w:sz w:val="22"/>
          <w:szCs w:val="22"/>
        </w:rPr>
        <w:t xml:space="preserve"> </w:t>
      </w:r>
      <w:r w:rsidR="00242E72">
        <w:rPr>
          <w:rFonts w:ascii="Calibri" w:hAnsi="Calibri" w:cs="Calibri"/>
          <w:sz w:val="22"/>
          <w:szCs w:val="22"/>
        </w:rPr>
        <w:t>Roche (</w:t>
      </w:r>
      <w:r w:rsidR="00492FD6">
        <w:rPr>
          <w:rFonts w:ascii="Calibri" w:hAnsi="Calibri" w:cs="Calibri"/>
          <w:sz w:val="22"/>
          <w:szCs w:val="22"/>
        </w:rPr>
        <w:t>Modular Analytics E170</w:t>
      </w:r>
      <w:r w:rsidR="007E3AAE">
        <w:rPr>
          <w:rFonts w:ascii="Calibri" w:hAnsi="Calibri" w:cs="Calibri"/>
          <w:sz w:val="22"/>
          <w:szCs w:val="22"/>
        </w:rPr>
        <w:t xml:space="preserve">). Blood was taken at 0 minutes for serum cortisol, followed by 250 µg of </w:t>
      </w:r>
      <w:proofErr w:type="spellStart"/>
      <w:r w:rsidR="007E3AAE">
        <w:rPr>
          <w:rFonts w:ascii="Calibri" w:hAnsi="Calibri" w:cs="Calibri"/>
          <w:sz w:val="22"/>
          <w:szCs w:val="22"/>
        </w:rPr>
        <w:t>tetracosactide</w:t>
      </w:r>
      <w:proofErr w:type="spellEnd"/>
      <w:r w:rsidR="007E3AAE">
        <w:rPr>
          <w:rFonts w:ascii="Calibri" w:hAnsi="Calibri" w:cs="Calibri"/>
          <w:sz w:val="22"/>
          <w:szCs w:val="22"/>
        </w:rPr>
        <w:t xml:space="preserve"> administered intravenously and a </w:t>
      </w:r>
      <w:r w:rsidR="002A6563">
        <w:rPr>
          <w:rFonts w:ascii="Calibri" w:hAnsi="Calibri" w:cs="Calibri"/>
          <w:sz w:val="22"/>
          <w:szCs w:val="22"/>
        </w:rPr>
        <w:t>30-minute</w:t>
      </w:r>
      <w:r w:rsidR="007E3AAE">
        <w:rPr>
          <w:rFonts w:ascii="Calibri" w:hAnsi="Calibri" w:cs="Calibri"/>
          <w:sz w:val="22"/>
          <w:szCs w:val="22"/>
        </w:rPr>
        <w:t xml:space="preserve"> serum cortisol was taken at conclusion of the test.</w:t>
      </w:r>
      <w:r w:rsidR="007E3AAE" w:rsidRPr="007E3AAE">
        <w:rPr>
          <w:rFonts w:ascii="Calibri" w:hAnsi="Calibri" w:cs="Calibri"/>
          <w:sz w:val="22"/>
          <w:szCs w:val="22"/>
        </w:rPr>
        <w:t xml:space="preserve"> Adrenal insufficiency</w:t>
      </w:r>
      <w:r w:rsidR="007E3AAE">
        <w:rPr>
          <w:rFonts w:ascii="Calibri" w:hAnsi="Calibri" w:cs="Calibri"/>
          <w:sz w:val="22"/>
          <w:szCs w:val="22"/>
        </w:rPr>
        <w:t xml:space="preserve"> was </w:t>
      </w:r>
      <w:r w:rsidR="007E3AAE" w:rsidRPr="007E3AAE">
        <w:rPr>
          <w:rFonts w:ascii="Calibri" w:hAnsi="Calibri" w:cs="Calibri"/>
          <w:sz w:val="22"/>
          <w:szCs w:val="22"/>
        </w:rPr>
        <w:t>excluded</w:t>
      </w:r>
      <w:r w:rsidR="007E3AAE">
        <w:rPr>
          <w:rFonts w:ascii="Calibri" w:hAnsi="Calibri" w:cs="Calibri"/>
          <w:sz w:val="22"/>
          <w:szCs w:val="22"/>
        </w:rPr>
        <w:t xml:space="preserve"> 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 exceeded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plasma ACTH which is twofold the upper limit of the reference range </w:t>
      </w:r>
      <w:proofErr w:type="gramStart"/>
      <w:r w:rsidR="00BD7EBB">
        <w:rPr>
          <w:rFonts w:ascii="Calibri" w:hAnsi="Calibri" w:cs="Calibri"/>
          <w:sz w:val="22"/>
          <w:szCs w:val="22"/>
        </w:rPr>
        <w:t>( 67.7</w:t>
      </w:r>
      <w:proofErr w:type="gramEnd"/>
      <w:r w:rsidR="00BD7EBB">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 xml:space="preserve">/mL) </w:t>
      </w:r>
      <w:r w:rsidR="00BD7EBB" w:rsidRPr="00BD7EBB">
        <w:rPr>
          <w:rFonts w:ascii="Calibri" w:hAnsi="Calibri" w:cs="Calibri"/>
          <w:sz w:val="22"/>
          <w:szCs w:val="22"/>
        </w:rPr>
        <w:t>is consistent with primary adrenal insufficiency</w:t>
      </w:r>
      <w:r w:rsidR="00BD7EBB">
        <w:rPr>
          <w:rFonts w:ascii="Calibri" w:hAnsi="Calibri" w:cs="Calibri"/>
          <w:sz w:val="22"/>
          <w:szCs w:val="22"/>
        </w:rPr>
        <w:t xml:space="preserve">, </w:t>
      </w:r>
      <w:r w:rsidR="007E3AAE">
        <w:rPr>
          <w:rFonts w:ascii="Calibri" w:hAnsi="Calibri" w:cs="Calibri"/>
          <w:sz w:val="22"/>
          <w:szCs w:val="22"/>
        </w:rPr>
        <w:t>(</w:t>
      </w:r>
      <w:r w:rsidR="002A6563">
        <w:rPr>
          <w:rFonts w:ascii="Calibri" w:hAnsi="Calibri" w:cs="Calibri"/>
          <w:sz w:val="22"/>
          <w:szCs w:val="22"/>
        </w:rPr>
        <w:t>Bornstein et al 2016)</w:t>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8E3AEF">
        <w:rPr>
          <w:rFonts w:ascii="Calibri" w:hAnsi="Calibri" w:cs="Calibri"/>
          <w:sz w:val="22"/>
          <w:szCs w:val="22"/>
        </w:rPr>
        <w:t xml:space="preserve">low or normal </w:t>
      </w:r>
      <w:r w:rsidR="00BD7EBB" w:rsidRPr="00BD7EBB">
        <w:rPr>
          <w:rFonts w:ascii="Calibri" w:hAnsi="Calibri" w:cs="Calibri"/>
          <w:sz w:val="22"/>
          <w:szCs w:val="22"/>
        </w:rPr>
        <w:t xml:space="preserve">ACTH </w:t>
      </w:r>
      <w:r w:rsidR="008E3AEF">
        <w:rPr>
          <w:rFonts w:ascii="Calibri" w:hAnsi="Calibri" w:cs="Calibri"/>
          <w:sz w:val="22"/>
          <w:szCs w:val="22"/>
        </w:rPr>
        <w:t xml:space="preserve">is consistent with secondary adrenal insufficiency. </w:t>
      </w:r>
      <w:proofErr w:type="gramStart"/>
      <w:r w:rsidR="008E3AEF">
        <w:rPr>
          <w:rFonts w:ascii="Calibri" w:hAnsi="Calibri" w:cs="Calibri"/>
          <w:sz w:val="22"/>
          <w:szCs w:val="22"/>
        </w:rPr>
        <w:t>(</w:t>
      </w:r>
      <w:r w:rsidR="003504DD">
        <w:rPr>
          <w:rFonts w:ascii="Calibri" w:hAnsi="Calibri" w:cs="Calibri"/>
          <w:sz w:val="22"/>
          <w:szCs w:val="22"/>
        </w:rPr>
        <w:t xml:space="preserve"> </w:t>
      </w:r>
      <w:proofErr w:type="spellStart"/>
      <w:r w:rsidR="008E3AEF">
        <w:rPr>
          <w:rFonts w:ascii="Calibri" w:hAnsi="Calibri" w:cs="Calibri"/>
          <w:sz w:val="22"/>
          <w:szCs w:val="22"/>
        </w:rPr>
        <w:t>Pazderka</w:t>
      </w:r>
      <w:proofErr w:type="spellEnd"/>
      <w:proofErr w:type="gramEnd"/>
      <w:r w:rsidR="008E3AEF">
        <w:rPr>
          <w:rFonts w:ascii="Calibri" w:hAnsi="Calibri" w:cs="Calibri"/>
          <w:sz w:val="22"/>
          <w:szCs w:val="22"/>
        </w:rPr>
        <w:t xml:space="preserve"> et al 2017)</w:t>
      </w:r>
    </w:p>
    <w:p w14:paraId="4079408A" w14:textId="77777777"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46E40545" w:rsidR="004A5836" w:rsidRPr="00DF24FE" w:rsidRDefault="00707B86" w:rsidP="00717B4A">
      <w:pPr>
        <w:pStyle w:val="BodyText"/>
        <w:tabs>
          <w:tab w:val="left" w:pos="4180"/>
        </w:tabs>
        <w:rPr>
          <w:rFonts w:asciiTheme="majorHAnsi" w:hAnsiTheme="majorHAnsi" w:cstheme="majorHAnsi"/>
          <w:sz w:val="22"/>
          <w:szCs w:val="22"/>
        </w:rPr>
      </w:pPr>
      <w:r>
        <w:rPr>
          <w:rFonts w:asciiTheme="majorHAnsi" w:hAnsiTheme="majorHAnsi" w:cstheme="majorHAnsi"/>
          <w:sz w:val="22"/>
          <w:szCs w:val="22"/>
        </w:rPr>
        <w:t>Telephonic follow-up was done to determine</w:t>
      </w:r>
      <w:r w:rsidR="00DE48B7">
        <w:rPr>
          <w:rFonts w:asciiTheme="majorHAnsi" w:hAnsiTheme="majorHAnsi" w:cstheme="majorHAnsi"/>
          <w:sz w:val="22"/>
          <w:szCs w:val="22"/>
        </w:rPr>
        <w:t xml:space="preserve"> </w:t>
      </w:r>
      <w:r>
        <w:rPr>
          <w:rFonts w:asciiTheme="majorHAnsi" w:hAnsiTheme="majorHAnsi" w:cstheme="majorHAnsi"/>
          <w:sz w:val="22"/>
          <w:szCs w:val="22"/>
        </w:rPr>
        <w:t xml:space="preserve">post discharge </w:t>
      </w:r>
      <w:r w:rsidR="00DE48B7">
        <w:rPr>
          <w:rFonts w:asciiTheme="majorHAnsi" w:hAnsiTheme="majorHAnsi" w:cstheme="majorHAnsi"/>
          <w:sz w:val="22"/>
          <w:szCs w:val="22"/>
        </w:rPr>
        <w:t>survival</w:t>
      </w:r>
      <w:r>
        <w:rPr>
          <w:rFonts w:asciiTheme="majorHAnsi" w:hAnsiTheme="majorHAnsi" w:cstheme="majorHAnsi"/>
          <w:sz w:val="22"/>
          <w:szCs w:val="22"/>
        </w:rPr>
        <w:t xml:space="preserve"> via 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virtue of their attendance at various clinics in the drainage area of our tertiary hospital facility. </w:t>
      </w:r>
    </w:p>
    <w:p w14:paraId="5633523A" w14:textId="77777777"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5B5A0A7B" w:rsidR="00870B31" w:rsidRDefault="00EA4966" w:rsidP="008C4299">
      <w:pPr>
        <w:pStyle w:val="BodyText"/>
        <w:jc w:val="both"/>
        <w:rPr>
          <w:rFonts w:asciiTheme="majorHAnsi" w:hAnsiTheme="majorHAnsi" w:cstheme="majorHAnsi"/>
          <w:b/>
          <w:sz w:val="22"/>
          <w:szCs w:val="22"/>
        </w:rPr>
      </w:pPr>
      <w:r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Pr="00DF24FE">
        <w:rPr>
          <w:rFonts w:asciiTheme="majorHAnsi" w:hAnsiTheme="majorHAnsi" w:cstheme="majorHAnsi"/>
          <w:sz w:val="22"/>
          <w:szCs w:val="22"/>
        </w:rPr>
        <w:t xml:space="preserve">as </w:t>
      </w:r>
      <w:r w:rsidRPr="00DF24FE">
        <w:rPr>
          <w:rFonts w:asciiTheme="majorHAnsi" w:hAnsiTheme="majorHAnsi" w:cstheme="majorHAnsi"/>
          <w:noProof/>
          <w:sz w:val="22"/>
          <w:szCs w:val="22"/>
        </w:rPr>
        <w:t>appropriate</w:t>
      </w:r>
      <w:r w:rsidRPr="00DF24FE">
        <w:rPr>
          <w:rFonts w:asciiTheme="majorHAnsi" w:hAnsiTheme="majorHAnsi" w:cstheme="majorHAnsi"/>
          <w:sz w:val="22"/>
          <w:szCs w:val="22"/>
        </w:rPr>
        <w:t xml:space="preserve">.  Univariate logistic regression was used to </w:t>
      </w:r>
      <w:r w:rsidRPr="00DF24FE">
        <w:rPr>
          <w:rFonts w:asciiTheme="majorHAnsi" w:hAnsiTheme="majorHAnsi" w:cstheme="majorHAnsi"/>
          <w:noProof/>
          <w:sz w:val="22"/>
          <w:szCs w:val="22"/>
        </w:rPr>
        <w:t>estimate</w:t>
      </w:r>
      <w:r w:rsidRPr="00DF24FE">
        <w:rPr>
          <w:rFonts w:asciiTheme="majorHAnsi" w:hAnsiTheme="majorHAnsi" w:cstheme="majorHAnsi"/>
          <w:sz w:val="22"/>
          <w:szCs w:val="22"/>
        </w:rPr>
        <w:t xml:space="preserve"> the association between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and various risk factors.  Multivariable logistic regression analysis was used to identify independent predictors of </w:t>
      </w:r>
      <w:r w:rsidR="00BA725A" w:rsidRPr="00DF24FE">
        <w:rPr>
          <w:rFonts w:asciiTheme="majorHAnsi" w:hAnsiTheme="majorHAnsi" w:cstheme="majorHAnsi"/>
          <w:sz w:val="22"/>
          <w:szCs w:val="22"/>
        </w:rPr>
        <w:t>AI</w:t>
      </w:r>
      <w:r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Statistical analyses were performed </w:t>
      </w:r>
      <w:r w:rsidR="00BA725A" w:rsidRPr="00DF24FE">
        <w:rPr>
          <w:rFonts w:asciiTheme="majorHAnsi" w:hAnsiTheme="majorHAnsi" w:cstheme="majorHAnsi"/>
          <w:sz w:val="22"/>
          <w:szCs w:val="22"/>
        </w:rPr>
        <w:t xml:space="preserve">using </w:t>
      </w:r>
      <w:commentRangeStart w:id="6"/>
      <w:commentRangeStart w:id="7"/>
      <w:r w:rsidR="00BA725A" w:rsidRPr="00DF24FE">
        <w:rPr>
          <w:rFonts w:asciiTheme="majorHAnsi" w:hAnsiTheme="majorHAnsi" w:cstheme="majorHAnsi"/>
          <w:sz w:val="22"/>
          <w:szCs w:val="22"/>
        </w:rPr>
        <w:t>STATA Statistical Software version 15</w:t>
      </w:r>
      <w:commentRangeEnd w:id="6"/>
      <w:r w:rsidR="0017050F">
        <w:rPr>
          <w:rStyle w:val="CommentReference"/>
          <w:rFonts w:ascii="Arial" w:hAnsi="Arial"/>
        </w:rPr>
        <w:commentReference w:id="6"/>
      </w:r>
      <w:commentRangeEnd w:id="7"/>
      <w:r w:rsidR="003504DD">
        <w:rPr>
          <w:rStyle w:val="CommentReference"/>
          <w:rFonts w:ascii="Arial" w:hAnsi="Arial"/>
        </w:rPr>
        <w:commentReference w:id="7"/>
      </w:r>
      <w:r w:rsidR="003504DD">
        <w:rPr>
          <w:rFonts w:asciiTheme="majorHAnsi" w:hAnsiTheme="majorHAnsi" w:cstheme="majorHAnsi"/>
          <w:sz w:val="22"/>
          <w:szCs w:val="22"/>
        </w:rPr>
        <w:t xml:space="preserve"> (</w:t>
      </w:r>
      <w:proofErr w:type="spellStart"/>
      <w:r w:rsidR="003504DD">
        <w:rPr>
          <w:rFonts w:asciiTheme="majorHAnsi" w:hAnsiTheme="majorHAnsi" w:cstheme="majorHAnsi"/>
          <w:sz w:val="22"/>
          <w:szCs w:val="22"/>
        </w:rPr>
        <w:t>StataCorp</w:t>
      </w:r>
      <w:proofErr w:type="spellEnd"/>
      <w:r w:rsidR="003504DD">
        <w:rPr>
          <w:rFonts w:asciiTheme="majorHAnsi" w:hAnsiTheme="majorHAnsi" w:cstheme="majorHAnsi"/>
          <w:sz w:val="22"/>
          <w:szCs w:val="22"/>
        </w:rPr>
        <w:t>, College Station, Tx, USA, 2017)</w:t>
      </w:r>
      <w:r w:rsidR="00BA725A"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 xml:space="preserve">we described those who were discharged from the hospital within 3 months (early survivors), followed by 6 months (intermediate survivors), and 12 months follow-up (late survivors). </w:t>
      </w:r>
    </w:p>
    <w:p w14:paraId="2E8319BF" w14:textId="05A77FD1"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Results:</w:t>
      </w:r>
      <w:r w:rsidR="008D3B01">
        <w:rPr>
          <w:rFonts w:asciiTheme="majorHAnsi" w:hAnsiTheme="majorHAnsi" w:cstheme="majorHAnsi"/>
          <w:b/>
          <w:sz w:val="22"/>
          <w:szCs w:val="22"/>
        </w:rPr>
        <w:t xml:space="preserve"> Awaiting the </w:t>
      </w:r>
      <w:r w:rsidR="008A3CAC">
        <w:rPr>
          <w:rFonts w:asciiTheme="majorHAnsi" w:hAnsiTheme="majorHAnsi" w:cstheme="majorHAnsi"/>
          <w:b/>
          <w:sz w:val="22"/>
          <w:szCs w:val="22"/>
        </w:rPr>
        <w:t xml:space="preserve">analysis of the </w:t>
      </w:r>
      <w:r w:rsidR="008D3B01">
        <w:rPr>
          <w:rFonts w:asciiTheme="majorHAnsi" w:hAnsiTheme="majorHAnsi" w:cstheme="majorHAnsi"/>
          <w:b/>
          <w:sz w:val="22"/>
          <w:szCs w:val="22"/>
        </w:rPr>
        <w:t xml:space="preserve">final / complete 559 participant dataset </w:t>
      </w:r>
    </w:p>
    <w:p w14:paraId="272D7054" w14:textId="6348A16A" w:rsidR="00DA72C6"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533 patients were recruited</w:t>
      </w:r>
      <w:r w:rsidR="0017050F">
        <w:rPr>
          <w:rFonts w:asciiTheme="majorHAnsi" w:hAnsiTheme="majorHAnsi" w:cstheme="majorHAnsi"/>
          <w:sz w:val="22"/>
          <w:szCs w:val="22"/>
        </w:rPr>
        <w:t xml:space="preserve">, of whom </w:t>
      </w:r>
      <w:r w:rsidR="00BC28FB">
        <w:rPr>
          <w:rFonts w:asciiTheme="majorHAnsi" w:hAnsiTheme="majorHAnsi" w:cstheme="majorHAnsi"/>
          <w:sz w:val="22"/>
          <w:szCs w:val="22"/>
        </w:rPr>
        <w:t>5</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528</w:t>
      </w:r>
      <w:r w:rsidR="0017050F">
        <w:rPr>
          <w:rFonts w:asciiTheme="majorHAnsi" w:hAnsiTheme="majorHAnsi" w:cstheme="majorHAnsi"/>
          <w:sz w:val="22"/>
          <w:szCs w:val="22"/>
        </w:rPr>
        <w:t xml:space="preserve"> participants were included in the final analysis. H</w:t>
      </w:r>
      <w:r>
        <w:rPr>
          <w:rFonts w:asciiTheme="majorHAnsi" w:hAnsiTheme="majorHAnsi" w:cstheme="majorHAnsi"/>
          <w:sz w:val="22"/>
          <w:szCs w:val="22"/>
        </w:rPr>
        <w:t xml:space="preserve">. </w:t>
      </w:r>
      <w:r w:rsidRPr="00DE48B7">
        <w:rPr>
          <w:rFonts w:asciiTheme="majorHAnsi" w:hAnsiTheme="majorHAnsi" w:cstheme="majorHAnsi"/>
          <w:sz w:val="22"/>
          <w:szCs w:val="22"/>
        </w:rPr>
        <w:t>The median age at enrollment was 36</w:t>
      </w:r>
      <w:r>
        <w:rPr>
          <w:rFonts w:asciiTheme="majorHAnsi" w:hAnsiTheme="majorHAnsi" w:cstheme="majorHAnsi"/>
          <w:sz w:val="22"/>
          <w:szCs w:val="22"/>
        </w:rPr>
        <w:t xml:space="preserve"> years </w:t>
      </w:r>
      <w:r w:rsidR="000F7AA7">
        <w:rPr>
          <w:rFonts w:asciiTheme="majorHAnsi" w:hAnsiTheme="majorHAnsi" w:cstheme="majorHAnsi"/>
          <w:sz w:val="22"/>
          <w:szCs w:val="22"/>
        </w:rPr>
        <w:t>[interquartile range (</w:t>
      </w:r>
      <w:proofErr w:type="spellStart"/>
      <w:r>
        <w:rPr>
          <w:rFonts w:asciiTheme="majorHAnsi" w:hAnsiTheme="majorHAnsi" w:cstheme="majorHAnsi"/>
          <w:sz w:val="22"/>
          <w:szCs w:val="22"/>
        </w:rPr>
        <w:t>IQR</w:t>
      </w:r>
      <w:proofErr w:type="spellEnd"/>
      <w:r w:rsidR="000F7AA7">
        <w:rPr>
          <w:rFonts w:asciiTheme="majorHAnsi" w:hAnsiTheme="majorHAnsi" w:cstheme="majorHAnsi"/>
          <w:sz w:val="22"/>
          <w:szCs w:val="22"/>
        </w:rPr>
        <w:t xml:space="preserve">) </w:t>
      </w:r>
      <w:r>
        <w:rPr>
          <w:rFonts w:asciiTheme="majorHAnsi" w:hAnsiTheme="majorHAnsi" w:cstheme="majorHAnsi"/>
          <w:sz w:val="22"/>
          <w:szCs w:val="22"/>
        </w:rPr>
        <w:t>31.0-42.0)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gender median age for males was…. (insert interquartile range)</w:t>
      </w:r>
      <w:r w:rsidR="00892059">
        <w:rPr>
          <w:rFonts w:asciiTheme="majorHAnsi" w:hAnsiTheme="majorHAnsi" w:cstheme="majorHAnsi"/>
          <w:sz w:val="22"/>
          <w:szCs w:val="22"/>
        </w:rPr>
        <w:t xml:space="preserve"> </w:t>
      </w:r>
      <w:r w:rsidRPr="00DE48B7">
        <w:rPr>
          <w:rFonts w:asciiTheme="majorHAnsi" w:hAnsiTheme="majorHAnsi" w:cstheme="majorHAnsi"/>
          <w:sz w:val="22"/>
          <w:szCs w:val="22"/>
        </w:rPr>
        <w:t>females</w:t>
      </w:r>
      <w:r w:rsidR="000F7AA7">
        <w:rPr>
          <w:rFonts w:asciiTheme="majorHAnsi" w:hAnsiTheme="majorHAnsi" w:cstheme="majorHAnsi"/>
          <w:sz w:val="22"/>
          <w:szCs w:val="22"/>
        </w:rPr>
        <w:t xml:space="preserve"> </w:t>
      </w:r>
      <w:proofErr w:type="gramStart"/>
      <w:r w:rsidR="000F7AA7">
        <w:rPr>
          <w:rFonts w:asciiTheme="majorHAnsi" w:hAnsiTheme="majorHAnsi" w:cstheme="majorHAnsi"/>
          <w:sz w:val="22"/>
          <w:szCs w:val="22"/>
        </w:rPr>
        <w:t>….(</w:t>
      </w:r>
      <w:proofErr w:type="gramEnd"/>
      <w:r w:rsidRPr="00DE48B7">
        <w:rPr>
          <w:rFonts w:asciiTheme="majorHAnsi" w:hAnsiTheme="majorHAnsi" w:cstheme="majorHAnsi"/>
          <w:sz w:val="22"/>
          <w:szCs w:val="22"/>
        </w:rPr>
        <w:t xml:space="preserve"> </w:t>
      </w:r>
      <w:r w:rsidR="000F7AA7">
        <w:rPr>
          <w:rFonts w:asciiTheme="majorHAnsi" w:hAnsiTheme="majorHAnsi" w:cstheme="majorHAnsi"/>
          <w:sz w:val="22"/>
          <w:szCs w:val="22"/>
        </w:rPr>
        <w:t xml:space="preserve">Insert interquartile range) </w:t>
      </w:r>
      <w:r w:rsidR="00DD25B1">
        <w:rPr>
          <w:rFonts w:asciiTheme="majorHAnsi" w:hAnsiTheme="majorHAnsi" w:cstheme="majorHAnsi"/>
          <w:sz w:val="22"/>
          <w:szCs w:val="22"/>
        </w:rPr>
        <w:t xml:space="preserve"> The cohort comprised mainly </w:t>
      </w:r>
      <w:r w:rsidRPr="00DF24FE">
        <w:rPr>
          <w:rFonts w:asciiTheme="majorHAnsi" w:hAnsiTheme="majorHAnsi" w:cstheme="majorHAnsi"/>
          <w:sz w:val="22"/>
          <w:szCs w:val="22"/>
        </w:rPr>
        <w:t xml:space="preserve">black Africans </w:t>
      </w:r>
      <w:r w:rsidR="00BC28FB">
        <w:rPr>
          <w:rFonts w:asciiTheme="majorHAnsi" w:hAnsiTheme="majorHAnsi" w:cstheme="majorHAnsi"/>
          <w:sz w:val="22"/>
          <w:szCs w:val="22"/>
        </w:rPr>
        <w:t>4</w:t>
      </w:r>
      <w:r w:rsidR="00870B31">
        <w:rPr>
          <w:rFonts w:asciiTheme="majorHAnsi" w:hAnsiTheme="majorHAnsi" w:cstheme="majorHAnsi"/>
          <w:sz w:val="22"/>
          <w:szCs w:val="22"/>
        </w:rPr>
        <w:t>21</w:t>
      </w:r>
      <w:r>
        <w:rPr>
          <w:rFonts w:asciiTheme="majorHAnsi" w:hAnsiTheme="majorHAnsi" w:cstheme="majorHAnsi"/>
          <w:sz w:val="22"/>
          <w:szCs w:val="22"/>
        </w:rPr>
        <w:t xml:space="preserve"> </w:t>
      </w:r>
      <w:r w:rsidRPr="00DF24FE">
        <w:rPr>
          <w:rFonts w:asciiTheme="majorHAnsi" w:hAnsiTheme="majorHAnsi" w:cstheme="majorHAnsi"/>
          <w:sz w:val="22"/>
          <w:szCs w:val="22"/>
        </w:rPr>
        <w:t>(</w:t>
      </w:r>
      <w:r w:rsidR="00BC28FB">
        <w:rPr>
          <w:rFonts w:asciiTheme="majorHAnsi" w:hAnsiTheme="majorHAnsi" w:cstheme="majorHAnsi"/>
          <w:sz w:val="22"/>
          <w:szCs w:val="22"/>
        </w:rPr>
        <w:t>79</w:t>
      </w:r>
      <w:r w:rsidRPr="00DF24FE">
        <w:rPr>
          <w:rFonts w:asciiTheme="majorHAnsi" w:hAnsiTheme="majorHAnsi" w:cstheme="majorHAnsi"/>
          <w:sz w:val="22"/>
          <w:szCs w:val="22"/>
        </w:rPr>
        <w:t xml:space="preserve">%), </w:t>
      </w:r>
      <w:r>
        <w:rPr>
          <w:rFonts w:asciiTheme="majorHAnsi" w:hAnsiTheme="majorHAnsi" w:cstheme="majorHAnsi"/>
          <w:sz w:val="22"/>
          <w:szCs w:val="22"/>
        </w:rPr>
        <w:t xml:space="preserve">Mixed </w:t>
      </w:r>
      <w:r w:rsidRPr="00DF24FE">
        <w:rPr>
          <w:rFonts w:asciiTheme="majorHAnsi" w:hAnsiTheme="majorHAnsi" w:cstheme="majorHAnsi"/>
          <w:sz w:val="22"/>
          <w:szCs w:val="22"/>
        </w:rPr>
        <w:t>ancestry</w:t>
      </w:r>
      <w:r w:rsidR="000F7AA7">
        <w:rPr>
          <w:rFonts w:asciiTheme="majorHAnsi" w:hAnsiTheme="majorHAnsi" w:cstheme="majorHAnsi"/>
          <w:sz w:val="22"/>
          <w:szCs w:val="22"/>
        </w:rPr>
        <w:t xml:space="preserve"> in</w:t>
      </w:r>
      <w:r w:rsidRPr="00DF24FE">
        <w:rPr>
          <w:rFonts w:asciiTheme="majorHAnsi" w:hAnsiTheme="majorHAnsi" w:cstheme="majorHAnsi"/>
          <w:sz w:val="22"/>
          <w:szCs w:val="22"/>
        </w:rPr>
        <w:t xml:space="preserve"> </w:t>
      </w:r>
      <w:r w:rsidR="00BC28FB">
        <w:rPr>
          <w:rFonts w:asciiTheme="majorHAnsi" w:hAnsiTheme="majorHAnsi" w:cstheme="majorHAnsi"/>
          <w:sz w:val="22"/>
          <w:szCs w:val="22"/>
        </w:rPr>
        <w:t>105</w:t>
      </w:r>
      <w:r>
        <w:rPr>
          <w:rFonts w:asciiTheme="majorHAnsi" w:hAnsiTheme="majorHAnsi" w:cstheme="majorHAnsi"/>
          <w:sz w:val="22"/>
          <w:szCs w:val="22"/>
        </w:rPr>
        <w:t xml:space="preserve"> </w:t>
      </w:r>
      <w:r w:rsidRPr="00DF24FE">
        <w:rPr>
          <w:rFonts w:asciiTheme="majorHAnsi" w:hAnsiTheme="majorHAnsi" w:cstheme="majorHAnsi"/>
          <w:sz w:val="22"/>
          <w:szCs w:val="22"/>
        </w:rPr>
        <w:t>(</w:t>
      </w:r>
      <w:r w:rsidR="00BC28FB">
        <w:rPr>
          <w:rFonts w:asciiTheme="majorHAnsi" w:hAnsiTheme="majorHAnsi" w:cstheme="majorHAnsi"/>
          <w:sz w:val="22"/>
          <w:szCs w:val="22"/>
        </w:rPr>
        <w:t>20</w:t>
      </w:r>
      <w:r w:rsidRPr="00DF24FE">
        <w:rPr>
          <w:rFonts w:asciiTheme="majorHAnsi" w:hAnsiTheme="majorHAnsi" w:cstheme="majorHAnsi"/>
          <w:sz w:val="22"/>
          <w:szCs w:val="22"/>
        </w:rPr>
        <w:t>%),</w:t>
      </w:r>
      <w:r w:rsidR="00BC28FB">
        <w:rPr>
          <w:rFonts w:asciiTheme="majorHAnsi" w:hAnsiTheme="majorHAnsi" w:cstheme="majorHAnsi"/>
          <w:sz w:val="22"/>
          <w:szCs w:val="22"/>
        </w:rPr>
        <w:t xml:space="preserve"> and</w:t>
      </w:r>
      <w:r w:rsidRPr="00DF24FE">
        <w:rPr>
          <w:rFonts w:asciiTheme="majorHAnsi" w:hAnsiTheme="majorHAnsi" w:cstheme="majorHAnsi"/>
          <w:sz w:val="22"/>
          <w:szCs w:val="22"/>
        </w:rPr>
        <w:t xml:space="preserve"> </w:t>
      </w:r>
      <w:r>
        <w:rPr>
          <w:rFonts w:asciiTheme="majorHAnsi" w:hAnsiTheme="majorHAnsi" w:cstheme="majorHAnsi"/>
          <w:sz w:val="22"/>
          <w:szCs w:val="22"/>
        </w:rPr>
        <w:t xml:space="preserve">White </w:t>
      </w:r>
      <w:r w:rsidRPr="00DF24FE">
        <w:rPr>
          <w:rFonts w:asciiTheme="majorHAnsi" w:hAnsiTheme="majorHAnsi" w:cstheme="majorHAnsi"/>
          <w:sz w:val="22"/>
          <w:szCs w:val="22"/>
        </w:rPr>
        <w:t>2</w:t>
      </w:r>
      <w:r>
        <w:rPr>
          <w:rFonts w:asciiTheme="majorHAnsi" w:hAnsiTheme="majorHAnsi" w:cstheme="majorHAnsi"/>
          <w:sz w:val="22"/>
          <w:szCs w:val="22"/>
        </w:rPr>
        <w:t xml:space="preserve"> </w:t>
      </w:r>
      <w:r w:rsidRPr="00DF24FE">
        <w:rPr>
          <w:rFonts w:asciiTheme="majorHAnsi" w:hAnsiTheme="majorHAnsi" w:cstheme="majorHAnsi"/>
          <w:sz w:val="22"/>
          <w:szCs w:val="22"/>
        </w:rPr>
        <w:t>(0.</w:t>
      </w:r>
      <w:r w:rsidR="00BC28FB">
        <w:rPr>
          <w:rFonts w:asciiTheme="majorHAnsi" w:hAnsiTheme="majorHAnsi" w:cstheme="majorHAnsi"/>
          <w:sz w:val="22"/>
          <w:szCs w:val="22"/>
        </w:rPr>
        <w:t>4</w:t>
      </w:r>
      <w:r w:rsidRPr="00DF24FE">
        <w:rPr>
          <w:rFonts w:asciiTheme="majorHAnsi" w:hAnsiTheme="majorHAnsi" w:cstheme="majorHAnsi"/>
          <w:sz w:val="22"/>
          <w:szCs w:val="22"/>
        </w:rPr>
        <w:t>%)</w:t>
      </w:r>
      <w:r w:rsidR="00DD25B1">
        <w:rPr>
          <w:rFonts w:asciiTheme="majorHAnsi" w:hAnsiTheme="majorHAnsi" w:cstheme="majorHAnsi"/>
          <w:sz w:val="22"/>
          <w:szCs w:val="22"/>
        </w:rPr>
        <w:t xml:space="preserve"> participants</w:t>
      </w:r>
      <w:r w:rsidRPr="00DF24FE">
        <w:rPr>
          <w:rFonts w:asciiTheme="majorHAnsi" w:hAnsiTheme="majorHAnsi" w:cstheme="majorHAnsi"/>
          <w:sz w:val="22"/>
          <w:szCs w:val="22"/>
        </w:rPr>
        <w:t>. The median</w:t>
      </w:r>
      <w:r>
        <w:rPr>
          <w:rFonts w:asciiTheme="majorHAnsi" w:hAnsiTheme="majorHAnsi" w:cstheme="majorHAnsi"/>
          <w:sz w:val="22"/>
          <w:szCs w:val="22"/>
        </w:rPr>
        <w:t xml:space="preserve"> (</w:t>
      </w:r>
      <w:proofErr w:type="spellStart"/>
      <w:r>
        <w:rPr>
          <w:rFonts w:asciiTheme="majorHAnsi" w:hAnsiTheme="majorHAnsi" w:cstheme="majorHAnsi"/>
          <w:sz w:val="22"/>
          <w:szCs w:val="22"/>
        </w:rPr>
        <w:t>IQR</w:t>
      </w:r>
      <w:proofErr w:type="spellEnd"/>
      <w:r>
        <w:rPr>
          <w:rFonts w:asciiTheme="majorHAnsi" w:hAnsiTheme="majorHAnsi" w:cstheme="majorHAnsi"/>
          <w:sz w:val="22"/>
          <w:szCs w:val="22"/>
        </w:rPr>
        <w:t>)</w:t>
      </w:r>
      <w:r w:rsidRPr="00DF24FE">
        <w:rPr>
          <w:rFonts w:asciiTheme="majorHAnsi" w:hAnsiTheme="majorHAnsi" w:cstheme="majorHAnsi"/>
          <w:sz w:val="22"/>
          <w:szCs w:val="22"/>
        </w:rPr>
        <w:t xml:space="preserve"> duration of</w:t>
      </w:r>
      <w:r>
        <w:rPr>
          <w:rFonts w:asciiTheme="majorHAnsi" w:hAnsiTheme="majorHAnsi" w:cstheme="majorHAnsi"/>
          <w:sz w:val="22"/>
          <w:szCs w:val="22"/>
        </w:rPr>
        <w:t xml:space="preserve"> the presenting</w:t>
      </w:r>
      <w:r w:rsidRPr="00DF24FE">
        <w:rPr>
          <w:rFonts w:asciiTheme="majorHAnsi" w:hAnsiTheme="majorHAnsi" w:cstheme="majorHAnsi"/>
          <w:sz w:val="22"/>
          <w:szCs w:val="22"/>
        </w:rPr>
        <w:t xml:space="preserve"> illness was 14</w:t>
      </w:r>
      <w:r>
        <w:rPr>
          <w:rFonts w:asciiTheme="majorHAnsi" w:hAnsiTheme="majorHAnsi" w:cstheme="majorHAnsi"/>
          <w:sz w:val="22"/>
          <w:szCs w:val="22"/>
        </w:rPr>
        <w:t xml:space="preserve"> (14-21) days.</w:t>
      </w:r>
    </w:p>
    <w:p w14:paraId="7CE344CD" w14:textId="77777777" w:rsidR="00C5726A" w:rsidRPr="00DF24FE" w:rsidRDefault="00C5726A" w:rsidP="00777873">
      <w:pPr>
        <w:pStyle w:val="BodyText"/>
        <w:jc w:val="both"/>
        <w:rPr>
          <w:rFonts w:asciiTheme="majorHAnsi" w:hAnsiTheme="majorHAnsi" w:cstheme="majorHAnsi"/>
          <w:b/>
          <w:sz w:val="22"/>
          <w:szCs w:val="22"/>
        </w:rPr>
      </w:pPr>
    </w:p>
    <w:p w14:paraId="234BFC3F" w14:textId="77777777" w:rsidR="00AF3E89" w:rsidRDefault="00DE48B7" w:rsidP="00DE5C72">
      <w:pPr>
        <w:pStyle w:val="BodyText"/>
        <w:rPr>
          <w:rFonts w:asciiTheme="majorHAnsi" w:hAnsiTheme="majorHAnsi" w:cstheme="majorHAnsi"/>
          <w:b/>
          <w:sz w:val="22"/>
          <w:szCs w:val="22"/>
        </w:rPr>
      </w:pPr>
      <w:commentRangeStart w:id="8"/>
      <w:r>
        <w:rPr>
          <w:rFonts w:asciiTheme="majorHAnsi" w:hAnsiTheme="majorHAnsi" w:cstheme="majorHAnsi"/>
          <w:b/>
          <w:sz w:val="22"/>
          <w:szCs w:val="22"/>
        </w:rPr>
        <w:t xml:space="preserve">Clinical characteristics </w:t>
      </w:r>
      <w:commentRangeEnd w:id="8"/>
      <w:r w:rsidR="00DD25B1">
        <w:rPr>
          <w:rStyle w:val="CommentReference"/>
          <w:rFonts w:ascii="Arial" w:hAnsi="Arial"/>
        </w:rPr>
        <w:commentReference w:id="8"/>
      </w:r>
    </w:p>
    <w:p w14:paraId="6D0DDEC1" w14:textId="194E0C1C" w:rsidR="00892059" w:rsidRPr="00892059" w:rsidRDefault="00892059" w:rsidP="00892059">
      <w:pPr>
        <w:keepNext/>
        <w:pBdr>
          <w:top w:val="none" w:sz="0" w:space="0" w:color="000000"/>
          <w:left w:val="none" w:sz="0" w:space="0" w:color="000000"/>
          <w:bottom w:val="none" w:sz="0" w:space="0" w:color="000000"/>
          <w:right w:val="none" w:sz="0" w:space="0" w:color="000000"/>
        </w:pBdr>
        <w:spacing w:before="60" w:after="60"/>
        <w:ind w:left="60" w:right="60"/>
        <w:jc w:val="center"/>
        <w:rPr>
          <w:i/>
        </w:rPr>
      </w:pPr>
      <w:bookmarkStart w:id="9" w:name="table-1.2"/>
      <w:r w:rsidRPr="00892059">
        <w:rPr>
          <w:i/>
        </w:rPr>
        <w:t xml:space="preserve">Table </w:t>
      </w:r>
      <w:r>
        <w:rPr>
          <w:i/>
        </w:rPr>
        <w:t>1.1</w:t>
      </w:r>
      <w:r w:rsidRPr="00892059">
        <w:rPr>
          <w:i/>
        </w:rPr>
        <w:t xml:space="preserve">: Patient presentation by CD4 count </w:t>
      </w:r>
      <w:proofErr w:type="gramStart"/>
      <w:r w:rsidRPr="00892059">
        <w:rPr>
          <w:i/>
        </w:rPr>
        <w:t>category</w:t>
      </w:r>
      <w:proofErr w:type="gramEnd"/>
    </w:p>
    <w:tbl>
      <w:tblPr>
        <w:tblStyle w:val="PlainTable51"/>
        <w:tblW w:w="0" w:type="auto"/>
        <w:tblLook w:val="0420" w:firstRow="1" w:lastRow="0" w:firstColumn="0" w:lastColumn="0" w:noHBand="0" w:noVBand="1"/>
      </w:tblPr>
      <w:tblGrid>
        <w:gridCol w:w="3543"/>
        <w:gridCol w:w="222"/>
        <w:gridCol w:w="1474"/>
        <w:gridCol w:w="1499"/>
        <w:gridCol w:w="1561"/>
        <w:gridCol w:w="1061"/>
      </w:tblGrid>
      <w:tr w:rsidR="009D039A" w:rsidRPr="00892059" w14:paraId="17FF7FAA" w14:textId="77777777" w:rsidTr="00875BD3">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sz w:val="18"/>
                <w:szCs w:val="18"/>
              </w:rPr>
            </w:pPr>
            <w:r w:rsidRPr="007D2F80">
              <w:rPr>
                <w:rFonts w:ascii="Arial" w:eastAsia="Arial" w:hAnsi="Arial" w:cs="Arial"/>
                <w:color w:val="000000"/>
                <w:sz w:val="18"/>
                <w:szCs w:val="18"/>
              </w:rPr>
              <w:t>Variable</w:t>
            </w:r>
          </w:p>
        </w:tc>
        <w:tc>
          <w:tcPr>
            <w:tcW w:w="0" w:type="auto"/>
          </w:tcPr>
          <w:p w14:paraId="2F53542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color w:val="000000"/>
                <w:sz w:val="18"/>
                <w:szCs w:val="18"/>
              </w:rPr>
            </w:pPr>
          </w:p>
        </w:tc>
        <w:tc>
          <w:tcPr>
            <w:tcW w:w="0" w:type="auto"/>
          </w:tcPr>
          <w:p w14:paraId="6601083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sz w:val="18"/>
                <w:szCs w:val="18"/>
              </w:rPr>
            </w:pPr>
            <w:r w:rsidRPr="007D2F80">
              <w:rPr>
                <w:rFonts w:ascii="Arial" w:eastAsia="Arial" w:hAnsi="Arial" w:cs="Arial"/>
                <w:b/>
                <w:color w:val="000000"/>
                <w:sz w:val="18"/>
                <w:szCs w:val="18"/>
              </w:rPr>
              <w:t>0 - 33</w:t>
            </w:r>
            <w:r w:rsidRPr="007D2F80">
              <w:rPr>
                <w:rFonts w:ascii="Arial" w:eastAsia="Arial" w:hAnsi="Arial" w:cs="Arial"/>
                <w:color w:val="000000"/>
                <w:sz w:val="18"/>
                <w:szCs w:val="18"/>
              </w:rPr>
              <w:t>, N = 271</w:t>
            </w:r>
            <w:r w:rsidRPr="007D2F80">
              <w:rPr>
                <w:rFonts w:ascii="Arial" w:eastAsia="Arial" w:hAnsi="Arial" w:cs="Arial"/>
                <w:color w:val="000000"/>
                <w:sz w:val="18"/>
                <w:szCs w:val="18"/>
                <w:vertAlign w:val="superscript"/>
              </w:rPr>
              <w:t>1</w:t>
            </w:r>
          </w:p>
        </w:tc>
        <w:tc>
          <w:tcPr>
            <w:tcW w:w="0" w:type="auto"/>
          </w:tcPr>
          <w:p w14:paraId="50A5604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sz w:val="18"/>
                <w:szCs w:val="18"/>
              </w:rPr>
            </w:pPr>
            <w:r w:rsidRPr="007D2F80">
              <w:rPr>
                <w:rFonts w:ascii="Arial" w:eastAsia="Arial" w:hAnsi="Arial" w:cs="Arial"/>
                <w:b/>
                <w:color w:val="000000"/>
                <w:sz w:val="18"/>
                <w:szCs w:val="18"/>
              </w:rPr>
              <w:t>34 - 66</w:t>
            </w:r>
            <w:r w:rsidRPr="007D2F80">
              <w:rPr>
                <w:rFonts w:ascii="Arial" w:eastAsia="Arial" w:hAnsi="Arial" w:cs="Arial"/>
                <w:color w:val="000000"/>
                <w:sz w:val="18"/>
                <w:szCs w:val="18"/>
              </w:rPr>
              <w:t>, N = 152</w:t>
            </w:r>
            <w:r w:rsidRPr="007D2F80">
              <w:rPr>
                <w:rFonts w:ascii="Arial" w:eastAsia="Arial" w:hAnsi="Arial" w:cs="Arial"/>
                <w:color w:val="000000"/>
                <w:sz w:val="18"/>
                <w:szCs w:val="18"/>
                <w:vertAlign w:val="superscript"/>
              </w:rPr>
              <w:t>1</w:t>
            </w:r>
          </w:p>
        </w:tc>
        <w:tc>
          <w:tcPr>
            <w:tcW w:w="0" w:type="auto"/>
          </w:tcPr>
          <w:p w14:paraId="736A668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sz w:val="18"/>
                <w:szCs w:val="18"/>
              </w:rPr>
            </w:pPr>
            <w:r w:rsidRPr="007D2F80">
              <w:rPr>
                <w:rFonts w:ascii="Arial" w:eastAsia="Arial" w:hAnsi="Arial" w:cs="Arial"/>
                <w:b/>
                <w:color w:val="000000"/>
                <w:sz w:val="18"/>
                <w:szCs w:val="18"/>
              </w:rPr>
              <w:t>67 - 100</w:t>
            </w:r>
            <w:r w:rsidRPr="007D2F80">
              <w:rPr>
                <w:rFonts w:ascii="Arial" w:eastAsia="Arial" w:hAnsi="Arial" w:cs="Arial"/>
                <w:color w:val="000000"/>
                <w:sz w:val="18"/>
                <w:szCs w:val="18"/>
              </w:rPr>
              <w:t>, N = 119</w:t>
            </w:r>
            <w:r w:rsidRPr="007D2F80">
              <w:rPr>
                <w:rFonts w:ascii="Arial" w:eastAsia="Arial" w:hAnsi="Arial" w:cs="Arial"/>
                <w:color w:val="000000"/>
                <w:sz w:val="18"/>
                <w:szCs w:val="18"/>
                <w:vertAlign w:val="superscript"/>
              </w:rPr>
              <w:t>1</w:t>
            </w:r>
          </w:p>
        </w:tc>
        <w:tc>
          <w:tcPr>
            <w:tcW w:w="0" w:type="auto"/>
          </w:tcPr>
          <w:p w14:paraId="53EBCC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sz w:val="18"/>
                <w:szCs w:val="18"/>
              </w:rPr>
            </w:pPr>
            <w:r w:rsidRPr="007D2F80">
              <w:rPr>
                <w:rFonts w:ascii="Arial" w:eastAsia="Arial" w:hAnsi="Arial" w:cs="Arial"/>
                <w:b/>
                <w:color w:val="000000"/>
                <w:sz w:val="18"/>
                <w:szCs w:val="18"/>
              </w:rPr>
              <w:t>p-value</w:t>
            </w:r>
            <w:r w:rsidRPr="007D2F80">
              <w:rPr>
                <w:rFonts w:ascii="Arial" w:eastAsia="Arial" w:hAnsi="Arial" w:cs="Arial"/>
                <w:color w:val="000000"/>
                <w:sz w:val="18"/>
                <w:szCs w:val="18"/>
                <w:vertAlign w:val="superscript"/>
              </w:rPr>
              <w:t>2</w:t>
            </w:r>
          </w:p>
        </w:tc>
      </w:tr>
      <w:tr w:rsidR="009D039A" w:rsidRPr="00892059" w14:paraId="003CD20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Age at enrolment, median (</w:t>
            </w:r>
            <w:proofErr w:type="spellStart"/>
            <w:r w:rsidRPr="007D2F80">
              <w:rPr>
                <w:rFonts w:ascii="Arial" w:eastAsia="Arial" w:hAnsi="Arial" w:cs="Arial"/>
                <w:b/>
                <w:color w:val="000000"/>
                <w:sz w:val="18"/>
                <w:szCs w:val="18"/>
              </w:rPr>
              <w:t>IQR</w:t>
            </w:r>
            <w:proofErr w:type="spellEnd"/>
            <w:r w:rsidRPr="007D2F80">
              <w:rPr>
                <w:rFonts w:ascii="Arial" w:eastAsia="Arial" w:hAnsi="Arial" w:cs="Arial"/>
                <w:b/>
                <w:color w:val="000000"/>
                <w:sz w:val="18"/>
                <w:szCs w:val="18"/>
              </w:rPr>
              <w:t>) (years)</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9394F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b/>
                <w:bCs/>
                <w:color w:val="000000"/>
                <w:sz w:val="18"/>
                <w:szCs w:val="18"/>
              </w:rPr>
              <w:t>35.0</w:t>
            </w:r>
            <w:r w:rsidRPr="007D2F80">
              <w:rPr>
                <w:rFonts w:ascii="Arial" w:eastAsia="Arial" w:hAnsi="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37.0 (33.0, 46.0)</w:t>
            </w:r>
          </w:p>
        </w:tc>
        <w:tc>
          <w:tcPr>
            <w:tcW w:w="0" w:type="auto"/>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0.016</w:t>
            </w:r>
          </w:p>
        </w:tc>
      </w:tr>
      <w:tr w:rsidR="009D039A" w:rsidRPr="00892059" w14:paraId="1D29936B" w14:textId="77777777" w:rsidTr="00875BD3">
        <w:tc>
          <w:tcPr>
            <w:tcW w:w="0" w:type="auto"/>
          </w:tcPr>
          <w:p w14:paraId="3852296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 xml:space="preserve">Gender, </w:t>
            </w:r>
            <w:proofErr w:type="gramStart"/>
            <w:r w:rsidRPr="007D2F80">
              <w:rPr>
                <w:rFonts w:ascii="Arial" w:eastAsia="Arial" w:hAnsi="Arial" w:cs="Arial"/>
                <w:b/>
                <w:color w:val="000000"/>
                <w:sz w:val="18"/>
                <w:szCs w:val="18"/>
              </w:rPr>
              <w:t>n(</w:t>
            </w:r>
            <w:proofErr w:type="gramEnd"/>
            <w:r w:rsidRPr="007D2F80">
              <w:rPr>
                <w:rFonts w:ascii="Arial" w:eastAsia="Arial" w:hAnsi="Arial" w:cs="Arial"/>
                <w:b/>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0.3</w:t>
            </w:r>
          </w:p>
        </w:tc>
      </w:tr>
      <w:tr w:rsidR="009D039A" w:rsidRPr="00892059" w14:paraId="3B9F122A"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sz w:val="18"/>
                <w:szCs w:val="18"/>
              </w:rPr>
            </w:pPr>
            <w:r w:rsidRPr="007D2F80">
              <w:rPr>
                <w:rFonts w:ascii="Arial" w:eastAsia="Arial" w:hAnsi="Arial" w:cs="Arial"/>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55 (46.6%)</w:t>
            </w:r>
          </w:p>
        </w:tc>
        <w:tc>
          <w:tcPr>
            <w:tcW w:w="0" w:type="auto"/>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875BD3">
        <w:tc>
          <w:tcPr>
            <w:tcW w:w="0" w:type="auto"/>
          </w:tcPr>
          <w:p w14:paraId="6088BA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sz w:val="18"/>
                <w:szCs w:val="18"/>
              </w:rPr>
            </w:pPr>
            <w:r w:rsidRPr="007D2F80">
              <w:rPr>
                <w:rFonts w:ascii="Arial" w:eastAsia="Arial" w:hAnsi="Arial" w:cs="Arial"/>
                <w:color w:val="000000"/>
                <w:sz w:val="18"/>
                <w:szCs w:val="18"/>
              </w:rPr>
              <w:t>Male</w:t>
            </w:r>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AA9DD7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134 (49.4%)</w:t>
            </w:r>
          </w:p>
        </w:tc>
        <w:tc>
          <w:tcPr>
            <w:tcW w:w="0" w:type="auto"/>
          </w:tcPr>
          <w:p w14:paraId="11A16AD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67 (44.1%)</w:t>
            </w:r>
          </w:p>
        </w:tc>
        <w:tc>
          <w:tcPr>
            <w:tcW w:w="0" w:type="auto"/>
          </w:tcPr>
          <w:p w14:paraId="788C2FF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63 (53.4%)</w:t>
            </w:r>
          </w:p>
        </w:tc>
        <w:tc>
          <w:tcPr>
            <w:tcW w:w="0" w:type="auto"/>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544D1846"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 xml:space="preserve">Ethnicity, </w:t>
            </w:r>
            <w:proofErr w:type="gramStart"/>
            <w:r w:rsidRPr="007D2F80">
              <w:rPr>
                <w:rFonts w:ascii="Arial" w:eastAsia="Arial" w:hAnsi="Arial" w:cs="Arial"/>
                <w:b/>
                <w:color w:val="000000"/>
                <w:sz w:val="18"/>
                <w:szCs w:val="18"/>
              </w:rPr>
              <w:t>n(</w:t>
            </w:r>
            <w:proofErr w:type="gramEnd"/>
            <w:r w:rsidRPr="007D2F80">
              <w:rPr>
                <w:rFonts w:ascii="Arial" w:eastAsia="Arial" w:hAnsi="Arial" w:cs="Arial"/>
                <w:b/>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0.3</w:t>
            </w:r>
          </w:p>
        </w:tc>
      </w:tr>
      <w:tr w:rsidR="009D039A" w:rsidRPr="00892059" w14:paraId="16A05F35" w14:textId="77777777" w:rsidTr="00875BD3">
        <w:tc>
          <w:tcPr>
            <w:tcW w:w="0" w:type="auto"/>
          </w:tcPr>
          <w:p w14:paraId="2CA910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sz w:val="18"/>
                <w:szCs w:val="18"/>
              </w:rPr>
            </w:pPr>
            <w:r w:rsidRPr="007D2F80">
              <w:rPr>
                <w:rFonts w:ascii="Arial" w:eastAsia="Arial" w:hAnsi="Arial" w:cs="Arial"/>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89 (74.8%)</w:t>
            </w:r>
          </w:p>
        </w:tc>
        <w:tc>
          <w:tcPr>
            <w:tcW w:w="0" w:type="auto"/>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170E167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sz w:val="18"/>
                <w:szCs w:val="18"/>
              </w:rPr>
            </w:pPr>
            <w:r w:rsidRPr="007D2F80">
              <w:rPr>
                <w:rFonts w:ascii="Arial" w:eastAsia="Arial" w:hAnsi="Arial" w:cs="Arial"/>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30 (25.2%)</w:t>
            </w:r>
          </w:p>
        </w:tc>
        <w:tc>
          <w:tcPr>
            <w:tcW w:w="0" w:type="auto"/>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875BD3">
        <w:tc>
          <w:tcPr>
            <w:tcW w:w="0" w:type="auto"/>
          </w:tcPr>
          <w:p w14:paraId="1280C91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Duration of current illness, median (</w:t>
            </w:r>
            <w:proofErr w:type="spellStart"/>
            <w:r w:rsidRPr="007D2F80">
              <w:rPr>
                <w:rFonts w:ascii="Arial" w:eastAsia="Arial" w:hAnsi="Arial" w:cs="Arial"/>
                <w:b/>
                <w:color w:val="000000"/>
                <w:sz w:val="18"/>
                <w:szCs w:val="18"/>
              </w:rPr>
              <w:t>IQR</w:t>
            </w:r>
            <w:proofErr w:type="spellEnd"/>
            <w:r w:rsidRPr="007D2F80">
              <w:rPr>
                <w:rFonts w:ascii="Arial" w:eastAsia="Arial" w:hAnsi="Arial" w:cs="Arial"/>
                <w:b/>
                <w:color w:val="000000"/>
                <w:sz w:val="18"/>
                <w:szCs w:val="18"/>
              </w:rPr>
              <w:t>)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0939D8D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14.0 (14.0, 21.0)</w:t>
            </w:r>
          </w:p>
        </w:tc>
        <w:tc>
          <w:tcPr>
            <w:tcW w:w="0" w:type="auto"/>
          </w:tcPr>
          <w:p w14:paraId="0B415C5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b/>
                <w:bCs/>
                <w:color w:val="000000"/>
                <w:sz w:val="18"/>
                <w:szCs w:val="18"/>
              </w:rPr>
              <w:t>14.0</w:t>
            </w:r>
            <w:r w:rsidRPr="007D2F80">
              <w:rPr>
                <w:rFonts w:ascii="Arial" w:eastAsia="Arial" w:hAnsi="Arial" w:cs="Arial"/>
                <w:color w:val="000000"/>
                <w:sz w:val="18"/>
                <w:szCs w:val="18"/>
              </w:rPr>
              <w:t xml:space="preserve"> </w:t>
            </w:r>
            <w:r w:rsidRPr="007D2F80">
              <w:rPr>
                <w:rFonts w:ascii="Arial" w:eastAsia="Arial" w:hAnsi="Arial" w:cs="Arial"/>
                <w:b/>
                <w:bCs/>
                <w:color w:val="000000"/>
                <w:sz w:val="18"/>
                <w:szCs w:val="18"/>
              </w:rPr>
              <w:t>(12.5, 22.5)</w:t>
            </w:r>
          </w:p>
        </w:tc>
        <w:tc>
          <w:tcPr>
            <w:tcW w:w="0" w:type="auto"/>
          </w:tcPr>
          <w:p w14:paraId="65806F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14.0 (7.0, 21.0)</w:t>
            </w:r>
          </w:p>
        </w:tc>
        <w:tc>
          <w:tcPr>
            <w:tcW w:w="0" w:type="auto"/>
          </w:tcPr>
          <w:p w14:paraId="0B4002D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0.036</w:t>
            </w:r>
          </w:p>
        </w:tc>
      </w:tr>
      <w:tr w:rsidR="009D039A" w:rsidRPr="00892059" w14:paraId="56084BF5"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92 (82.9%)</w:t>
            </w:r>
          </w:p>
        </w:tc>
        <w:tc>
          <w:tcPr>
            <w:tcW w:w="0" w:type="auto"/>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708FDFBD" w14:textId="77777777" w:rsidTr="00875BD3">
        <w:tc>
          <w:tcPr>
            <w:tcW w:w="0" w:type="auto"/>
          </w:tcPr>
          <w:p w14:paraId="1756DB1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AFF094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7.3 (3.9, 10.6)</w:t>
            </w:r>
          </w:p>
        </w:tc>
        <w:tc>
          <w:tcPr>
            <w:tcW w:w="0" w:type="auto"/>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&lt;0.001</w:t>
            </w:r>
          </w:p>
        </w:tc>
      </w:tr>
      <w:tr w:rsidR="009D039A" w:rsidRPr="00892059" w14:paraId="683868B2"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5A87444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98 (82.4%)</w:t>
            </w:r>
          </w:p>
        </w:tc>
        <w:tc>
          <w:tcPr>
            <w:tcW w:w="0" w:type="auto"/>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0.7</w:t>
            </w:r>
          </w:p>
        </w:tc>
      </w:tr>
      <w:tr w:rsidR="009D039A" w:rsidRPr="00892059" w14:paraId="458EB3DC" w14:textId="77777777" w:rsidTr="00875BD3">
        <w:tc>
          <w:tcPr>
            <w:tcW w:w="0" w:type="auto"/>
          </w:tcPr>
          <w:p w14:paraId="571571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Cryptococcus neoformans</w:t>
            </w:r>
          </w:p>
        </w:tc>
        <w:tc>
          <w:tcPr>
            <w:tcW w:w="0" w:type="auto"/>
          </w:tcPr>
          <w:p w14:paraId="6CAFE02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375DA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16 (5.9%)</w:t>
            </w:r>
          </w:p>
        </w:tc>
        <w:tc>
          <w:tcPr>
            <w:tcW w:w="0" w:type="auto"/>
          </w:tcPr>
          <w:p w14:paraId="0B582E5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 (3.3%)</w:t>
            </w:r>
          </w:p>
        </w:tc>
        <w:tc>
          <w:tcPr>
            <w:tcW w:w="0" w:type="auto"/>
          </w:tcPr>
          <w:p w14:paraId="50F66BE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 (7.6%)</w:t>
            </w:r>
          </w:p>
        </w:tc>
        <w:tc>
          <w:tcPr>
            <w:tcW w:w="0" w:type="auto"/>
          </w:tcPr>
          <w:p w14:paraId="1895CAB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0.3</w:t>
            </w:r>
          </w:p>
        </w:tc>
      </w:tr>
      <w:tr w:rsidR="009D039A" w:rsidRPr="00892059" w14:paraId="252C0CDD"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0E96CF8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 (10.9%)</w:t>
            </w:r>
          </w:p>
        </w:tc>
        <w:tc>
          <w:tcPr>
            <w:tcW w:w="0" w:type="auto"/>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0.9</w:t>
            </w:r>
          </w:p>
        </w:tc>
      </w:tr>
      <w:tr w:rsidR="009D039A" w:rsidRPr="00892059" w14:paraId="0EAF6AC3" w14:textId="77777777" w:rsidTr="00875BD3">
        <w:tc>
          <w:tcPr>
            <w:tcW w:w="0" w:type="auto"/>
          </w:tcPr>
          <w:p w14:paraId="25F635E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Staph aureus</w:t>
            </w:r>
          </w:p>
        </w:tc>
        <w:tc>
          <w:tcPr>
            <w:tcW w:w="0" w:type="auto"/>
          </w:tcPr>
          <w:p w14:paraId="717FB56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AF39E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(0.4%)</w:t>
            </w:r>
          </w:p>
        </w:tc>
        <w:tc>
          <w:tcPr>
            <w:tcW w:w="0" w:type="auto"/>
          </w:tcPr>
          <w:p w14:paraId="5F1A92D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1980D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7EC9618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&gt;0.9</w:t>
            </w:r>
          </w:p>
        </w:tc>
      </w:tr>
      <w:tr w:rsidR="009D039A" w:rsidRPr="00892059" w14:paraId="614C2B2C"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7A9F71E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proofErr w:type="spellStart"/>
            <w:r w:rsidRPr="007D2F80">
              <w:rPr>
                <w:rFonts w:ascii="Arial" w:eastAsia="Arial" w:hAnsi="Arial" w:cs="Arial"/>
                <w:b/>
                <w:color w:val="000000"/>
                <w:sz w:val="18"/>
                <w:szCs w:val="18"/>
              </w:rPr>
              <w:t>Kaposis</w:t>
            </w:r>
            <w:proofErr w:type="spellEnd"/>
            <w:r w:rsidRPr="007D2F80">
              <w:rPr>
                <w:rFonts w:ascii="Arial" w:eastAsia="Arial" w:hAnsi="Arial" w:cs="Arial"/>
                <w:b/>
                <w:color w:val="000000"/>
                <w:sz w:val="18"/>
                <w:szCs w:val="18"/>
              </w:rPr>
              <w:t xml:space="preserve"> sarcoma</w:t>
            </w:r>
          </w:p>
        </w:tc>
        <w:tc>
          <w:tcPr>
            <w:tcW w:w="0" w:type="auto"/>
          </w:tcPr>
          <w:p w14:paraId="51E1E4E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09174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 (2.2%)</w:t>
            </w:r>
          </w:p>
        </w:tc>
        <w:tc>
          <w:tcPr>
            <w:tcW w:w="0" w:type="auto"/>
          </w:tcPr>
          <w:p w14:paraId="07352B5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1DCBBDE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2C41544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0.055</w:t>
            </w:r>
          </w:p>
        </w:tc>
      </w:tr>
      <w:tr w:rsidR="009D039A" w:rsidRPr="00892059" w14:paraId="0682AAE5" w14:textId="77777777" w:rsidTr="00875BD3">
        <w:tc>
          <w:tcPr>
            <w:tcW w:w="0" w:type="auto"/>
          </w:tcPr>
          <w:p w14:paraId="422113F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Cytomegalovirus</w:t>
            </w:r>
          </w:p>
        </w:tc>
        <w:tc>
          <w:tcPr>
            <w:tcW w:w="0" w:type="auto"/>
          </w:tcPr>
          <w:p w14:paraId="0A07FAE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265903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4D5B459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418A36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6E4C7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5AA785D1"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5DE2C35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HSV</w:t>
            </w:r>
          </w:p>
        </w:tc>
        <w:tc>
          <w:tcPr>
            <w:tcW w:w="0" w:type="auto"/>
          </w:tcPr>
          <w:p w14:paraId="5F6DE5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08A3EC0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 (1.1%)</w:t>
            </w:r>
          </w:p>
        </w:tc>
        <w:tc>
          <w:tcPr>
            <w:tcW w:w="0" w:type="auto"/>
          </w:tcPr>
          <w:p w14:paraId="13A2491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(2.6%)</w:t>
            </w:r>
          </w:p>
        </w:tc>
        <w:tc>
          <w:tcPr>
            <w:tcW w:w="0" w:type="auto"/>
          </w:tcPr>
          <w:p w14:paraId="53D9F56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(0.8%)</w:t>
            </w:r>
          </w:p>
        </w:tc>
        <w:tc>
          <w:tcPr>
            <w:tcW w:w="0" w:type="auto"/>
          </w:tcPr>
          <w:p w14:paraId="6BA9582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0.4</w:t>
            </w:r>
          </w:p>
        </w:tc>
      </w:tr>
      <w:tr w:rsidR="009D039A" w:rsidRPr="00892059" w14:paraId="4A5ACF68" w14:textId="77777777" w:rsidTr="00875BD3">
        <w:tc>
          <w:tcPr>
            <w:tcW w:w="0" w:type="auto"/>
          </w:tcPr>
          <w:p w14:paraId="67C57ED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proofErr w:type="spellStart"/>
            <w:r w:rsidRPr="007D2F80">
              <w:rPr>
                <w:rFonts w:ascii="Arial" w:eastAsia="Arial" w:hAnsi="Arial" w:cs="Arial"/>
                <w:b/>
                <w:color w:val="000000"/>
                <w:sz w:val="18"/>
                <w:szCs w:val="18"/>
              </w:rPr>
              <w:t>HepB</w:t>
            </w:r>
            <w:proofErr w:type="spellEnd"/>
          </w:p>
        </w:tc>
        <w:tc>
          <w:tcPr>
            <w:tcW w:w="0" w:type="auto"/>
          </w:tcPr>
          <w:p w14:paraId="1EA0B9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086691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9 (3.3%)</w:t>
            </w:r>
          </w:p>
        </w:tc>
        <w:tc>
          <w:tcPr>
            <w:tcW w:w="0" w:type="auto"/>
          </w:tcPr>
          <w:p w14:paraId="61D9950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 (5.3%)</w:t>
            </w:r>
          </w:p>
        </w:tc>
        <w:tc>
          <w:tcPr>
            <w:tcW w:w="0" w:type="auto"/>
          </w:tcPr>
          <w:p w14:paraId="7337B7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(0.8%)</w:t>
            </w:r>
          </w:p>
        </w:tc>
        <w:tc>
          <w:tcPr>
            <w:tcW w:w="0" w:type="auto"/>
          </w:tcPr>
          <w:p w14:paraId="3B947BB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0.13</w:t>
            </w:r>
          </w:p>
        </w:tc>
      </w:tr>
      <w:tr w:rsidR="009D039A" w:rsidRPr="00892059" w14:paraId="0022E72B"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18D39DE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Candida</w:t>
            </w:r>
          </w:p>
        </w:tc>
        <w:tc>
          <w:tcPr>
            <w:tcW w:w="0" w:type="auto"/>
          </w:tcPr>
          <w:p w14:paraId="095D679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56A0E3E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21 (7.7%)</w:t>
            </w:r>
          </w:p>
        </w:tc>
        <w:tc>
          <w:tcPr>
            <w:tcW w:w="0" w:type="auto"/>
          </w:tcPr>
          <w:p w14:paraId="75550B4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11 (7.2%)</w:t>
            </w:r>
          </w:p>
        </w:tc>
        <w:tc>
          <w:tcPr>
            <w:tcW w:w="0" w:type="auto"/>
          </w:tcPr>
          <w:p w14:paraId="5A9DCF1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 (1.7%)</w:t>
            </w:r>
          </w:p>
        </w:tc>
        <w:tc>
          <w:tcPr>
            <w:tcW w:w="0" w:type="auto"/>
          </w:tcPr>
          <w:p w14:paraId="731ED01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0.064</w:t>
            </w:r>
          </w:p>
        </w:tc>
      </w:tr>
      <w:tr w:rsidR="009D039A" w:rsidRPr="00892059" w14:paraId="20E23871" w14:textId="77777777" w:rsidTr="00875BD3">
        <w:tc>
          <w:tcPr>
            <w:tcW w:w="0" w:type="auto"/>
          </w:tcPr>
          <w:p w14:paraId="560B0F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GE/c diff</w:t>
            </w:r>
          </w:p>
        </w:tc>
        <w:tc>
          <w:tcPr>
            <w:tcW w:w="0" w:type="auto"/>
          </w:tcPr>
          <w:p w14:paraId="0152E25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742738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12 (4.4%)</w:t>
            </w:r>
          </w:p>
        </w:tc>
        <w:tc>
          <w:tcPr>
            <w:tcW w:w="0" w:type="auto"/>
          </w:tcPr>
          <w:p w14:paraId="1FBBE0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7 (4.6%)</w:t>
            </w:r>
          </w:p>
        </w:tc>
        <w:tc>
          <w:tcPr>
            <w:tcW w:w="0" w:type="auto"/>
          </w:tcPr>
          <w:p w14:paraId="0593086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(3.4%)</w:t>
            </w:r>
          </w:p>
        </w:tc>
        <w:tc>
          <w:tcPr>
            <w:tcW w:w="0" w:type="auto"/>
          </w:tcPr>
          <w:p w14:paraId="74B6B8F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0.9</w:t>
            </w:r>
          </w:p>
        </w:tc>
      </w:tr>
      <w:tr w:rsidR="009D039A" w:rsidRPr="00892059" w14:paraId="55B29398"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219C0BC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Parvo B19</w:t>
            </w:r>
          </w:p>
        </w:tc>
        <w:tc>
          <w:tcPr>
            <w:tcW w:w="0" w:type="auto"/>
          </w:tcPr>
          <w:p w14:paraId="7A7C00F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1C7A6F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035C86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0FA6A55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07229B7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20962F08" w14:textId="77777777" w:rsidTr="00875BD3">
        <w:tc>
          <w:tcPr>
            <w:tcW w:w="0" w:type="auto"/>
          </w:tcPr>
          <w:p w14:paraId="3ED521F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Syphilis</w:t>
            </w:r>
          </w:p>
        </w:tc>
        <w:tc>
          <w:tcPr>
            <w:tcW w:w="0" w:type="auto"/>
          </w:tcPr>
          <w:p w14:paraId="11858C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C23820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8 (3.0%)</w:t>
            </w:r>
          </w:p>
        </w:tc>
        <w:tc>
          <w:tcPr>
            <w:tcW w:w="0" w:type="auto"/>
          </w:tcPr>
          <w:p w14:paraId="0941019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7 (4.6%)</w:t>
            </w:r>
          </w:p>
        </w:tc>
        <w:tc>
          <w:tcPr>
            <w:tcW w:w="0" w:type="auto"/>
          </w:tcPr>
          <w:p w14:paraId="1DE7DC8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(0.8%)</w:t>
            </w:r>
          </w:p>
        </w:tc>
        <w:tc>
          <w:tcPr>
            <w:tcW w:w="0" w:type="auto"/>
          </w:tcPr>
          <w:p w14:paraId="6303B7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0.2</w:t>
            </w:r>
          </w:p>
        </w:tc>
      </w:tr>
      <w:tr w:rsidR="009D039A" w:rsidRPr="00892059" w14:paraId="17F4FF3A"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3C9713E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 xml:space="preserve">B </w:t>
            </w:r>
            <w:proofErr w:type="spellStart"/>
            <w:r w:rsidRPr="007D2F80">
              <w:rPr>
                <w:rFonts w:ascii="Arial" w:eastAsia="Arial" w:hAnsi="Arial" w:cs="Arial"/>
                <w:b/>
                <w:color w:val="000000"/>
                <w:sz w:val="18"/>
                <w:szCs w:val="18"/>
              </w:rPr>
              <w:t>menigitis</w:t>
            </w:r>
            <w:proofErr w:type="spellEnd"/>
          </w:p>
        </w:tc>
        <w:tc>
          <w:tcPr>
            <w:tcW w:w="0" w:type="auto"/>
          </w:tcPr>
          <w:p w14:paraId="0AE3887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2B41924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 (1.1%)</w:t>
            </w:r>
          </w:p>
        </w:tc>
        <w:tc>
          <w:tcPr>
            <w:tcW w:w="0" w:type="auto"/>
          </w:tcPr>
          <w:p w14:paraId="0D9626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5449519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2 (1.7%)</w:t>
            </w:r>
          </w:p>
        </w:tc>
        <w:tc>
          <w:tcPr>
            <w:tcW w:w="0" w:type="auto"/>
          </w:tcPr>
          <w:p w14:paraId="1BCCB97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0.8</w:t>
            </w:r>
          </w:p>
        </w:tc>
      </w:tr>
      <w:tr w:rsidR="009D039A" w:rsidRPr="00892059" w14:paraId="627299BD" w14:textId="77777777" w:rsidTr="00875BD3">
        <w:tc>
          <w:tcPr>
            <w:tcW w:w="0" w:type="auto"/>
          </w:tcPr>
          <w:p w14:paraId="2CF00F7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UTI / Leptospirosis</w:t>
            </w:r>
          </w:p>
        </w:tc>
        <w:tc>
          <w:tcPr>
            <w:tcW w:w="0" w:type="auto"/>
          </w:tcPr>
          <w:p w14:paraId="108F09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2BFF6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(1.5%)</w:t>
            </w:r>
          </w:p>
        </w:tc>
        <w:tc>
          <w:tcPr>
            <w:tcW w:w="0" w:type="auto"/>
          </w:tcPr>
          <w:p w14:paraId="796CF91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649D75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3 (2.5%)</w:t>
            </w:r>
          </w:p>
        </w:tc>
        <w:tc>
          <w:tcPr>
            <w:tcW w:w="0" w:type="auto"/>
          </w:tcPr>
          <w:p w14:paraId="07B915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0.13</w:t>
            </w:r>
          </w:p>
        </w:tc>
      </w:tr>
      <w:tr w:rsidR="009D039A" w:rsidRPr="00892059" w14:paraId="48CFEE5C"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6180C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PCP</w:t>
            </w:r>
          </w:p>
        </w:tc>
        <w:tc>
          <w:tcPr>
            <w:tcW w:w="0" w:type="auto"/>
          </w:tcPr>
          <w:p w14:paraId="24D3CE6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958BA3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4 (1.5%)</w:t>
            </w:r>
          </w:p>
        </w:tc>
        <w:tc>
          <w:tcPr>
            <w:tcW w:w="0" w:type="auto"/>
          </w:tcPr>
          <w:p w14:paraId="6BECB06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7238A39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01E8534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0.5</w:t>
            </w:r>
          </w:p>
        </w:tc>
      </w:tr>
      <w:tr w:rsidR="009D039A" w:rsidRPr="00892059" w14:paraId="79B0C115" w14:textId="77777777" w:rsidTr="00875BD3">
        <w:tc>
          <w:tcPr>
            <w:tcW w:w="0" w:type="auto"/>
          </w:tcPr>
          <w:p w14:paraId="6BF82D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COVID-19</w:t>
            </w:r>
          </w:p>
        </w:tc>
        <w:tc>
          <w:tcPr>
            <w:tcW w:w="0" w:type="auto"/>
          </w:tcPr>
          <w:p w14:paraId="2AED85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B03B4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(0.4%)</w:t>
            </w:r>
          </w:p>
        </w:tc>
        <w:tc>
          <w:tcPr>
            <w:tcW w:w="0" w:type="auto"/>
          </w:tcPr>
          <w:p w14:paraId="082FB15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28B25A2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5D3948F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&gt;0.9</w:t>
            </w:r>
          </w:p>
        </w:tc>
      </w:tr>
      <w:tr w:rsidR="009D039A" w:rsidRPr="00892059" w14:paraId="75280207"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0CEC39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Neurocysticercosis</w:t>
            </w:r>
          </w:p>
        </w:tc>
        <w:tc>
          <w:tcPr>
            <w:tcW w:w="0" w:type="auto"/>
          </w:tcPr>
          <w:p w14:paraId="5D76A6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3416A9A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(0.4%)</w:t>
            </w:r>
          </w:p>
        </w:tc>
        <w:tc>
          <w:tcPr>
            <w:tcW w:w="0" w:type="auto"/>
          </w:tcPr>
          <w:p w14:paraId="647674A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 (0.7%)</w:t>
            </w:r>
          </w:p>
        </w:tc>
        <w:tc>
          <w:tcPr>
            <w:tcW w:w="0" w:type="auto"/>
          </w:tcPr>
          <w:p w14:paraId="2F6726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 (0.0%)</w:t>
            </w:r>
          </w:p>
        </w:tc>
        <w:tc>
          <w:tcPr>
            <w:tcW w:w="0" w:type="auto"/>
          </w:tcPr>
          <w:p w14:paraId="23364C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&gt;0.9</w:t>
            </w:r>
          </w:p>
        </w:tc>
      </w:tr>
      <w:tr w:rsidR="009D039A" w:rsidRPr="00892059" w14:paraId="0ACA3DC9" w14:textId="77777777" w:rsidTr="00875BD3">
        <w:tc>
          <w:tcPr>
            <w:tcW w:w="0" w:type="auto"/>
          </w:tcPr>
          <w:p w14:paraId="1AE2B27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 xml:space="preserve">White </w:t>
            </w:r>
            <w:proofErr w:type="gramStart"/>
            <w:r w:rsidRPr="007D2F80">
              <w:rPr>
                <w:rFonts w:ascii="Arial" w:eastAsia="Arial" w:hAnsi="Arial" w:cs="Arial"/>
                <w:b/>
                <w:color w:val="000000"/>
                <w:sz w:val="18"/>
                <w:szCs w:val="18"/>
              </w:rPr>
              <w:t>cell</w:t>
            </w:r>
            <w:proofErr w:type="gramEnd"/>
            <w:r w:rsidRPr="007D2F80">
              <w:rPr>
                <w:rFonts w:ascii="Arial" w:eastAsia="Arial" w:hAnsi="Arial" w:cs="Arial"/>
                <w:b/>
                <w:color w:val="000000"/>
                <w:sz w:val="18"/>
                <w:szCs w:val="18"/>
              </w:rPr>
              <w:t xml:space="preserve"> count X109</w:t>
            </w:r>
          </w:p>
        </w:tc>
        <w:tc>
          <w:tcPr>
            <w:tcW w:w="0" w:type="auto"/>
          </w:tcPr>
          <w:p w14:paraId="05E462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D846E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5.0 (2.9, 7.4)</w:t>
            </w:r>
          </w:p>
        </w:tc>
        <w:tc>
          <w:tcPr>
            <w:tcW w:w="0" w:type="auto"/>
          </w:tcPr>
          <w:p w14:paraId="6C8B6CA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5.8 (4.2, 8.4)</w:t>
            </w:r>
          </w:p>
        </w:tc>
        <w:tc>
          <w:tcPr>
            <w:tcW w:w="0" w:type="auto"/>
          </w:tcPr>
          <w:p w14:paraId="3BD3642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6.8 (4.5, 9.7)</w:t>
            </w:r>
          </w:p>
        </w:tc>
        <w:tc>
          <w:tcPr>
            <w:tcW w:w="0" w:type="auto"/>
          </w:tcPr>
          <w:p w14:paraId="37B7371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&lt;0.001</w:t>
            </w:r>
          </w:p>
        </w:tc>
      </w:tr>
      <w:tr w:rsidR="009D039A" w:rsidRPr="00892059" w14:paraId="0B52E387" w14:textId="77777777" w:rsidTr="00875BD3">
        <w:trPr>
          <w:cnfStyle w:val="000000100000" w:firstRow="0" w:lastRow="0" w:firstColumn="0" w:lastColumn="0" w:oddVBand="0" w:evenVBand="0" w:oddHBand="1" w:evenHBand="0" w:firstRowFirstColumn="0" w:firstRowLastColumn="0" w:lastRowFirstColumn="0" w:lastRowLastColumn="0"/>
        </w:trPr>
        <w:tc>
          <w:tcPr>
            <w:tcW w:w="0" w:type="auto"/>
          </w:tcPr>
          <w:p w14:paraId="0BB1113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Lymphocyte count X109</w:t>
            </w:r>
          </w:p>
        </w:tc>
        <w:tc>
          <w:tcPr>
            <w:tcW w:w="0" w:type="auto"/>
          </w:tcPr>
          <w:p w14:paraId="22EEA34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4F3D37E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w:t>
            </w:r>
            <w:r w:rsidRPr="007D2F80">
              <w:rPr>
                <w:rFonts w:ascii="Arial" w:eastAsia="Arial" w:hAnsi="Arial" w:cs="Arial"/>
                <w:b/>
                <w:bCs/>
                <w:color w:val="000000"/>
                <w:sz w:val="18"/>
                <w:szCs w:val="18"/>
              </w:rPr>
              <w:t>.6 (0.3, 1.3)</w:t>
            </w:r>
          </w:p>
        </w:tc>
        <w:tc>
          <w:tcPr>
            <w:tcW w:w="0" w:type="auto"/>
          </w:tcPr>
          <w:p w14:paraId="7A95B36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0.9 (0.5, 5.8)</w:t>
            </w:r>
          </w:p>
        </w:tc>
        <w:tc>
          <w:tcPr>
            <w:tcW w:w="0" w:type="auto"/>
          </w:tcPr>
          <w:p w14:paraId="5C0FD87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1.3 (0.8, 3.0)</w:t>
            </w:r>
          </w:p>
        </w:tc>
        <w:tc>
          <w:tcPr>
            <w:tcW w:w="0" w:type="auto"/>
          </w:tcPr>
          <w:p w14:paraId="66EF747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0.011</w:t>
            </w:r>
          </w:p>
        </w:tc>
      </w:tr>
      <w:tr w:rsidR="009D039A" w:rsidRPr="00892059" w14:paraId="054054FB" w14:textId="77777777" w:rsidTr="00875BD3">
        <w:tc>
          <w:tcPr>
            <w:tcW w:w="0" w:type="auto"/>
          </w:tcPr>
          <w:p w14:paraId="05EF68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sz w:val="18"/>
                <w:szCs w:val="18"/>
              </w:rPr>
            </w:pPr>
            <w:r w:rsidRPr="007D2F80">
              <w:rPr>
                <w:rFonts w:ascii="Arial" w:eastAsia="Arial" w:hAnsi="Arial" w:cs="Arial"/>
                <w:b/>
                <w:color w:val="000000"/>
                <w:sz w:val="18"/>
                <w:szCs w:val="18"/>
              </w:rPr>
              <w:t>Neutrophils</w:t>
            </w:r>
          </w:p>
        </w:tc>
        <w:tc>
          <w:tcPr>
            <w:tcW w:w="0" w:type="auto"/>
          </w:tcPr>
          <w:p w14:paraId="4C8F2B8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ascii="Arial" w:eastAsia="Arial" w:hAnsi="Arial" w:cs="Arial"/>
                <w:color w:val="000000"/>
                <w:sz w:val="18"/>
                <w:szCs w:val="18"/>
              </w:rPr>
            </w:pPr>
          </w:p>
        </w:tc>
        <w:tc>
          <w:tcPr>
            <w:tcW w:w="0" w:type="auto"/>
          </w:tcPr>
          <w:p w14:paraId="6E4E47B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2.4 (1.0, 5.9)</w:t>
            </w:r>
          </w:p>
        </w:tc>
        <w:tc>
          <w:tcPr>
            <w:tcW w:w="0" w:type="auto"/>
          </w:tcPr>
          <w:p w14:paraId="4C2208C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6.6 (2.8, 15.7)</w:t>
            </w:r>
          </w:p>
        </w:tc>
        <w:tc>
          <w:tcPr>
            <w:tcW w:w="0" w:type="auto"/>
          </w:tcPr>
          <w:p w14:paraId="50B797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ascii="Arial" w:eastAsia="Arial" w:hAnsi="Arial" w:cs="Arial"/>
                <w:color w:val="000000"/>
                <w:sz w:val="18"/>
                <w:szCs w:val="18"/>
              </w:rPr>
              <w:t>5.1 (2.9, 11.5)</w:t>
            </w:r>
          </w:p>
        </w:tc>
        <w:tc>
          <w:tcPr>
            <w:tcW w:w="0" w:type="auto"/>
          </w:tcPr>
          <w:p w14:paraId="2E33689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ascii="Arial" w:eastAsia="Arial" w:hAnsi="Arial" w:cs="Arial"/>
                <w:b/>
                <w:bCs/>
                <w:color w:val="000000"/>
                <w:sz w:val="18"/>
                <w:szCs w:val="18"/>
              </w:rPr>
              <w:t>0.002</w:t>
            </w:r>
          </w:p>
        </w:tc>
      </w:tr>
      <w:tr w:rsidR="009D039A" w:rsidRPr="00892059" w14:paraId="74885E03" w14:textId="77777777" w:rsidTr="00875BD3">
        <w:trPr>
          <w:gridAfter w:val="5"/>
          <w:cnfStyle w:val="000000100000" w:firstRow="0" w:lastRow="0" w:firstColumn="0" w:lastColumn="0" w:oddVBand="0" w:evenVBand="0" w:oddHBand="1" w:evenHBand="0" w:firstRowFirstColumn="0" w:firstRowLastColumn="0" w:lastRowFirstColumn="0" w:lastRowLastColumn="0"/>
        </w:trPr>
        <w:tc>
          <w:tcPr>
            <w:tcW w:w="0" w:type="auto"/>
          </w:tcPr>
          <w:p w14:paraId="3EABD3B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rFonts w:ascii="Arial" w:eastAsia="Arial" w:hAnsi="Arial" w:cs="Arial"/>
                <w:color w:val="000000"/>
                <w:sz w:val="18"/>
                <w:szCs w:val="18"/>
                <w:vertAlign w:val="superscript"/>
              </w:rPr>
            </w:pPr>
          </w:p>
        </w:tc>
      </w:tr>
      <w:tr w:rsidR="009D039A" w:rsidRPr="00892059" w14:paraId="284EFABC" w14:textId="77777777" w:rsidTr="00875BD3">
        <w:trPr>
          <w:gridAfter w:val="5"/>
        </w:trPr>
        <w:tc>
          <w:tcPr>
            <w:tcW w:w="0" w:type="auto"/>
          </w:tcPr>
          <w:p w14:paraId="2E8B903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rFonts w:ascii="Arial" w:eastAsia="Arial" w:hAnsi="Arial" w:cs="Arial"/>
                <w:color w:val="000000"/>
                <w:sz w:val="18"/>
                <w:szCs w:val="18"/>
                <w:vertAlign w:val="superscript"/>
              </w:rPr>
            </w:pPr>
          </w:p>
        </w:tc>
      </w:tr>
      <w:bookmarkEnd w:id="9"/>
    </w:tbl>
    <w:p w14:paraId="57AAE7BD" w14:textId="77777777" w:rsidR="00AE12F2" w:rsidRDefault="00AE12F2" w:rsidP="00DE5C72">
      <w:pPr>
        <w:pStyle w:val="BodyText"/>
        <w:rPr>
          <w:rFonts w:asciiTheme="majorHAnsi" w:hAnsiTheme="majorHAnsi" w:cstheme="majorHAnsi"/>
          <w:b/>
          <w:sz w:val="22"/>
          <w:szCs w:val="22"/>
        </w:rPr>
      </w:pPr>
    </w:p>
    <w:p w14:paraId="54931AF7" w14:textId="43F385BC" w:rsidR="00EA3C63" w:rsidRDefault="000D070F" w:rsidP="00F71632">
      <w:pPr>
        <w:pStyle w:val="BodyText"/>
        <w:rPr>
          <w:rFonts w:asciiTheme="majorHAnsi" w:hAnsiTheme="majorHAnsi" w:cstheme="majorHAnsi"/>
          <w:bCs/>
          <w:sz w:val="22"/>
          <w:szCs w:val="22"/>
        </w:rPr>
      </w:pPr>
      <w:proofErr w:type="gramStart"/>
      <w:r w:rsidRPr="00771D66">
        <w:rPr>
          <w:rFonts w:asciiTheme="majorHAnsi" w:hAnsiTheme="majorHAnsi" w:cstheme="majorHAnsi"/>
          <w:bCs/>
          <w:sz w:val="22"/>
          <w:szCs w:val="22"/>
        </w:rPr>
        <w:t>The majority of</w:t>
      </w:r>
      <w:proofErr w:type="gramEnd"/>
      <w:r w:rsidRPr="00771D66">
        <w:rPr>
          <w:rFonts w:asciiTheme="majorHAnsi" w:hAnsiTheme="majorHAnsi" w:cstheme="majorHAnsi"/>
          <w:bCs/>
          <w:sz w:val="22"/>
          <w:szCs w:val="22"/>
        </w:rPr>
        <w:t xml:space="preserve"> the patients were female.</w:t>
      </w:r>
      <w:r w:rsidR="00F71632" w:rsidRPr="00771D66">
        <w:rPr>
          <w:rFonts w:asciiTheme="majorHAnsi" w:hAnsiTheme="majorHAnsi" w:cstheme="majorHAnsi"/>
          <w:bCs/>
          <w:sz w:val="22"/>
          <w:szCs w:val="22"/>
        </w:rPr>
        <w:t xml:space="preserve"> The duration of illness was 14 </w:t>
      </w:r>
      <w:proofErr w:type="gramStart"/>
      <w:r w:rsidR="00F71632" w:rsidRPr="00771D66">
        <w:rPr>
          <w:rFonts w:asciiTheme="majorHAnsi" w:hAnsiTheme="majorHAnsi" w:cstheme="majorHAnsi"/>
          <w:bCs/>
          <w:sz w:val="22"/>
          <w:szCs w:val="22"/>
        </w:rPr>
        <w:t>days</w:t>
      </w:r>
      <w:proofErr w:type="gramEnd"/>
      <w:r w:rsidR="00F71632" w:rsidRPr="00771D66">
        <w:rPr>
          <w:rFonts w:asciiTheme="majorHAnsi" w:hAnsiTheme="majorHAnsi" w:cstheme="majorHAnsi"/>
          <w:bCs/>
          <w:sz w:val="22"/>
          <w:szCs w:val="22"/>
        </w:rPr>
        <w:t xml:space="preserve"> and the major complaint was weight loss with suppresse</w:t>
      </w:r>
      <w:r w:rsidR="00870B31">
        <w:rPr>
          <w:rFonts w:asciiTheme="majorHAnsi" w:hAnsiTheme="majorHAnsi" w:cstheme="majorHAnsi"/>
          <w:bCs/>
          <w:sz w:val="22"/>
          <w:szCs w:val="22"/>
        </w:rPr>
        <w:t>d CD4</w:t>
      </w:r>
      <w:r w:rsidR="00F71632" w:rsidRPr="00771D66">
        <w:rPr>
          <w:rFonts w:asciiTheme="majorHAnsi" w:hAnsiTheme="majorHAnsi" w:cstheme="majorHAnsi"/>
          <w:bCs/>
          <w:sz w:val="22"/>
          <w:szCs w:val="22"/>
        </w:rPr>
        <w:t xml:space="preserve"> counts</w:t>
      </w:r>
      <w:r w:rsidR="00870B31">
        <w:rPr>
          <w:rFonts w:asciiTheme="majorHAnsi" w:hAnsiTheme="majorHAnsi" w:cstheme="majorHAnsi"/>
          <w:bCs/>
          <w:sz w:val="22"/>
          <w:szCs w:val="22"/>
        </w:rPr>
        <w:t>,</w:t>
      </w:r>
      <w:r w:rsidR="00F71632" w:rsidRPr="00771D66">
        <w:rPr>
          <w:rFonts w:asciiTheme="majorHAnsi" w:hAnsiTheme="majorHAnsi" w:cstheme="majorHAnsi"/>
          <w:bCs/>
          <w:sz w:val="22"/>
          <w:szCs w:val="22"/>
        </w:rPr>
        <w:t xml:space="preserve"> white cell count</w:t>
      </w:r>
      <w:r w:rsidR="00870B31">
        <w:rPr>
          <w:rFonts w:asciiTheme="majorHAnsi" w:hAnsiTheme="majorHAnsi" w:cstheme="majorHAnsi"/>
          <w:bCs/>
          <w:sz w:val="22"/>
          <w:szCs w:val="22"/>
        </w:rPr>
        <w:t xml:space="preserve">s, </w:t>
      </w:r>
      <w:r w:rsidR="00F71632" w:rsidRPr="00771D66">
        <w:rPr>
          <w:rFonts w:asciiTheme="majorHAnsi" w:hAnsiTheme="majorHAnsi" w:cstheme="majorHAnsi"/>
          <w:bCs/>
          <w:sz w:val="22"/>
          <w:szCs w:val="22"/>
        </w:rPr>
        <w:t xml:space="preserve">lymphocytes and neutrophils. </w:t>
      </w:r>
      <w:r w:rsidR="00870B31" w:rsidRPr="00771D66">
        <w:rPr>
          <w:rFonts w:asciiTheme="majorHAnsi" w:hAnsiTheme="majorHAnsi" w:cstheme="majorHAnsi"/>
          <w:bCs/>
          <w:sz w:val="22"/>
          <w:szCs w:val="22"/>
        </w:rPr>
        <w:t>Most of</w:t>
      </w:r>
      <w:r w:rsidR="00F71632" w:rsidRPr="00771D66">
        <w:rPr>
          <w:rFonts w:asciiTheme="majorHAnsi" w:hAnsiTheme="majorHAnsi" w:cstheme="majorHAnsi"/>
          <w:bCs/>
          <w:sz w:val="22"/>
          <w:szCs w:val="22"/>
        </w:rPr>
        <w:t xml:space="preserve"> </w:t>
      </w:r>
      <w:r w:rsidR="00F71632" w:rsidRPr="00771D66">
        <w:rPr>
          <w:rFonts w:asciiTheme="majorHAnsi" w:hAnsiTheme="majorHAnsi" w:cstheme="majorHAnsi"/>
          <w:bCs/>
          <w:sz w:val="22"/>
          <w:szCs w:val="22"/>
        </w:rPr>
        <w:lastRenderedPageBreak/>
        <w:t>the patient had tuberculosis 84% followed by pneumonia 11%</w:t>
      </w:r>
      <w:r w:rsidR="00870B31">
        <w:rPr>
          <w:rFonts w:asciiTheme="majorHAnsi" w:hAnsiTheme="majorHAnsi" w:cstheme="majorHAnsi"/>
          <w:bCs/>
          <w:sz w:val="22"/>
          <w:szCs w:val="22"/>
        </w:rPr>
        <w:t>, then</w:t>
      </w:r>
      <w:r w:rsidR="00F71632" w:rsidRPr="00771D66">
        <w:rPr>
          <w:rFonts w:asciiTheme="majorHAnsi" w:hAnsiTheme="majorHAnsi" w:cstheme="majorHAnsi"/>
          <w:bCs/>
          <w:sz w:val="22"/>
          <w:szCs w:val="22"/>
        </w:rPr>
        <w:t xml:space="preserve"> cryptococcus 5.7% and candida fungal infection 5.5%, GIT infection 4% and syphilis 3.2%.</w:t>
      </w:r>
    </w:p>
    <w:p w14:paraId="3D33812C" w14:textId="2028F493" w:rsidR="00EA3C63" w:rsidRDefault="00EA3C63" w:rsidP="00F71632">
      <w:pPr>
        <w:pStyle w:val="BodyText"/>
        <w:rPr>
          <w:rFonts w:asciiTheme="majorHAnsi" w:hAnsiTheme="majorHAnsi" w:cstheme="majorHAnsi"/>
          <w:bCs/>
          <w:sz w:val="22"/>
          <w:szCs w:val="22"/>
        </w:rPr>
      </w:pPr>
      <w:r w:rsidRPr="00EA3C63">
        <w:rPr>
          <w:rFonts w:asciiTheme="majorHAnsi" w:hAnsiTheme="majorHAnsi" w:cstheme="majorHAnsi"/>
          <w:bCs/>
          <w:sz w:val="22"/>
          <w:szCs w:val="22"/>
        </w:rPr>
        <w:t>Table 1.2: Baseline patient characteristics on admission</w:t>
      </w:r>
    </w:p>
    <w:tbl>
      <w:tblPr>
        <w:tblStyle w:val="PlainTable53"/>
        <w:tblW w:w="4998" w:type="pct"/>
        <w:tblLook w:val="0420" w:firstRow="1" w:lastRow="0" w:firstColumn="0" w:lastColumn="0" w:noHBand="0" w:noVBand="1"/>
      </w:tblPr>
      <w:tblGrid>
        <w:gridCol w:w="7371"/>
        <w:gridCol w:w="1985"/>
      </w:tblGrid>
      <w:tr w:rsidR="00EA3C63" w:rsidRPr="00EA3C63" w14:paraId="164AA714" w14:textId="77777777" w:rsidTr="001C0071">
        <w:trPr>
          <w:cnfStyle w:val="100000000000" w:firstRow="1" w:lastRow="0" w:firstColumn="0" w:lastColumn="0" w:oddVBand="0" w:evenVBand="0" w:oddHBand="0" w:evenHBand="0" w:firstRowFirstColumn="0" w:firstRowLastColumn="0" w:lastRowFirstColumn="0" w:lastRowLastColumn="0"/>
          <w:trHeight w:val="283"/>
        </w:trPr>
        <w:tc>
          <w:tcPr>
            <w:tcW w:w="3939" w:type="pct"/>
            <w:hideMark/>
          </w:tcPr>
          <w:p w14:paraId="6A09FDED" w14:textId="77777777" w:rsidR="00EA3C63" w:rsidRPr="001C0071" w:rsidRDefault="00EA3C63" w:rsidP="001C0071">
            <w:pPr>
              <w:spacing w:beforeLines="36" w:before="86" w:afterLines="36" w:after="86"/>
              <w:contextualSpacing/>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Variable</w:t>
            </w:r>
          </w:p>
        </w:tc>
        <w:tc>
          <w:tcPr>
            <w:tcW w:w="1061" w:type="pct"/>
            <w:hideMark/>
          </w:tcPr>
          <w:p w14:paraId="12530745" w14:textId="77777777" w:rsidR="00EA3C63" w:rsidRPr="001C0071" w:rsidRDefault="00EA3C63" w:rsidP="001C0071">
            <w:pPr>
              <w:spacing w:beforeLines="36" w:before="86" w:afterLines="36" w:after="86"/>
              <w:contextualSpacing/>
              <w:jc w:val="center"/>
              <w:rPr>
                <w:rFonts w:asciiTheme="minorHAnsi" w:eastAsia="Times New Roman" w:hAnsiTheme="minorHAnsi" w:cs="Segoe UI"/>
                <w:color w:val="333333"/>
                <w:sz w:val="20"/>
                <w:szCs w:val="20"/>
                <w:lang w:val="en-ZA" w:eastAsia="en-ZA"/>
              </w:rPr>
            </w:pPr>
            <w:r w:rsidRPr="001C0071">
              <w:rPr>
                <w:rFonts w:asciiTheme="minorHAnsi" w:eastAsia="Times New Roman" w:hAnsiTheme="minorHAnsi" w:cs="Segoe UI"/>
                <w:b/>
                <w:bCs/>
                <w:color w:val="333333"/>
                <w:sz w:val="20"/>
                <w:szCs w:val="20"/>
                <w:lang w:val="en-ZA" w:eastAsia="en-ZA"/>
              </w:rPr>
              <w:t>N = 549</w:t>
            </w:r>
            <w:r w:rsidRPr="001C0071">
              <w:rPr>
                <w:rFonts w:asciiTheme="minorHAnsi" w:eastAsia="Times New Roman" w:hAnsiTheme="minorHAnsi" w:cs="Segoe UI"/>
                <w:color w:val="333333"/>
                <w:sz w:val="20"/>
                <w:szCs w:val="20"/>
                <w:vertAlign w:val="superscript"/>
                <w:lang w:val="en-ZA" w:eastAsia="en-ZA"/>
              </w:rPr>
              <w:t>1</w:t>
            </w:r>
          </w:p>
        </w:tc>
      </w:tr>
      <w:tr w:rsidR="00EA3C63" w:rsidRPr="00EA3C63" w14:paraId="63482EAC"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48F868E8"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Age at enrolment, median (</w:t>
            </w:r>
            <w:proofErr w:type="spellStart"/>
            <w:r w:rsidRPr="001C0071">
              <w:rPr>
                <w:rFonts w:eastAsia="Times New Roman" w:cs="Segoe UI"/>
                <w:b/>
                <w:bCs/>
                <w:color w:val="333333"/>
                <w:sz w:val="20"/>
                <w:szCs w:val="20"/>
                <w:lang w:val="en-ZA" w:eastAsia="en-ZA"/>
              </w:rPr>
              <w:t>IQR</w:t>
            </w:r>
            <w:proofErr w:type="spellEnd"/>
            <w:r w:rsidRPr="001C0071">
              <w:rPr>
                <w:rFonts w:eastAsia="Times New Roman" w:cs="Segoe UI"/>
                <w:b/>
                <w:bCs/>
                <w:color w:val="333333"/>
                <w:sz w:val="20"/>
                <w:szCs w:val="20"/>
                <w:lang w:val="en-ZA" w:eastAsia="en-ZA"/>
              </w:rPr>
              <w:t>) (years)</w:t>
            </w:r>
          </w:p>
        </w:tc>
        <w:tc>
          <w:tcPr>
            <w:tcW w:w="1061" w:type="pct"/>
            <w:hideMark/>
          </w:tcPr>
          <w:p w14:paraId="53C90EC3"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36.0 (31.5, 43.0)</w:t>
            </w:r>
          </w:p>
        </w:tc>
      </w:tr>
      <w:tr w:rsidR="00EA3C63" w:rsidRPr="00EA3C63" w14:paraId="059ED447" w14:textId="77777777" w:rsidTr="001C0071">
        <w:trPr>
          <w:trHeight w:val="283"/>
        </w:trPr>
        <w:tc>
          <w:tcPr>
            <w:tcW w:w="3939" w:type="pct"/>
            <w:hideMark/>
          </w:tcPr>
          <w:p w14:paraId="63336289" w14:textId="705E5B41" w:rsidR="00EA3C63" w:rsidRPr="001C0071" w:rsidRDefault="007F577C" w:rsidP="001C0071">
            <w:pPr>
              <w:spacing w:beforeLines="36" w:before="86" w:afterLines="36" w:after="86"/>
              <w:ind w:left="150" w:right="150"/>
              <w:contextualSpacing/>
              <w:rPr>
                <w:rFonts w:eastAsia="Times New Roman" w:cs="Segoe UI"/>
                <w:b/>
                <w:bCs/>
                <w:color w:val="333333"/>
                <w:sz w:val="20"/>
                <w:szCs w:val="20"/>
                <w:lang w:val="en-ZA" w:eastAsia="en-ZA"/>
              </w:rPr>
            </w:pPr>
            <w:r>
              <w:rPr>
                <w:rFonts w:eastAsia="Times New Roman" w:cs="Segoe UI"/>
                <w:b/>
                <w:bCs/>
                <w:color w:val="333333"/>
                <w:sz w:val="20"/>
                <w:szCs w:val="20"/>
                <w:lang w:val="en-ZA" w:eastAsia="en-ZA"/>
              </w:rPr>
              <w:t>Female g</w:t>
            </w:r>
            <w:r w:rsidRPr="001C0071">
              <w:rPr>
                <w:rFonts w:eastAsia="Times New Roman" w:cs="Segoe UI"/>
                <w:b/>
                <w:bCs/>
                <w:color w:val="333333"/>
                <w:sz w:val="20"/>
                <w:szCs w:val="20"/>
                <w:lang w:val="en-ZA" w:eastAsia="en-ZA"/>
              </w:rPr>
              <w:t>ender</w:t>
            </w:r>
            <w:r w:rsidR="00EA3C63" w:rsidRPr="001C0071">
              <w:rPr>
                <w:rFonts w:eastAsia="Times New Roman" w:cs="Segoe UI"/>
                <w:b/>
                <w:bCs/>
                <w:color w:val="333333"/>
                <w:sz w:val="20"/>
                <w:szCs w:val="20"/>
                <w:lang w:val="en-ZA" w:eastAsia="en-ZA"/>
              </w:rPr>
              <w:t>, n</w:t>
            </w:r>
            <w:r>
              <w:rPr>
                <w:rFonts w:eastAsia="Times New Roman" w:cs="Segoe UI"/>
                <w:b/>
                <w:bCs/>
                <w:color w:val="333333"/>
                <w:sz w:val="20"/>
                <w:szCs w:val="20"/>
                <w:lang w:val="en-ZA" w:eastAsia="en-ZA"/>
              </w:rPr>
              <w:t xml:space="preserve"> </w:t>
            </w:r>
            <w:r w:rsidR="00EA3C63" w:rsidRPr="001C0071">
              <w:rPr>
                <w:rFonts w:eastAsia="Times New Roman" w:cs="Segoe UI"/>
                <w:b/>
                <w:bCs/>
                <w:color w:val="333333"/>
                <w:sz w:val="20"/>
                <w:szCs w:val="20"/>
                <w:lang w:val="en-ZA" w:eastAsia="en-ZA"/>
              </w:rPr>
              <w:t>(%)</w:t>
            </w:r>
          </w:p>
        </w:tc>
        <w:tc>
          <w:tcPr>
            <w:tcW w:w="1061" w:type="pct"/>
            <w:hideMark/>
          </w:tcPr>
          <w:p w14:paraId="5DA10738" w14:textId="5150E899" w:rsidR="00EA3C63" w:rsidRPr="001C0071" w:rsidRDefault="007F577C"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4C3663">
              <w:rPr>
                <w:rFonts w:eastAsia="Times New Roman" w:cs="Segoe UI"/>
                <w:color w:val="333333"/>
                <w:sz w:val="20"/>
                <w:szCs w:val="20"/>
                <w:lang w:val="en-ZA" w:eastAsia="en-ZA"/>
              </w:rPr>
              <w:t>280 (51.1%)</w:t>
            </w:r>
          </w:p>
        </w:tc>
      </w:tr>
      <w:tr w:rsidR="00EA3C63" w:rsidRPr="00EA3C63" w14:paraId="7DEE515E"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7512865A" w14:textId="006CE27D" w:rsidR="00EA3C63" w:rsidRPr="001C0071" w:rsidRDefault="007F577C" w:rsidP="001C0071">
            <w:pPr>
              <w:spacing w:beforeLines="36" w:before="86" w:afterLines="36" w:after="86"/>
              <w:ind w:left="150" w:right="150"/>
              <w:contextualSpacing/>
              <w:rPr>
                <w:rFonts w:eastAsia="Times New Roman" w:cs="Segoe UI"/>
                <w:b/>
                <w:bCs/>
                <w:color w:val="333333"/>
                <w:sz w:val="20"/>
                <w:szCs w:val="20"/>
                <w:lang w:val="en-ZA" w:eastAsia="en-ZA"/>
              </w:rPr>
            </w:pPr>
            <w:r w:rsidRPr="007F577C">
              <w:rPr>
                <w:rFonts w:eastAsia="Times New Roman" w:cs="Segoe UI"/>
                <w:b/>
                <w:bCs/>
                <w:color w:val="333333"/>
                <w:sz w:val="20"/>
                <w:szCs w:val="20"/>
                <w:lang w:val="en-ZA" w:eastAsia="en-ZA"/>
              </w:rPr>
              <w:t>Black African</w:t>
            </w:r>
            <w:r w:rsidRPr="007F577C">
              <w:rPr>
                <w:rFonts w:eastAsia="Times New Roman" w:cs="Segoe UI"/>
                <w:b/>
                <w:bCs/>
                <w:color w:val="333333"/>
                <w:sz w:val="20"/>
                <w:szCs w:val="20"/>
                <w:lang w:val="en-ZA" w:eastAsia="en-ZA"/>
              </w:rPr>
              <w:t xml:space="preserve"> </w:t>
            </w:r>
            <w:r w:rsidR="00EA3C63" w:rsidRPr="001C0071">
              <w:rPr>
                <w:rFonts w:eastAsia="Times New Roman" w:cs="Segoe UI"/>
                <w:b/>
                <w:bCs/>
                <w:color w:val="333333"/>
                <w:sz w:val="20"/>
                <w:szCs w:val="20"/>
                <w:lang w:val="en-ZA" w:eastAsia="en-ZA"/>
              </w:rPr>
              <w:t>Ethnicity, n</w:t>
            </w:r>
            <w:r>
              <w:rPr>
                <w:rFonts w:eastAsia="Times New Roman" w:cs="Segoe UI"/>
                <w:b/>
                <w:bCs/>
                <w:color w:val="333333"/>
                <w:sz w:val="20"/>
                <w:szCs w:val="20"/>
                <w:lang w:val="en-ZA" w:eastAsia="en-ZA"/>
              </w:rPr>
              <w:t xml:space="preserve"> </w:t>
            </w:r>
            <w:r w:rsidR="00EA3C63" w:rsidRPr="001C0071">
              <w:rPr>
                <w:rFonts w:eastAsia="Times New Roman" w:cs="Segoe UI"/>
                <w:b/>
                <w:bCs/>
                <w:color w:val="333333"/>
                <w:sz w:val="20"/>
                <w:szCs w:val="20"/>
                <w:lang w:val="en-ZA" w:eastAsia="en-ZA"/>
              </w:rPr>
              <w:t>(%)</w:t>
            </w:r>
          </w:p>
        </w:tc>
        <w:tc>
          <w:tcPr>
            <w:tcW w:w="1061" w:type="pct"/>
            <w:hideMark/>
          </w:tcPr>
          <w:p w14:paraId="73A43767" w14:textId="2876FF47" w:rsidR="00EA3C63" w:rsidRPr="001C0071" w:rsidRDefault="007F577C"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D67EC9">
              <w:rPr>
                <w:rFonts w:eastAsia="Times New Roman" w:cs="Segoe UI"/>
                <w:color w:val="333333"/>
                <w:sz w:val="20"/>
                <w:szCs w:val="20"/>
                <w:lang w:val="en-ZA" w:eastAsia="en-ZA"/>
              </w:rPr>
              <w:t>430 (78.3%)</w:t>
            </w:r>
          </w:p>
        </w:tc>
      </w:tr>
      <w:tr w:rsidR="00EA3C63" w:rsidRPr="00EA3C63" w14:paraId="193CEA0A" w14:textId="77777777" w:rsidTr="001C0071">
        <w:trPr>
          <w:trHeight w:val="283"/>
        </w:trPr>
        <w:tc>
          <w:tcPr>
            <w:tcW w:w="3939" w:type="pct"/>
            <w:hideMark/>
          </w:tcPr>
          <w:p w14:paraId="755D18B1"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Duration of current illness, median (</w:t>
            </w:r>
            <w:proofErr w:type="spellStart"/>
            <w:r w:rsidRPr="001C0071">
              <w:rPr>
                <w:rFonts w:eastAsia="Times New Roman" w:cs="Segoe UI"/>
                <w:b/>
                <w:bCs/>
                <w:color w:val="333333"/>
                <w:sz w:val="20"/>
                <w:szCs w:val="20"/>
                <w:lang w:val="en-ZA" w:eastAsia="en-ZA"/>
              </w:rPr>
              <w:t>IQR</w:t>
            </w:r>
            <w:proofErr w:type="spellEnd"/>
            <w:r w:rsidRPr="001C0071">
              <w:rPr>
                <w:rFonts w:eastAsia="Times New Roman" w:cs="Segoe UI"/>
                <w:b/>
                <w:bCs/>
                <w:color w:val="333333"/>
                <w:sz w:val="20"/>
                <w:szCs w:val="20"/>
                <w:lang w:val="en-ZA" w:eastAsia="en-ZA"/>
              </w:rPr>
              <w:t>) (days)</w:t>
            </w:r>
          </w:p>
        </w:tc>
        <w:tc>
          <w:tcPr>
            <w:tcW w:w="1061" w:type="pct"/>
            <w:hideMark/>
          </w:tcPr>
          <w:p w14:paraId="1B9AB5CB"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14.0 (12.0, 21.0)</w:t>
            </w:r>
          </w:p>
        </w:tc>
      </w:tr>
      <w:tr w:rsidR="00EA3C63" w:rsidRPr="00EA3C63" w14:paraId="192C81A6"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50EB4B70"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Weight loss</w:t>
            </w:r>
          </w:p>
        </w:tc>
        <w:tc>
          <w:tcPr>
            <w:tcW w:w="1061" w:type="pct"/>
            <w:hideMark/>
          </w:tcPr>
          <w:p w14:paraId="0E922F47"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452 (86.1%)</w:t>
            </w:r>
          </w:p>
        </w:tc>
      </w:tr>
      <w:tr w:rsidR="00EA3C63" w:rsidRPr="00EA3C63" w14:paraId="037F4F29" w14:textId="77777777" w:rsidTr="001C0071">
        <w:trPr>
          <w:trHeight w:val="283"/>
        </w:trPr>
        <w:tc>
          <w:tcPr>
            <w:tcW w:w="3939" w:type="pct"/>
            <w:hideMark/>
          </w:tcPr>
          <w:p w14:paraId="5B768263"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Viral load, log10 copies/ml</w:t>
            </w:r>
          </w:p>
        </w:tc>
        <w:tc>
          <w:tcPr>
            <w:tcW w:w="1061" w:type="pct"/>
            <w:hideMark/>
          </w:tcPr>
          <w:p w14:paraId="5EF1F636"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10.8 (7.3, 12.3)</w:t>
            </w:r>
          </w:p>
        </w:tc>
      </w:tr>
      <w:tr w:rsidR="00EA3C63" w:rsidRPr="00EA3C63" w14:paraId="3AD8E2BE"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460C8DB1"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Tuberculosis</w:t>
            </w:r>
          </w:p>
        </w:tc>
        <w:tc>
          <w:tcPr>
            <w:tcW w:w="1061" w:type="pct"/>
            <w:hideMark/>
          </w:tcPr>
          <w:p w14:paraId="49FAF013"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461 (84.0%)</w:t>
            </w:r>
          </w:p>
        </w:tc>
      </w:tr>
      <w:tr w:rsidR="00EA3C63" w:rsidRPr="00EA3C63" w14:paraId="755FDDD0" w14:textId="77777777" w:rsidTr="001C0071">
        <w:trPr>
          <w:trHeight w:val="283"/>
        </w:trPr>
        <w:tc>
          <w:tcPr>
            <w:tcW w:w="3939" w:type="pct"/>
            <w:hideMark/>
          </w:tcPr>
          <w:p w14:paraId="2D7F64B2"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Cryptococcus neoformans</w:t>
            </w:r>
          </w:p>
        </w:tc>
        <w:tc>
          <w:tcPr>
            <w:tcW w:w="1061" w:type="pct"/>
            <w:hideMark/>
          </w:tcPr>
          <w:p w14:paraId="38281950"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30 (5.5%)</w:t>
            </w:r>
          </w:p>
        </w:tc>
      </w:tr>
      <w:tr w:rsidR="00EA3C63" w:rsidRPr="00EA3C63" w14:paraId="225F6192"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79CD66E6"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Pneumonia</w:t>
            </w:r>
          </w:p>
        </w:tc>
        <w:tc>
          <w:tcPr>
            <w:tcW w:w="1061" w:type="pct"/>
            <w:hideMark/>
          </w:tcPr>
          <w:p w14:paraId="68B928CE"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62 (11.3%)</w:t>
            </w:r>
          </w:p>
        </w:tc>
      </w:tr>
      <w:tr w:rsidR="00EA3C63" w:rsidRPr="00EA3C63" w14:paraId="050F09EE" w14:textId="77777777" w:rsidTr="001C0071">
        <w:trPr>
          <w:trHeight w:val="283"/>
        </w:trPr>
        <w:tc>
          <w:tcPr>
            <w:tcW w:w="3939" w:type="pct"/>
            <w:hideMark/>
          </w:tcPr>
          <w:p w14:paraId="402EE5BF"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Staph aureus</w:t>
            </w:r>
          </w:p>
        </w:tc>
        <w:tc>
          <w:tcPr>
            <w:tcW w:w="1061" w:type="pct"/>
            <w:hideMark/>
          </w:tcPr>
          <w:p w14:paraId="7F052FFD"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 (0.2%)</w:t>
            </w:r>
          </w:p>
        </w:tc>
      </w:tr>
      <w:tr w:rsidR="00EA3C63" w:rsidRPr="00EA3C63" w14:paraId="27901AF4"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2CFC9D3E"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proofErr w:type="spellStart"/>
            <w:r w:rsidRPr="001C0071">
              <w:rPr>
                <w:rFonts w:eastAsia="Times New Roman" w:cs="Segoe UI"/>
                <w:b/>
                <w:bCs/>
                <w:color w:val="333333"/>
                <w:sz w:val="20"/>
                <w:szCs w:val="20"/>
                <w:lang w:val="en-ZA" w:eastAsia="en-ZA"/>
              </w:rPr>
              <w:t>Kaposis</w:t>
            </w:r>
            <w:proofErr w:type="spellEnd"/>
            <w:r w:rsidRPr="001C0071">
              <w:rPr>
                <w:rFonts w:eastAsia="Times New Roman" w:cs="Segoe UI"/>
                <w:b/>
                <w:bCs/>
                <w:color w:val="333333"/>
                <w:sz w:val="20"/>
                <w:szCs w:val="20"/>
                <w:lang w:val="en-ZA" w:eastAsia="en-ZA"/>
              </w:rPr>
              <w:t xml:space="preserve"> sarcoma</w:t>
            </w:r>
          </w:p>
        </w:tc>
        <w:tc>
          <w:tcPr>
            <w:tcW w:w="1061" w:type="pct"/>
            <w:hideMark/>
          </w:tcPr>
          <w:p w14:paraId="30A43B9F"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6 (1.1%)</w:t>
            </w:r>
          </w:p>
        </w:tc>
      </w:tr>
      <w:tr w:rsidR="00EA3C63" w:rsidRPr="00EA3C63" w14:paraId="26EB1C4F" w14:textId="77777777" w:rsidTr="001C0071">
        <w:trPr>
          <w:trHeight w:val="283"/>
        </w:trPr>
        <w:tc>
          <w:tcPr>
            <w:tcW w:w="3939" w:type="pct"/>
            <w:hideMark/>
          </w:tcPr>
          <w:p w14:paraId="5E66D476"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Cytomegalovirus</w:t>
            </w:r>
          </w:p>
        </w:tc>
        <w:tc>
          <w:tcPr>
            <w:tcW w:w="1061" w:type="pct"/>
            <w:hideMark/>
          </w:tcPr>
          <w:p w14:paraId="34B53626"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 (0.2%)</w:t>
            </w:r>
          </w:p>
        </w:tc>
      </w:tr>
      <w:tr w:rsidR="00EA3C63" w:rsidRPr="00EA3C63" w14:paraId="675CF1B9"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24A9C7A3"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HSV</w:t>
            </w:r>
          </w:p>
        </w:tc>
        <w:tc>
          <w:tcPr>
            <w:tcW w:w="1061" w:type="pct"/>
            <w:hideMark/>
          </w:tcPr>
          <w:p w14:paraId="153D2FBC"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8 (1.5%)</w:t>
            </w:r>
          </w:p>
        </w:tc>
      </w:tr>
      <w:tr w:rsidR="00EA3C63" w:rsidRPr="00EA3C63" w14:paraId="57DB450D" w14:textId="77777777" w:rsidTr="001C0071">
        <w:trPr>
          <w:trHeight w:val="283"/>
        </w:trPr>
        <w:tc>
          <w:tcPr>
            <w:tcW w:w="3939" w:type="pct"/>
            <w:hideMark/>
          </w:tcPr>
          <w:p w14:paraId="73B22969"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proofErr w:type="spellStart"/>
            <w:r w:rsidRPr="001C0071">
              <w:rPr>
                <w:rFonts w:eastAsia="Times New Roman" w:cs="Segoe UI"/>
                <w:b/>
                <w:bCs/>
                <w:color w:val="333333"/>
                <w:sz w:val="20"/>
                <w:szCs w:val="20"/>
                <w:lang w:val="en-ZA" w:eastAsia="en-ZA"/>
              </w:rPr>
              <w:t>HepB</w:t>
            </w:r>
            <w:proofErr w:type="spellEnd"/>
          </w:p>
        </w:tc>
        <w:tc>
          <w:tcPr>
            <w:tcW w:w="1061" w:type="pct"/>
            <w:hideMark/>
          </w:tcPr>
          <w:p w14:paraId="2BAE46B5"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18 (3.3%)</w:t>
            </w:r>
          </w:p>
        </w:tc>
      </w:tr>
      <w:tr w:rsidR="00EA3C63" w:rsidRPr="00EA3C63" w14:paraId="307E34C3"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11F4DF83"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Candida</w:t>
            </w:r>
          </w:p>
        </w:tc>
        <w:tc>
          <w:tcPr>
            <w:tcW w:w="1061" w:type="pct"/>
            <w:hideMark/>
          </w:tcPr>
          <w:p w14:paraId="08409419"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34 (6.2%)</w:t>
            </w:r>
          </w:p>
        </w:tc>
      </w:tr>
      <w:tr w:rsidR="00EA3C63" w:rsidRPr="00EA3C63" w14:paraId="61A11175" w14:textId="77777777" w:rsidTr="001C0071">
        <w:trPr>
          <w:trHeight w:val="283"/>
        </w:trPr>
        <w:tc>
          <w:tcPr>
            <w:tcW w:w="3939" w:type="pct"/>
            <w:hideMark/>
          </w:tcPr>
          <w:p w14:paraId="74BAE0B9"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commentRangeStart w:id="10"/>
            <w:r w:rsidRPr="001C0071">
              <w:rPr>
                <w:rFonts w:eastAsia="Times New Roman" w:cs="Segoe UI"/>
                <w:b/>
                <w:bCs/>
                <w:color w:val="333333"/>
                <w:sz w:val="20"/>
                <w:szCs w:val="20"/>
                <w:lang w:val="en-ZA" w:eastAsia="en-ZA"/>
              </w:rPr>
              <w:t>GE/c diff</w:t>
            </w:r>
            <w:commentRangeEnd w:id="10"/>
            <w:r w:rsidR="007F577C">
              <w:rPr>
                <w:rStyle w:val="CommentReference"/>
                <w:rFonts w:ascii="Arial" w:hAnsi="Arial"/>
              </w:rPr>
              <w:commentReference w:id="10"/>
            </w:r>
          </w:p>
        </w:tc>
        <w:tc>
          <w:tcPr>
            <w:tcW w:w="1061" w:type="pct"/>
            <w:hideMark/>
          </w:tcPr>
          <w:p w14:paraId="3FF97F9A"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23 (4.2%)</w:t>
            </w:r>
          </w:p>
        </w:tc>
      </w:tr>
      <w:tr w:rsidR="00EA3C63" w:rsidRPr="00EA3C63" w14:paraId="33E133DC"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7B279F86"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Parvo B19</w:t>
            </w:r>
          </w:p>
        </w:tc>
        <w:tc>
          <w:tcPr>
            <w:tcW w:w="1061" w:type="pct"/>
            <w:hideMark/>
          </w:tcPr>
          <w:p w14:paraId="72C9697F"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 (0.2%)</w:t>
            </w:r>
          </w:p>
        </w:tc>
      </w:tr>
      <w:tr w:rsidR="00EA3C63" w:rsidRPr="00EA3C63" w14:paraId="5A0A253B" w14:textId="77777777" w:rsidTr="001C0071">
        <w:trPr>
          <w:trHeight w:val="283"/>
        </w:trPr>
        <w:tc>
          <w:tcPr>
            <w:tcW w:w="3939" w:type="pct"/>
            <w:hideMark/>
          </w:tcPr>
          <w:p w14:paraId="618F492D"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Syphilis</w:t>
            </w:r>
          </w:p>
        </w:tc>
        <w:tc>
          <w:tcPr>
            <w:tcW w:w="1061" w:type="pct"/>
            <w:hideMark/>
          </w:tcPr>
          <w:p w14:paraId="33302BB9"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17 (3.1%)</w:t>
            </w:r>
          </w:p>
        </w:tc>
      </w:tr>
      <w:tr w:rsidR="00EA3C63" w:rsidRPr="00EA3C63" w14:paraId="36DA2279"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52433E25"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 xml:space="preserve">B </w:t>
            </w:r>
            <w:proofErr w:type="spellStart"/>
            <w:r w:rsidRPr="001C0071">
              <w:rPr>
                <w:rFonts w:eastAsia="Times New Roman" w:cs="Segoe UI"/>
                <w:b/>
                <w:bCs/>
                <w:color w:val="333333"/>
                <w:sz w:val="20"/>
                <w:szCs w:val="20"/>
                <w:lang w:val="en-ZA" w:eastAsia="en-ZA"/>
              </w:rPr>
              <w:t>menigitis</w:t>
            </w:r>
            <w:proofErr w:type="spellEnd"/>
          </w:p>
        </w:tc>
        <w:tc>
          <w:tcPr>
            <w:tcW w:w="1061" w:type="pct"/>
            <w:hideMark/>
          </w:tcPr>
          <w:p w14:paraId="2B64032A"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6 (1.1%)</w:t>
            </w:r>
          </w:p>
        </w:tc>
      </w:tr>
      <w:tr w:rsidR="00EA3C63" w:rsidRPr="00EA3C63" w14:paraId="436DB5E9" w14:textId="77777777" w:rsidTr="001C0071">
        <w:trPr>
          <w:trHeight w:val="283"/>
        </w:trPr>
        <w:tc>
          <w:tcPr>
            <w:tcW w:w="3939" w:type="pct"/>
            <w:hideMark/>
          </w:tcPr>
          <w:p w14:paraId="696948FB"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UTI / Leptospirosis</w:t>
            </w:r>
          </w:p>
        </w:tc>
        <w:tc>
          <w:tcPr>
            <w:tcW w:w="1061" w:type="pct"/>
            <w:hideMark/>
          </w:tcPr>
          <w:p w14:paraId="340BCABE"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7 (1.3%)</w:t>
            </w:r>
          </w:p>
        </w:tc>
      </w:tr>
      <w:tr w:rsidR="00EA3C63" w:rsidRPr="00EA3C63" w14:paraId="6F95A949"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62E89225"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PCP</w:t>
            </w:r>
          </w:p>
        </w:tc>
        <w:tc>
          <w:tcPr>
            <w:tcW w:w="1061" w:type="pct"/>
            <w:hideMark/>
          </w:tcPr>
          <w:p w14:paraId="78F1CEC1"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5 (0.9%)</w:t>
            </w:r>
          </w:p>
        </w:tc>
      </w:tr>
      <w:tr w:rsidR="00EA3C63" w:rsidRPr="00EA3C63" w14:paraId="512046AD" w14:textId="77777777" w:rsidTr="001C0071">
        <w:trPr>
          <w:trHeight w:val="283"/>
        </w:trPr>
        <w:tc>
          <w:tcPr>
            <w:tcW w:w="3939" w:type="pct"/>
            <w:hideMark/>
          </w:tcPr>
          <w:p w14:paraId="5B8C5A5E"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COVID-19</w:t>
            </w:r>
          </w:p>
        </w:tc>
        <w:tc>
          <w:tcPr>
            <w:tcW w:w="1061" w:type="pct"/>
            <w:hideMark/>
          </w:tcPr>
          <w:p w14:paraId="1964F539"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2 (0.4%)</w:t>
            </w:r>
          </w:p>
        </w:tc>
      </w:tr>
      <w:tr w:rsidR="00EA3C63" w:rsidRPr="00EA3C63" w14:paraId="5147EDF8"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5E4432D0" w14:textId="77777777" w:rsidR="00EA3C63" w:rsidRPr="001C0071" w:rsidRDefault="00EA3C63" w:rsidP="001C0071">
            <w:pPr>
              <w:spacing w:beforeLines="36" w:before="86" w:afterLines="36" w:after="86"/>
              <w:ind w:left="147" w:right="147"/>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Neurocysticercosis</w:t>
            </w:r>
          </w:p>
        </w:tc>
        <w:tc>
          <w:tcPr>
            <w:tcW w:w="1061" w:type="pct"/>
            <w:hideMark/>
          </w:tcPr>
          <w:p w14:paraId="2EB783CC" w14:textId="77777777" w:rsidR="00EA3C63" w:rsidRPr="001C0071" w:rsidRDefault="00EA3C63" w:rsidP="001C0071">
            <w:pPr>
              <w:spacing w:beforeLines="36" w:before="86" w:afterLines="36" w:after="86"/>
              <w:ind w:left="147" w:right="147"/>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2 (0.4%)</w:t>
            </w:r>
          </w:p>
        </w:tc>
      </w:tr>
      <w:tr w:rsidR="00EA3C63" w:rsidRPr="00EA3C63" w14:paraId="5542ECC4" w14:textId="77777777" w:rsidTr="001C0071">
        <w:trPr>
          <w:trHeight w:val="283"/>
        </w:trPr>
        <w:tc>
          <w:tcPr>
            <w:tcW w:w="3939" w:type="pct"/>
            <w:hideMark/>
          </w:tcPr>
          <w:p w14:paraId="4F811A29"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Total CD4 count</w:t>
            </w:r>
          </w:p>
        </w:tc>
        <w:tc>
          <w:tcPr>
            <w:tcW w:w="1061" w:type="pct"/>
            <w:hideMark/>
          </w:tcPr>
          <w:p w14:paraId="65B46992"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33.5 (15.0, 62.0)</w:t>
            </w:r>
          </w:p>
        </w:tc>
      </w:tr>
      <w:tr w:rsidR="00EA3C63" w:rsidRPr="00EA3C63" w14:paraId="1CB14FDC"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0381F62C" w14:textId="6EDFC445"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 xml:space="preserve">White </w:t>
            </w:r>
            <w:proofErr w:type="gramStart"/>
            <w:r w:rsidRPr="001C0071">
              <w:rPr>
                <w:rFonts w:eastAsia="Times New Roman" w:cs="Segoe UI"/>
                <w:b/>
                <w:bCs/>
                <w:color w:val="333333"/>
                <w:sz w:val="20"/>
                <w:szCs w:val="20"/>
                <w:lang w:val="en-ZA" w:eastAsia="en-ZA"/>
              </w:rPr>
              <w:t>cell</w:t>
            </w:r>
            <w:proofErr w:type="gramEnd"/>
            <w:r w:rsidRPr="001C0071">
              <w:rPr>
                <w:rFonts w:eastAsia="Times New Roman" w:cs="Segoe UI"/>
                <w:b/>
                <w:bCs/>
                <w:color w:val="333333"/>
                <w:sz w:val="20"/>
                <w:szCs w:val="20"/>
                <w:lang w:val="en-ZA" w:eastAsia="en-ZA"/>
              </w:rPr>
              <w:t xml:space="preserve"> count </w:t>
            </w:r>
            <w:r w:rsidR="007F577C">
              <w:rPr>
                <w:rFonts w:eastAsia="Times New Roman" w:cs="Segoe UI"/>
                <w:b/>
                <w:bCs/>
                <w:color w:val="333333"/>
                <w:sz w:val="20"/>
                <w:szCs w:val="20"/>
                <w:lang w:val="en-ZA" w:eastAsia="en-ZA"/>
              </w:rPr>
              <w:t>x</w:t>
            </w:r>
            <w:r w:rsidR="007F577C" w:rsidRPr="001C0071">
              <w:rPr>
                <w:rFonts w:eastAsia="Times New Roman" w:cs="Segoe UI"/>
                <w:b/>
                <w:bCs/>
                <w:color w:val="333333"/>
                <w:sz w:val="20"/>
                <w:szCs w:val="20"/>
                <w:lang w:val="en-ZA" w:eastAsia="en-ZA"/>
              </w:rPr>
              <w:t>10</w:t>
            </w:r>
            <w:r w:rsidR="007F577C" w:rsidRPr="001C0071">
              <w:rPr>
                <w:rFonts w:eastAsia="Times New Roman" w:cs="Segoe UI"/>
                <w:b/>
                <w:bCs/>
                <w:color w:val="333333"/>
                <w:sz w:val="20"/>
                <w:szCs w:val="20"/>
                <w:vertAlign w:val="superscript"/>
                <w:lang w:val="en-ZA" w:eastAsia="en-ZA"/>
              </w:rPr>
              <w:t>9</w:t>
            </w:r>
          </w:p>
        </w:tc>
        <w:tc>
          <w:tcPr>
            <w:tcW w:w="1061" w:type="pct"/>
            <w:hideMark/>
          </w:tcPr>
          <w:p w14:paraId="091C45E0"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5.5 (3.7, 8.2)</w:t>
            </w:r>
          </w:p>
        </w:tc>
      </w:tr>
      <w:tr w:rsidR="00EA3C63" w:rsidRPr="00EA3C63" w14:paraId="6CA2CE27" w14:textId="77777777" w:rsidTr="001C0071">
        <w:trPr>
          <w:trHeight w:val="283"/>
        </w:trPr>
        <w:tc>
          <w:tcPr>
            <w:tcW w:w="3939" w:type="pct"/>
            <w:hideMark/>
          </w:tcPr>
          <w:p w14:paraId="59516836" w14:textId="19798E6B"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 xml:space="preserve">Lymphocyte count </w:t>
            </w:r>
            <w:r w:rsidR="007F577C">
              <w:rPr>
                <w:rFonts w:eastAsia="Times New Roman" w:cs="Segoe UI"/>
                <w:b/>
                <w:bCs/>
                <w:color w:val="333333"/>
                <w:sz w:val="20"/>
                <w:szCs w:val="20"/>
                <w:lang w:val="en-ZA" w:eastAsia="en-ZA"/>
              </w:rPr>
              <w:t>x</w:t>
            </w:r>
            <w:r w:rsidRPr="001C0071">
              <w:rPr>
                <w:rFonts w:eastAsia="Times New Roman" w:cs="Segoe UI"/>
                <w:b/>
                <w:bCs/>
                <w:color w:val="333333"/>
                <w:sz w:val="20"/>
                <w:szCs w:val="20"/>
                <w:lang w:val="en-ZA" w:eastAsia="en-ZA"/>
              </w:rPr>
              <w:t>10</w:t>
            </w:r>
            <w:r w:rsidRPr="001C0071">
              <w:rPr>
                <w:rFonts w:eastAsia="Times New Roman" w:cs="Segoe UI"/>
                <w:b/>
                <w:bCs/>
                <w:color w:val="333333"/>
                <w:sz w:val="20"/>
                <w:szCs w:val="20"/>
                <w:vertAlign w:val="superscript"/>
                <w:lang w:val="en-ZA" w:eastAsia="en-ZA"/>
              </w:rPr>
              <w:t>9</w:t>
            </w:r>
          </w:p>
        </w:tc>
        <w:tc>
          <w:tcPr>
            <w:tcW w:w="1061" w:type="pct"/>
            <w:hideMark/>
          </w:tcPr>
          <w:p w14:paraId="638B28A3"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0.8 (0.4, 1.9)</w:t>
            </w:r>
          </w:p>
        </w:tc>
      </w:tr>
      <w:tr w:rsidR="00EA3C63" w:rsidRPr="00EA3C63" w14:paraId="1850B67C"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3CCB9F4F"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Neutrophils</w:t>
            </w:r>
          </w:p>
        </w:tc>
        <w:tc>
          <w:tcPr>
            <w:tcW w:w="1061" w:type="pct"/>
            <w:hideMark/>
          </w:tcPr>
          <w:p w14:paraId="501A342E"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3.6 (1.5, 8.3)</w:t>
            </w:r>
          </w:p>
        </w:tc>
      </w:tr>
      <w:tr w:rsidR="00EA3C63" w:rsidRPr="00EA3C63" w14:paraId="1ED266D6" w14:textId="77777777" w:rsidTr="001C0071">
        <w:trPr>
          <w:trHeight w:val="283"/>
        </w:trPr>
        <w:tc>
          <w:tcPr>
            <w:tcW w:w="3939" w:type="pct"/>
            <w:hideMark/>
          </w:tcPr>
          <w:p w14:paraId="6B756A7E"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ART exposure</w:t>
            </w:r>
          </w:p>
        </w:tc>
        <w:tc>
          <w:tcPr>
            <w:tcW w:w="1061" w:type="pct"/>
            <w:hideMark/>
          </w:tcPr>
          <w:p w14:paraId="5240E65D"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207 (37.7%)</w:t>
            </w:r>
          </w:p>
        </w:tc>
      </w:tr>
      <w:tr w:rsidR="00EA3C63" w:rsidRPr="00EA3C63" w14:paraId="70DA003A" w14:textId="77777777" w:rsidTr="001C0071">
        <w:trPr>
          <w:cnfStyle w:val="000000100000" w:firstRow="0" w:lastRow="0" w:firstColumn="0" w:lastColumn="0" w:oddVBand="0" w:evenVBand="0" w:oddHBand="1" w:evenHBand="0" w:firstRowFirstColumn="0" w:firstRowLastColumn="0" w:lastRowFirstColumn="0" w:lastRowLastColumn="0"/>
          <w:trHeight w:val="283"/>
        </w:trPr>
        <w:tc>
          <w:tcPr>
            <w:tcW w:w="3939" w:type="pct"/>
            <w:hideMark/>
          </w:tcPr>
          <w:p w14:paraId="08BFEC8C" w14:textId="77777777" w:rsidR="00EA3C63" w:rsidRPr="001C0071" w:rsidRDefault="00EA3C63" w:rsidP="001C0071">
            <w:pPr>
              <w:spacing w:beforeLines="36" w:before="86" w:afterLines="36" w:after="86"/>
              <w:ind w:left="150" w:right="150"/>
              <w:contextualSpacing/>
              <w:rPr>
                <w:rFonts w:eastAsia="Times New Roman" w:cs="Segoe UI"/>
                <w:b/>
                <w:bCs/>
                <w:color w:val="333333"/>
                <w:sz w:val="20"/>
                <w:szCs w:val="20"/>
                <w:lang w:val="en-ZA" w:eastAsia="en-ZA"/>
              </w:rPr>
            </w:pPr>
            <w:r w:rsidRPr="001C0071">
              <w:rPr>
                <w:rFonts w:eastAsia="Times New Roman" w:cs="Segoe UI"/>
                <w:b/>
                <w:bCs/>
                <w:color w:val="333333"/>
                <w:sz w:val="20"/>
                <w:szCs w:val="20"/>
                <w:lang w:val="en-ZA" w:eastAsia="en-ZA"/>
              </w:rPr>
              <w:t>Kidney medication</w:t>
            </w:r>
          </w:p>
        </w:tc>
        <w:tc>
          <w:tcPr>
            <w:tcW w:w="1061" w:type="pct"/>
            <w:hideMark/>
          </w:tcPr>
          <w:p w14:paraId="1B218AE4" w14:textId="77777777" w:rsidR="00EA3C63" w:rsidRPr="001C0071" w:rsidRDefault="00EA3C63" w:rsidP="001C0071">
            <w:pPr>
              <w:spacing w:beforeLines="36" w:before="86" w:afterLines="36" w:after="86"/>
              <w:ind w:left="150" w:right="150"/>
              <w:contextualSpacing/>
              <w:jc w:val="center"/>
              <w:rPr>
                <w:rFonts w:eastAsia="Times New Roman" w:cs="Segoe UI"/>
                <w:color w:val="333333"/>
                <w:sz w:val="20"/>
                <w:szCs w:val="20"/>
                <w:lang w:val="en-ZA" w:eastAsia="en-ZA"/>
              </w:rPr>
            </w:pPr>
            <w:r w:rsidRPr="001C0071">
              <w:rPr>
                <w:rFonts w:eastAsia="Times New Roman" w:cs="Segoe UI"/>
                <w:color w:val="333333"/>
                <w:sz w:val="20"/>
                <w:szCs w:val="20"/>
                <w:lang w:val="en-ZA" w:eastAsia="en-ZA"/>
              </w:rPr>
              <w:t>52 (9.5%)</w:t>
            </w:r>
          </w:p>
        </w:tc>
      </w:tr>
    </w:tbl>
    <w:p w14:paraId="6E35A614" w14:textId="704CE887" w:rsidR="00EA3C63" w:rsidRPr="001C0071" w:rsidRDefault="007F577C" w:rsidP="00F71632">
      <w:pPr>
        <w:pStyle w:val="BodyText"/>
        <w:rPr>
          <w:rFonts w:cstheme="majorHAnsi"/>
          <w:b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w:t>
      </w:r>
      <w:proofErr w:type="spellStart"/>
      <w:r w:rsidRPr="001C0071">
        <w:rPr>
          <w:rFonts w:cs="Segoe UI"/>
          <w:color w:val="333333"/>
          <w:sz w:val="16"/>
          <w:szCs w:val="16"/>
          <w:shd w:val="clear" w:color="auto" w:fill="FFFFFF"/>
        </w:rPr>
        <w:t>IQR</w:t>
      </w:r>
      <w:proofErr w:type="spellEnd"/>
      <w:r w:rsidRPr="001C0071">
        <w:rPr>
          <w:rFonts w:cs="Segoe UI"/>
          <w:color w:val="333333"/>
          <w:sz w:val="16"/>
          <w:szCs w:val="16"/>
          <w:shd w:val="clear" w:color="auto" w:fill="FFFFFF"/>
        </w:rPr>
        <w:t>); n (%)</w:t>
      </w:r>
    </w:p>
    <w:p w14:paraId="79ED0F52" w14:textId="77777777" w:rsidR="005D7640" w:rsidRPr="00771D66" w:rsidRDefault="005D7640" w:rsidP="00F71632">
      <w:pPr>
        <w:pStyle w:val="BodyText"/>
        <w:rPr>
          <w:rFonts w:asciiTheme="majorHAnsi" w:hAnsiTheme="majorHAnsi" w:cstheme="majorHAnsi"/>
          <w:bCs/>
          <w:sz w:val="22"/>
          <w:szCs w:val="22"/>
        </w:rPr>
      </w:pPr>
    </w:p>
    <w:tbl>
      <w:tblPr>
        <w:tblStyle w:val="PlainTable5"/>
        <w:tblW w:w="5000" w:type="pct"/>
        <w:tblLook w:val="0420" w:firstRow="1" w:lastRow="0" w:firstColumn="0" w:lastColumn="0" w:noHBand="0" w:noVBand="1"/>
      </w:tblPr>
      <w:tblGrid>
        <w:gridCol w:w="7706"/>
        <w:gridCol w:w="1654"/>
      </w:tblGrid>
      <w:tr w:rsidR="0074124B" w:rsidRPr="007741DF" w14:paraId="3235A25D" w14:textId="77777777" w:rsidTr="00E92353">
        <w:trPr>
          <w:cnfStyle w:val="100000000000" w:firstRow="1" w:lastRow="0" w:firstColumn="0" w:lastColumn="0" w:oddVBand="0" w:evenVBand="0" w:oddHBand="0" w:evenHBand="0" w:firstRowFirstColumn="0" w:firstRowLastColumn="0" w:lastRowFirstColumn="0" w:lastRowLastColumn="0"/>
        </w:trPr>
        <w:tc>
          <w:tcPr>
            <w:tcW w:w="0" w:type="auto"/>
          </w:tcPr>
          <w:p w14:paraId="01BA5918" w14:textId="77777777" w:rsidR="0074124B" w:rsidRPr="007741DF" w:rsidRDefault="0074124B" w:rsidP="00E92353">
            <w:pPr>
              <w:spacing w:before="36" w:after="36"/>
              <w:rPr>
                <w:rFonts w:ascii="Cambria" w:eastAsia="Cambria" w:hAnsi="Cambria" w:cs="Times New Roman"/>
                <w:sz w:val="18"/>
                <w:szCs w:val="18"/>
              </w:rPr>
            </w:pPr>
            <w:commentRangeStart w:id="11"/>
          </w:p>
        </w:tc>
        <w:tc>
          <w:tcPr>
            <w:tcW w:w="0" w:type="auto"/>
          </w:tcPr>
          <w:p w14:paraId="64F8A743" w14:textId="77777777" w:rsidR="0074124B" w:rsidRPr="007741DF" w:rsidRDefault="0074124B" w:rsidP="00E92353">
            <w:pPr>
              <w:spacing w:before="36" w:after="36"/>
              <w:jc w:val="center"/>
              <w:rPr>
                <w:rFonts w:ascii="Cambria" w:eastAsia="Cambria" w:hAnsi="Cambria" w:cs="Times New Roman"/>
                <w:b/>
                <w:bCs/>
                <w:sz w:val="18"/>
                <w:szCs w:val="18"/>
              </w:rPr>
            </w:pPr>
          </w:p>
        </w:tc>
      </w:tr>
      <w:tr w:rsidR="0074124B" w:rsidRPr="007741DF" w14:paraId="5EC027D7"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4EA29F47" w14:textId="653577C8" w:rsidR="0074124B" w:rsidRPr="00633443" w:rsidRDefault="0074124B" w:rsidP="00E92353">
            <w:pPr>
              <w:spacing w:before="36" w:after="36"/>
              <w:rPr>
                <w:rFonts w:ascii="Cambria" w:eastAsia="Cambria" w:hAnsi="Cambria" w:cs="Times New Roman"/>
                <w:b/>
                <w:bCs/>
              </w:rPr>
            </w:pPr>
            <w:bookmarkStart w:id="12" w:name="_Hlk168647566"/>
            <w:r w:rsidRPr="00633443">
              <w:rPr>
                <w:rFonts w:ascii="Cambria" w:eastAsia="Cambria" w:hAnsi="Cambria" w:cs="Times New Roman"/>
                <w:b/>
                <w:bCs/>
              </w:rPr>
              <w:t xml:space="preserve">Table </w:t>
            </w:r>
            <w:r w:rsidR="003C438E" w:rsidRPr="00633443">
              <w:rPr>
                <w:rFonts w:ascii="Cambria" w:eastAsia="Cambria" w:hAnsi="Cambria" w:cs="Times New Roman"/>
                <w:b/>
                <w:bCs/>
              </w:rPr>
              <w:t>1</w:t>
            </w:r>
            <w:r w:rsidR="003C438E">
              <w:rPr>
                <w:rFonts w:ascii="Cambria" w:eastAsia="Cambria" w:hAnsi="Cambria" w:cs="Times New Roman"/>
                <w:b/>
                <w:bCs/>
              </w:rPr>
              <w:t>.2:</w:t>
            </w:r>
            <w:r w:rsidRPr="00633443">
              <w:rPr>
                <w:rFonts w:ascii="Cambria" w:eastAsia="Cambria" w:hAnsi="Cambria" w:cs="Times New Roman"/>
                <w:b/>
                <w:bCs/>
              </w:rPr>
              <w:t xml:space="preserve"> </w:t>
            </w:r>
            <w:r w:rsidR="00BE5226" w:rsidRPr="00633443">
              <w:rPr>
                <w:rFonts w:ascii="Cambria" w:eastAsia="Cambria" w:hAnsi="Cambria" w:cs="Times New Roman"/>
                <w:b/>
                <w:bCs/>
              </w:rPr>
              <w:t xml:space="preserve">Baseline </w:t>
            </w:r>
            <w:r w:rsidRPr="00633443">
              <w:rPr>
                <w:rFonts w:ascii="Cambria" w:eastAsia="Cambria" w:hAnsi="Cambria" w:cs="Times New Roman"/>
                <w:b/>
                <w:bCs/>
              </w:rPr>
              <w:t>patient characteristic</w:t>
            </w:r>
            <w:r w:rsidR="00BE5226" w:rsidRPr="00633443">
              <w:rPr>
                <w:rFonts w:ascii="Cambria" w:eastAsia="Cambria" w:hAnsi="Cambria" w:cs="Times New Roman"/>
                <w:b/>
                <w:bCs/>
              </w:rPr>
              <w:t xml:space="preserve">s </w:t>
            </w:r>
            <w:r w:rsidRPr="00633443">
              <w:rPr>
                <w:rFonts w:ascii="Cambria" w:eastAsia="Cambria" w:hAnsi="Cambria" w:cs="Times New Roman"/>
                <w:b/>
                <w:bCs/>
              </w:rPr>
              <w:t>on admission</w:t>
            </w:r>
            <w:r w:rsidR="009D039A">
              <w:rPr>
                <w:rFonts w:ascii="Cambria" w:eastAsia="Cambria" w:hAnsi="Cambria" w:cs="Times New Roman"/>
                <w:b/>
                <w:bCs/>
              </w:rPr>
              <w:t xml:space="preserve"> </w:t>
            </w:r>
            <w:bookmarkEnd w:id="12"/>
            <w:r w:rsidR="009D039A" w:rsidRPr="001C0071">
              <w:rPr>
                <w:rFonts w:ascii="Cambria" w:eastAsia="Cambria" w:hAnsi="Cambria" w:cs="Times New Roman"/>
                <w:b/>
                <w:bCs/>
                <w:color w:val="FF0000"/>
              </w:rPr>
              <w:t>(Remake as 549)</w:t>
            </w:r>
          </w:p>
        </w:tc>
        <w:tc>
          <w:tcPr>
            <w:tcW w:w="0" w:type="auto"/>
          </w:tcPr>
          <w:p w14:paraId="4FC54A4C" w14:textId="77777777" w:rsidR="0074124B" w:rsidRPr="007741DF" w:rsidRDefault="0074124B" w:rsidP="00E92353">
            <w:pPr>
              <w:spacing w:before="36" w:after="36"/>
              <w:jc w:val="center"/>
              <w:rPr>
                <w:rFonts w:ascii="Cambria" w:eastAsia="Cambria" w:hAnsi="Cambria" w:cs="Times New Roman"/>
                <w:b/>
                <w:bCs/>
                <w:sz w:val="18"/>
                <w:szCs w:val="18"/>
              </w:rPr>
            </w:pPr>
          </w:p>
        </w:tc>
      </w:tr>
      <w:tr w:rsidR="000D070F" w:rsidRPr="007741DF" w14:paraId="6C8EA0ED" w14:textId="77777777" w:rsidTr="00E92353">
        <w:tc>
          <w:tcPr>
            <w:tcW w:w="0" w:type="auto"/>
          </w:tcPr>
          <w:p w14:paraId="08F8E9B0"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sz w:val="18"/>
                <w:szCs w:val="18"/>
              </w:rPr>
              <w:t>Variable</w:t>
            </w:r>
          </w:p>
        </w:tc>
        <w:tc>
          <w:tcPr>
            <w:tcW w:w="0" w:type="auto"/>
          </w:tcPr>
          <w:p w14:paraId="5029BEEE"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b/>
                <w:bCs/>
                <w:sz w:val="18"/>
                <w:szCs w:val="18"/>
              </w:rPr>
              <w:t>N = 528</w:t>
            </w:r>
          </w:p>
        </w:tc>
      </w:tr>
      <w:tr w:rsidR="000D070F" w:rsidRPr="007741DF" w14:paraId="4E7FB457"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36C09697"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b/>
                <w:bCs/>
                <w:sz w:val="18"/>
                <w:szCs w:val="18"/>
              </w:rPr>
              <w:t>Age at enrolment, median (</w:t>
            </w:r>
            <w:proofErr w:type="spellStart"/>
            <w:r w:rsidRPr="007741DF">
              <w:rPr>
                <w:rFonts w:ascii="Cambria" w:eastAsia="Cambria" w:hAnsi="Cambria" w:cs="Times New Roman"/>
                <w:b/>
                <w:bCs/>
                <w:sz w:val="18"/>
                <w:szCs w:val="18"/>
              </w:rPr>
              <w:t>IQR</w:t>
            </w:r>
            <w:proofErr w:type="spellEnd"/>
            <w:r w:rsidRPr="007741DF">
              <w:rPr>
                <w:rFonts w:ascii="Cambria" w:eastAsia="Cambria" w:hAnsi="Cambria" w:cs="Times New Roman"/>
                <w:b/>
                <w:bCs/>
                <w:sz w:val="18"/>
                <w:szCs w:val="18"/>
              </w:rPr>
              <w:t>) (years)</w:t>
            </w:r>
          </w:p>
        </w:tc>
        <w:tc>
          <w:tcPr>
            <w:tcW w:w="0" w:type="auto"/>
          </w:tcPr>
          <w:p w14:paraId="155DE750"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36.0 (31.0, 43.0)</w:t>
            </w:r>
          </w:p>
        </w:tc>
      </w:tr>
      <w:tr w:rsidR="000D070F" w:rsidRPr="007741DF" w14:paraId="7E98C868" w14:textId="77777777" w:rsidTr="00E92353">
        <w:tc>
          <w:tcPr>
            <w:tcW w:w="0" w:type="auto"/>
          </w:tcPr>
          <w:p w14:paraId="14364400"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b/>
                <w:bCs/>
                <w:sz w:val="18"/>
                <w:szCs w:val="18"/>
              </w:rPr>
              <w:t>Gender, n (%)</w:t>
            </w:r>
          </w:p>
        </w:tc>
        <w:tc>
          <w:tcPr>
            <w:tcW w:w="0" w:type="auto"/>
          </w:tcPr>
          <w:p w14:paraId="00DB780A" w14:textId="77777777" w:rsidR="000D070F" w:rsidRPr="007741DF" w:rsidRDefault="000D070F" w:rsidP="00E92353">
            <w:pPr>
              <w:spacing w:before="36" w:after="36"/>
              <w:rPr>
                <w:rFonts w:ascii="Cambria" w:eastAsia="Cambria" w:hAnsi="Cambria" w:cs="Times New Roman"/>
                <w:sz w:val="18"/>
                <w:szCs w:val="18"/>
              </w:rPr>
            </w:pPr>
          </w:p>
        </w:tc>
      </w:tr>
      <w:tr w:rsidR="000D070F" w:rsidRPr="007741DF" w14:paraId="70EA77EE"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464D4780"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sz w:val="18"/>
                <w:szCs w:val="18"/>
              </w:rPr>
              <w:t>Female</w:t>
            </w:r>
          </w:p>
        </w:tc>
        <w:tc>
          <w:tcPr>
            <w:tcW w:w="0" w:type="auto"/>
          </w:tcPr>
          <w:p w14:paraId="1DBCD956"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269 (50.9%)</w:t>
            </w:r>
          </w:p>
        </w:tc>
      </w:tr>
      <w:tr w:rsidR="000D070F" w:rsidRPr="007741DF" w14:paraId="312B0731" w14:textId="77777777" w:rsidTr="00E92353">
        <w:tc>
          <w:tcPr>
            <w:tcW w:w="0" w:type="auto"/>
          </w:tcPr>
          <w:p w14:paraId="6E07CE6F"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sz w:val="18"/>
                <w:szCs w:val="18"/>
              </w:rPr>
              <w:t>Male</w:t>
            </w:r>
          </w:p>
        </w:tc>
        <w:tc>
          <w:tcPr>
            <w:tcW w:w="0" w:type="auto"/>
          </w:tcPr>
          <w:p w14:paraId="3C876499"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256 (48.5%)</w:t>
            </w:r>
          </w:p>
        </w:tc>
      </w:tr>
      <w:tr w:rsidR="000D070F" w:rsidRPr="007741DF" w14:paraId="28F88DF7"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5ABFB2D3"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sz w:val="18"/>
                <w:szCs w:val="18"/>
              </w:rPr>
              <w:lastRenderedPageBreak/>
              <w:t>Unknown</w:t>
            </w:r>
          </w:p>
        </w:tc>
        <w:tc>
          <w:tcPr>
            <w:tcW w:w="0" w:type="auto"/>
          </w:tcPr>
          <w:p w14:paraId="073C2232"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3 (0.6%)</w:t>
            </w:r>
          </w:p>
        </w:tc>
      </w:tr>
      <w:tr w:rsidR="000D070F" w:rsidRPr="007741DF" w14:paraId="7E89CC16" w14:textId="77777777" w:rsidTr="00E92353">
        <w:tc>
          <w:tcPr>
            <w:tcW w:w="0" w:type="auto"/>
          </w:tcPr>
          <w:p w14:paraId="626B003D"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b/>
                <w:bCs/>
                <w:sz w:val="18"/>
                <w:szCs w:val="18"/>
              </w:rPr>
              <w:t>Ethnicity, n (%)</w:t>
            </w:r>
          </w:p>
        </w:tc>
        <w:tc>
          <w:tcPr>
            <w:tcW w:w="0" w:type="auto"/>
          </w:tcPr>
          <w:p w14:paraId="3DF51740" w14:textId="77777777" w:rsidR="000D070F" w:rsidRPr="007741DF" w:rsidRDefault="000D070F" w:rsidP="00E92353">
            <w:pPr>
              <w:spacing w:before="36" w:after="36"/>
              <w:rPr>
                <w:rFonts w:ascii="Cambria" w:eastAsia="Cambria" w:hAnsi="Cambria" w:cs="Times New Roman"/>
                <w:sz w:val="18"/>
                <w:szCs w:val="18"/>
              </w:rPr>
            </w:pPr>
          </w:p>
        </w:tc>
      </w:tr>
      <w:tr w:rsidR="000D070F" w:rsidRPr="007741DF" w14:paraId="4145300D"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07676008" w14:textId="77777777" w:rsidR="000D070F" w:rsidRPr="007741DF" w:rsidRDefault="000D070F" w:rsidP="00E92353">
            <w:pPr>
              <w:spacing w:before="36" w:after="36"/>
              <w:rPr>
                <w:rFonts w:ascii="Cambria" w:eastAsia="Cambria" w:hAnsi="Cambria" w:cs="Times New Roman"/>
                <w:sz w:val="18"/>
                <w:szCs w:val="18"/>
              </w:rPr>
            </w:pPr>
            <w:r w:rsidRPr="007741DF">
              <w:rPr>
                <w:rFonts w:ascii="Cambria" w:eastAsia="Cambria" w:hAnsi="Cambria" w:cs="Times New Roman"/>
                <w:sz w:val="18"/>
                <w:szCs w:val="18"/>
              </w:rPr>
              <w:t>Black African</w:t>
            </w:r>
          </w:p>
        </w:tc>
        <w:tc>
          <w:tcPr>
            <w:tcW w:w="0" w:type="auto"/>
          </w:tcPr>
          <w:p w14:paraId="23DBC5EF"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421 (79.7%)</w:t>
            </w:r>
          </w:p>
        </w:tc>
      </w:tr>
      <w:tr w:rsidR="000D070F" w:rsidRPr="007741DF" w14:paraId="590DA67E" w14:textId="77777777" w:rsidTr="00E92353">
        <w:tc>
          <w:tcPr>
            <w:tcW w:w="0" w:type="auto"/>
          </w:tcPr>
          <w:p w14:paraId="16512E7A" w14:textId="4AE82C40" w:rsidR="000D070F" w:rsidRPr="007741DF" w:rsidRDefault="00633443" w:rsidP="00E92353">
            <w:pPr>
              <w:spacing w:before="36" w:after="36"/>
              <w:rPr>
                <w:rFonts w:ascii="Cambria" w:eastAsia="Cambria" w:hAnsi="Cambria" w:cs="Times New Roman"/>
                <w:sz w:val="18"/>
                <w:szCs w:val="18"/>
              </w:rPr>
            </w:pPr>
            <w:r>
              <w:rPr>
                <w:rFonts w:ascii="Cambria" w:eastAsia="Cambria" w:hAnsi="Cambria" w:cs="Times New Roman"/>
                <w:sz w:val="18"/>
                <w:szCs w:val="18"/>
              </w:rPr>
              <w:t>Mixed race</w:t>
            </w:r>
          </w:p>
        </w:tc>
        <w:tc>
          <w:tcPr>
            <w:tcW w:w="0" w:type="auto"/>
          </w:tcPr>
          <w:p w14:paraId="4370CA4C"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105 (19.9%)</w:t>
            </w:r>
          </w:p>
        </w:tc>
      </w:tr>
      <w:tr w:rsidR="000D070F" w:rsidRPr="007741DF" w14:paraId="1F5EE933"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2E8CB524" w14:textId="77777777" w:rsidR="000D070F" w:rsidRPr="00E7395B" w:rsidRDefault="000D070F" w:rsidP="00E92353">
            <w:pPr>
              <w:spacing w:before="36" w:after="36"/>
              <w:rPr>
                <w:rFonts w:ascii="Cambria" w:eastAsia="Cambria" w:hAnsi="Cambria" w:cs="Times New Roman"/>
                <w:sz w:val="18"/>
                <w:szCs w:val="18"/>
              </w:rPr>
            </w:pPr>
            <w:r w:rsidRPr="00E7395B">
              <w:rPr>
                <w:rFonts w:ascii="Cambria" w:eastAsia="Cambria" w:hAnsi="Cambria" w:cs="Times New Roman"/>
                <w:sz w:val="18"/>
                <w:szCs w:val="18"/>
              </w:rPr>
              <w:t>Duration of current illness, median (</w:t>
            </w:r>
            <w:proofErr w:type="spellStart"/>
            <w:r w:rsidRPr="00E7395B">
              <w:rPr>
                <w:rFonts w:ascii="Cambria" w:eastAsia="Cambria" w:hAnsi="Cambria" w:cs="Times New Roman"/>
                <w:sz w:val="18"/>
                <w:szCs w:val="18"/>
              </w:rPr>
              <w:t>IQR</w:t>
            </w:r>
            <w:proofErr w:type="spellEnd"/>
            <w:r w:rsidRPr="00E7395B">
              <w:rPr>
                <w:rFonts w:ascii="Cambria" w:eastAsia="Cambria" w:hAnsi="Cambria" w:cs="Times New Roman"/>
                <w:sz w:val="18"/>
                <w:szCs w:val="18"/>
              </w:rPr>
              <w:t>) (days)</w:t>
            </w:r>
          </w:p>
        </w:tc>
        <w:tc>
          <w:tcPr>
            <w:tcW w:w="0" w:type="auto"/>
          </w:tcPr>
          <w:p w14:paraId="670E0190"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14.0 (12.0, 21.0)</w:t>
            </w:r>
          </w:p>
        </w:tc>
      </w:tr>
      <w:tr w:rsidR="004C3169" w:rsidRPr="007741DF" w14:paraId="00E2EBDA" w14:textId="77777777" w:rsidTr="00984D9A">
        <w:tc>
          <w:tcPr>
            <w:tcW w:w="0" w:type="auto"/>
          </w:tcPr>
          <w:p w14:paraId="031ED2D6" w14:textId="77777777" w:rsidR="004C3169" w:rsidRPr="00E7395B" w:rsidRDefault="004C3169" w:rsidP="00984D9A">
            <w:pPr>
              <w:spacing w:before="36" w:after="36"/>
              <w:rPr>
                <w:rFonts w:ascii="Cambria" w:eastAsia="Cambria" w:hAnsi="Cambria" w:cs="Times New Roman"/>
                <w:sz w:val="18"/>
                <w:szCs w:val="18"/>
              </w:rPr>
            </w:pPr>
            <w:r w:rsidRPr="00E7395B">
              <w:rPr>
                <w:rFonts w:ascii="Cambria" w:eastAsia="Cambria" w:hAnsi="Cambria" w:cs="Times New Roman"/>
                <w:sz w:val="18"/>
                <w:szCs w:val="18"/>
              </w:rPr>
              <w:t>Weight loss</w:t>
            </w:r>
          </w:p>
        </w:tc>
        <w:tc>
          <w:tcPr>
            <w:tcW w:w="0" w:type="auto"/>
          </w:tcPr>
          <w:p w14:paraId="508B08F1" w14:textId="77777777" w:rsidR="004C3169" w:rsidRPr="007741DF" w:rsidRDefault="004C3169" w:rsidP="00984D9A">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435 (82.4%)</w:t>
            </w:r>
          </w:p>
        </w:tc>
      </w:tr>
      <w:tr w:rsidR="00984D9A" w:rsidRPr="007741DF" w14:paraId="0C783EF0" w14:textId="77777777" w:rsidTr="00984D9A">
        <w:trPr>
          <w:cnfStyle w:val="000000100000" w:firstRow="0" w:lastRow="0" w:firstColumn="0" w:lastColumn="0" w:oddVBand="0" w:evenVBand="0" w:oddHBand="1" w:evenHBand="0" w:firstRowFirstColumn="0" w:firstRowLastColumn="0" w:lastRowFirstColumn="0" w:lastRowLastColumn="0"/>
        </w:trPr>
        <w:tc>
          <w:tcPr>
            <w:tcW w:w="0" w:type="auto"/>
          </w:tcPr>
          <w:p w14:paraId="1542D070" w14:textId="70A7599C" w:rsidR="00984D9A" w:rsidRPr="00984D9A" w:rsidRDefault="00984D9A" w:rsidP="00984D9A">
            <w:pPr>
              <w:spacing w:before="36" w:after="36"/>
              <w:rPr>
                <w:rFonts w:ascii="Cambria" w:eastAsia="Cambria" w:hAnsi="Cambria" w:cs="Times New Roman"/>
                <w:b/>
                <w:bCs/>
                <w:sz w:val="18"/>
                <w:szCs w:val="18"/>
              </w:rPr>
            </w:pPr>
            <w:r w:rsidRPr="00984D9A">
              <w:rPr>
                <w:rFonts w:ascii="Cambria" w:eastAsia="Cambria" w:hAnsi="Cambria" w:cs="Times New Roman"/>
                <w:b/>
                <w:bCs/>
                <w:sz w:val="18"/>
                <w:szCs w:val="18"/>
              </w:rPr>
              <w:t>Serologic severity of HIV</w:t>
            </w:r>
          </w:p>
        </w:tc>
        <w:tc>
          <w:tcPr>
            <w:tcW w:w="0" w:type="auto"/>
          </w:tcPr>
          <w:p w14:paraId="3F431B39" w14:textId="77777777" w:rsidR="00984D9A" w:rsidRPr="007741DF" w:rsidRDefault="00984D9A" w:rsidP="00984D9A">
            <w:pPr>
              <w:spacing w:before="36" w:after="36"/>
              <w:jc w:val="center"/>
              <w:rPr>
                <w:rFonts w:ascii="Cambria" w:eastAsia="Cambria" w:hAnsi="Cambria" w:cs="Times New Roman"/>
                <w:sz w:val="18"/>
                <w:szCs w:val="18"/>
              </w:rPr>
            </w:pPr>
          </w:p>
        </w:tc>
      </w:tr>
      <w:tr w:rsidR="000D070F" w:rsidRPr="007741DF" w14:paraId="716C4CAB" w14:textId="77777777" w:rsidTr="00E92353">
        <w:tc>
          <w:tcPr>
            <w:tcW w:w="0" w:type="auto"/>
          </w:tcPr>
          <w:p w14:paraId="172514FC" w14:textId="00ECC185" w:rsidR="000D070F" w:rsidRPr="00E7395B" w:rsidRDefault="000D070F" w:rsidP="00E92353">
            <w:pPr>
              <w:spacing w:before="36" w:after="36"/>
              <w:rPr>
                <w:rFonts w:ascii="Cambria" w:eastAsia="Cambria" w:hAnsi="Cambria" w:cs="Times New Roman"/>
                <w:sz w:val="18"/>
                <w:szCs w:val="18"/>
              </w:rPr>
            </w:pPr>
            <w:r w:rsidRPr="00E7395B">
              <w:rPr>
                <w:rFonts w:ascii="Cambria" w:eastAsia="Cambria" w:hAnsi="Cambria" w:cs="Times New Roman"/>
                <w:sz w:val="18"/>
                <w:szCs w:val="18"/>
              </w:rPr>
              <w:t>log10 viral load</w:t>
            </w:r>
            <w:r w:rsidR="00C81112" w:rsidRPr="00E7395B">
              <w:rPr>
                <w:rFonts w:ascii="Cambria" w:eastAsia="Cambria" w:hAnsi="Cambria" w:cs="Times New Roman"/>
                <w:sz w:val="18"/>
                <w:szCs w:val="18"/>
              </w:rPr>
              <w:t xml:space="preserve"> (Log10 Copies/ml)</w:t>
            </w:r>
          </w:p>
        </w:tc>
        <w:tc>
          <w:tcPr>
            <w:tcW w:w="0" w:type="auto"/>
          </w:tcPr>
          <w:p w14:paraId="04A2B7A8" w14:textId="77777777" w:rsidR="000D070F" w:rsidRPr="007741DF" w:rsidRDefault="000D070F" w:rsidP="00E92353">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10.7 (7.4, 12.3)</w:t>
            </w:r>
          </w:p>
        </w:tc>
      </w:tr>
      <w:tr w:rsidR="00BB5E1E" w:rsidRPr="007741DF" w14:paraId="722B2B86"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701C023E" w14:textId="4AF7FD82" w:rsidR="00BB5E1E" w:rsidRPr="007741DF" w:rsidRDefault="00BB5E1E" w:rsidP="00BB5E1E">
            <w:pPr>
              <w:spacing w:before="36" w:after="36"/>
              <w:rPr>
                <w:rFonts w:ascii="Cambria" w:eastAsia="Cambria" w:hAnsi="Cambria" w:cs="Times New Roman"/>
                <w:sz w:val="18"/>
                <w:szCs w:val="18"/>
              </w:rPr>
            </w:pPr>
            <w:r w:rsidRPr="00E7395B">
              <w:rPr>
                <w:rFonts w:ascii="Cambria" w:eastAsia="Cambria" w:hAnsi="Cambria" w:cs="Times New Roman"/>
                <w:sz w:val="18"/>
                <w:szCs w:val="18"/>
              </w:rPr>
              <w:t>Total CD4 count (Cells per mm</w:t>
            </w:r>
            <w:r w:rsidRPr="00E7395B">
              <w:rPr>
                <w:rFonts w:ascii="Cambria" w:eastAsia="Cambria" w:hAnsi="Cambria" w:cs="Times New Roman"/>
                <w:sz w:val="18"/>
                <w:szCs w:val="18"/>
                <w:vertAlign w:val="superscript"/>
              </w:rPr>
              <w:t>3</w:t>
            </w:r>
            <w:r w:rsidRPr="00E7395B">
              <w:rPr>
                <w:rFonts w:ascii="Cambria" w:eastAsia="Cambria" w:hAnsi="Cambria" w:cs="Times New Roman"/>
                <w:sz w:val="18"/>
                <w:szCs w:val="18"/>
              </w:rPr>
              <w:t>)</w:t>
            </w:r>
          </w:p>
        </w:tc>
        <w:tc>
          <w:tcPr>
            <w:tcW w:w="0" w:type="auto"/>
          </w:tcPr>
          <w:p w14:paraId="7D8F0120" w14:textId="1CD0894D"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33.0 (15.0, 61.0)</w:t>
            </w:r>
          </w:p>
        </w:tc>
      </w:tr>
      <w:tr w:rsidR="00BB5E1E" w:rsidRPr="007741DF" w14:paraId="44AB38E0" w14:textId="77777777" w:rsidTr="00E92353">
        <w:tc>
          <w:tcPr>
            <w:tcW w:w="0" w:type="auto"/>
          </w:tcPr>
          <w:p w14:paraId="343E77AF" w14:textId="0558E275" w:rsidR="00BB5E1E" w:rsidRPr="00BB5E1E" w:rsidRDefault="00BB5E1E" w:rsidP="00BB5E1E">
            <w:pPr>
              <w:spacing w:before="36" w:after="36"/>
              <w:rPr>
                <w:rFonts w:ascii="Cambria" w:eastAsia="Cambria" w:hAnsi="Cambria" w:cs="Times New Roman"/>
                <w:b/>
                <w:bCs/>
                <w:sz w:val="16"/>
                <w:szCs w:val="16"/>
              </w:rPr>
            </w:pPr>
            <w:r w:rsidRPr="00BB5E1E">
              <w:rPr>
                <w:rFonts w:ascii="Cambria" w:eastAsia="Cambria" w:hAnsi="Cambria" w:cs="Times New Roman"/>
                <w:b/>
                <w:bCs/>
                <w:sz w:val="16"/>
                <w:szCs w:val="16"/>
              </w:rPr>
              <w:t>Opportunist infections</w:t>
            </w:r>
          </w:p>
          <w:p w14:paraId="7D319A1A" w14:textId="37362BE3"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Tuberculosis</w:t>
            </w:r>
          </w:p>
        </w:tc>
        <w:tc>
          <w:tcPr>
            <w:tcW w:w="0" w:type="auto"/>
          </w:tcPr>
          <w:p w14:paraId="4DCFBE8E" w14:textId="77777777" w:rsidR="00BB5E1E" w:rsidRDefault="00BB5E1E" w:rsidP="00BB5E1E">
            <w:pPr>
              <w:spacing w:before="36" w:after="36"/>
              <w:jc w:val="center"/>
              <w:rPr>
                <w:rFonts w:ascii="Cambria" w:eastAsia="Cambria" w:hAnsi="Cambria" w:cs="Times New Roman"/>
                <w:sz w:val="18"/>
                <w:szCs w:val="18"/>
              </w:rPr>
            </w:pPr>
          </w:p>
          <w:p w14:paraId="72F1E355" w14:textId="7251F924"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445 (84.3%)</w:t>
            </w:r>
          </w:p>
        </w:tc>
      </w:tr>
      <w:tr w:rsidR="00BB5E1E" w:rsidRPr="007741DF" w14:paraId="18DF1EE1"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77B1D319"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Cryptococcus neoformans</w:t>
            </w:r>
          </w:p>
        </w:tc>
        <w:tc>
          <w:tcPr>
            <w:tcW w:w="0" w:type="auto"/>
          </w:tcPr>
          <w:p w14:paraId="7BFC4B3B"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30 (5.7%)</w:t>
            </w:r>
          </w:p>
        </w:tc>
      </w:tr>
      <w:tr w:rsidR="00BB5E1E" w:rsidRPr="007741DF" w14:paraId="41A1E4FB" w14:textId="77777777" w:rsidTr="00E92353">
        <w:tc>
          <w:tcPr>
            <w:tcW w:w="0" w:type="auto"/>
          </w:tcPr>
          <w:p w14:paraId="42B06EBC"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Pneumonia</w:t>
            </w:r>
          </w:p>
        </w:tc>
        <w:tc>
          <w:tcPr>
            <w:tcW w:w="0" w:type="auto"/>
          </w:tcPr>
          <w:p w14:paraId="059509B4"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62 (11.7%)</w:t>
            </w:r>
          </w:p>
        </w:tc>
      </w:tr>
      <w:tr w:rsidR="00BB5E1E" w:rsidRPr="007741DF" w14:paraId="2E008223"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7ADA3990"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Staph aureus</w:t>
            </w:r>
          </w:p>
        </w:tc>
        <w:tc>
          <w:tcPr>
            <w:tcW w:w="0" w:type="auto"/>
          </w:tcPr>
          <w:p w14:paraId="20DF34FD"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 (0.2%)</w:t>
            </w:r>
          </w:p>
        </w:tc>
      </w:tr>
      <w:tr w:rsidR="00BB5E1E" w:rsidRPr="007741DF" w14:paraId="0AD93C91" w14:textId="77777777" w:rsidTr="00E92353">
        <w:tc>
          <w:tcPr>
            <w:tcW w:w="0" w:type="auto"/>
          </w:tcPr>
          <w:p w14:paraId="648D4357" w14:textId="31B4C00E"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Kaposi sarcoma</w:t>
            </w:r>
          </w:p>
        </w:tc>
        <w:tc>
          <w:tcPr>
            <w:tcW w:w="0" w:type="auto"/>
          </w:tcPr>
          <w:p w14:paraId="1A5D5D83"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6 (1.1%)</w:t>
            </w:r>
          </w:p>
        </w:tc>
      </w:tr>
      <w:tr w:rsidR="00BB5E1E" w:rsidRPr="007741DF" w14:paraId="7E3E9C74"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4AF52F36"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Cytomegalovirus</w:t>
            </w:r>
          </w:p>
        </w:tc>
        <w:tc>
          <w:tcPr>
            <w:tcW w:w="0" w:type="auto"/>
          </w:tcPr>
          <w:p w14:paraId="3B210EB9"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 (0.2%)</w:t>
            </w:r>
          </w:p>
        </w:tc>
      </w:tr>
      <w:tr w:rsidR="00BB5E1E" w:rsidRPr="007741DF" w14:paraId="7C4746C4" w14:textId="77777777" w:rsidTr="00E92353">
        <w:tc>
          <w:tcPr>
            <w:tcW w:w="0" w:type="auto"/>
          </w:tcPr>
          <w:p w14:paraId="430518C2" w14:textId="0EE022E8"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Herpes simplex virus (HSV)</w:t>
            </w:r>
          </w:p>
        </w:tc>
        <w:tc>
          <w:tcPr>
            <w:tcW w:w="0" w:type="auto"/>
          </w:tcPr>
          <w:p w14:paraId="3593A5AA"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8 (1.5%)</w:t>
            </w:r>
          </w:p>
        </w:tc>
      </w:tr>
      <w:tr w:rsidR="00BB5E1E" w:rsidRPr="007741DF" w14:paraId="06EC1058"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5572CF81" w14:textId="7E38B565"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HBV</w:t>
            </w:r>
          </w:p>
        </w:tc>
        <w:tc>
          <w:tcPr>
            <w:tcW w:w="0" w:type="auto"/>
          </w:tcPr>
          <w:p w14:paraId="308F5CE8"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18 (3.4%)</w:t>
            </w:r>
          </w:p>
        </w:tc>
      </w:tr>
      <w:tr w:rsidR="00BB5E1E" w:rsidRPr="007741DF" w14:paraId="3DFCA709" w14:textId="77777777" w:rsidTr="00E92353">
        <w:tc>
          <w:tcPr>
            <w:tcW w:w="0" w:type="auto"/>
          </w:tcPr>
          <w:p w14:paraId="293BAE34"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Candida</w:t>
            </w:r>
          </w:p>
        </w:tc>
        <w:tc>
          <w:tcPr>
            <w:tcW w:w="0" w:type="auto"/>
          </w:tcPr>
          <w:p w14:paraId="7196B723"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29 (5.5%)</w:t>
            </w:r>
          </w:p>
        </w:tc>
      </w:tr>
      <w:tr w:rsidR="00BB5E1E" w:rsidRPr="007741DF" w14:paraId="6D34EBFB"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20A0DEB6" w14:textId="20EB0C91" w:rsidR="00BB5E1E" w:rsidRPr="00E7395B" w:rsidRDefault="00BB5E1E" w:rsidP="00BB5E1E">
            <w:pPr>
              <w:spacing w:before="36" w:after="36"/>
              <w:rPr>
                <w:rFonts w:ascii="Cambria" w:eastAsia="Cambria" w:hAnsi="Cambria" w:cs="Times New Roman"/>
                <w:sz w:val="16"/>
                <w:szCs w:val="16"/>
              </w:rPr>
            </w:pPr>
            <w:proofErr w:type="spellStart"/>
            <w:r w:rsidRPr="00E7395B">
              <w:rPr>
                <w:rFonts w:ascii="Cambria" w:eastAsia="Cambria" w:hAnsi="Cambria" w:cs="Times New Roman"/>
                <w:sz w:val="16"/>
                <w:szCs w:val="16"/>
              </w:rPr>
              <w:t>Gastroenteristis</w:t>
            </w:r>
            <w:proofErr w:type="spellEnd"/>
          </w:p>
        </w:tc>
        <w:tc>
          <w:tcPr>
            <w:tcW w:w="0" w:type="auto"/>
          </w:tcPr>
          <w:p w14:paraId="568CA8CF"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18 (3.4%)</w:t>
            </w:r>
          </w:p>
        </w:tc>
      </w:tr>
      <w:tr w:rsidR="00BB5E1E" w:rsidRPr="007741DF" w14:paraId="0BA03C2E" w14:textId="77777777" w:rsidTr="00E92353">
        <w:tc>
          <w:tcPr>
            <w:tcW w:w="0" w:type="auto"/>
          </w:tcPr>
          <w:p w14:paraId="224DF3C5" w14:textId="4CD6ABDE"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 xml:space="preserve">Parvo B19 </w:t>
            </w:r>
          </w:p>
        </w:tc>
        <w:tc>
          <w:tcPr>
            <w:tcW w:w="0" w:type="auto"/>
          </w:tcPr>
          <w:p w14:paraId="238DA283"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 (0.2%)</w:t>
            </w:r>
          </w:p>
        </w:tc>
      </w:tr>
      <w:tr w:rsidR="00BB5E1E" w:rsidRPr="007741DF" w14:paraId="0D41426B"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1D317A38"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Syphilis</w:t>
            </w:r>
          </w:p>
        </w:tc>
        <w:tc>
          <w:tcPr>
            <w:tcW w:w="0" w:type="auto"/>
          </w:tcPr>
          <w:p w14:paraId="0E2A7117"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17 (3.2%)</w:t>
            </w:r>
          </w:p>
        </w:tc>
      </w:tr>
      <w:tr w:rsidR="00BB5E1E" w:rsidRPr="007741DF" w14:paraId="17B9CBF0" w14:textId="77777777" w:rsidTr="00E92353">
        <w:tc>
          <w:tcPr>
            <w:tcW w:w="0" w:type="auto"/>
          </w:tcPr>
          <w:p w14:paraId="1B9DCC27" w14:textId="2358A86D"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B meningitis</w:t>
            </w:r>
          </w:p>
        </w:tc>
        <w:tc>
          <w:tcPr>
            <w:tcW w:w="0" w:type="auto"/>
          </w:tcPr>
          <w:p w14:paraId="0FADC060"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5 (0.9%)</w:t>
            </w:r>
          </w:p>
        </w:tc>
      </w:tr>
      <w:tr w:rsidR="00BB5E1E" w:rsidRPr="007741DF" w14:paraId="16032F2D"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4DD17E58" w14:textId="416D5C5D"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Urinary tract infection</w:t>
            </w:r>
          </w:p>
        </w:tc>
        <w:tc>
          <w:tcPr>
            <w:tcW w:w="0" w:type="auto"/>
          </w:tcPr>
          <w:p w14:paraId="78E8CCBC"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7 (1.3%)</w:t>
            </w:r>
          </w:p>
        </w:tc>
      </w:tr>
      <w:tr w:rsidR="00BB5E1E" w:rsidRPr="007741DF" w14:paraId="29E62B75" w14:textId="77777777" w:rsidTr="00E92353">
        <w:tc>
          <w:tcPr>
            <w:tcW w:w="0" w:type="auto"/>
          </w:tcPr>
          <w:p w14:paraId="133593F6" w14:textId="1B7D2D03" w:rsidR="00BB5E1E" w:rsidRPr="00E7395B" w:rsidRDefault="00BB5E1E" w:rsidP="00BB5E1E">
            <w:pPr>
              <w:spacing w:before="36" w:after="36"/>
              <w:rPr>
                <w:rFonts w:ascii="Cambria" w:eastAsia="Cambria" w:hAnsi="Cambria" w:cs="Times New Roman"/>
                <w:sz w:val="16"/>
                <w:szCs w:val="16"/>
              </w:rPr>
            </w:pPr>
            <w:proofErr w:type="spellStart"/>
            <w:r w:rsidRPr="00E7395B">
              <w:rPr>
                <w:rFonts w:ascii="Cambria" w:eastAsia="Cambria" w:hAnsi="Cambria" w:cs="Times New Roman"/>
                <w:sz w:val="16"/>
                <w:szCs w:val="16"/>
              </w:rPr>
              <w:t>Pneumoctis</w:t>
            </w:r>
            <w:proofErr w:type="spellEnd"/>
            <w:r w:rsidRPr="00E7395B">
              <w:rPr>
                <w:rFonts w:ascii="Cambria" w:eastAsia="Cambria" w:hAnsi="Cambria" w:cs="Times New Roman"/>
                <w:sz w:val="16"/>
                <w:szCs w:val="16"/>
              </w:rPr>
              <w:t xml:space="preserve"> </w:t>
            </w:r>
            <w:proofErr w:type="spellStart"/>
            <w:r w:rsidRPr="00E7395B">
              <w:rPr>
                <w:rFonts w:ascii="Cambria" w:eastAsia="Cambria" w:hAnsi="Cambria" w:cs="Times New Roman"/>
                <w:sz w:val="16"/>
                <w:szCs w:val="16"/>
              </w:rPr>
              <w:t>Jirovechiae</w:t>
            </w:r>
            <w:proofErr w:type="spellEnd"/>
            <w:r w:rsidRPr="00E7395B">
              <w:rPr>
                <w:rFonts w:ascii="Cambria" w:eastAsia="Cambria" w:hAnsi="Cambria" w:cs="Times New Roman"/>
                <w:sz w:val="16"/>
                <w:szCs w:val="16"/>
              </w:rPr>
              <w:t xml:space="preserve"> Pneumonia</w:t>
            </w:r>
          </w:p>
        </w:tc>
        <w:tc>
          <w:tcPr>
            <w:tcW w:w="0" w:type="auto"/>
          </w:tcPr>
          <w:p w14:paraId="097A0A34"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4 (0.8%)</w:t>
            </w:r>
          </w:p>
        </w:tc>
      </w:tr>
      <w:tr w:rsidR="00BB5E1E" w:rsidRPr="007741DF" w14:paraId="6E8DAB85"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7E1DF4AD"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COVID-19</w:t>
            </w:r>
          </w:p>
        </w:tc>
        <w:tc>
          <w:tcPr>
            <w:tcW w:w="0" w:type="auto"/>
          </w:tcPr>
          <w:p w14:paraId="5E40947F"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2 (0.4%)</w:t>
            </w:r>
          </w:p>
        </w:tc>
      </w:tr>
      <w:tr w:rsidR="00BB5E1E" w:rsidRPr="007741DF" w14:paraId="21B9F87D" w14:textId="77777777" w:rsidTr="00E92353">
        <w:tc>
          <w:tcPr>
            <w:tcW w:w="0" w:type="auto"/>
          </w:tcPr>
          <w:p w14:paraId="4BF9EFEC" w14:textId="77777777" w:rsidR="00BB5E1E" w:rsidRPr="00E7395B" w:rsidRDefault="00BB5E1E" w:rsidP="00BB5E1E">
            <w:pPr>
              <w:spacing w:before="36" w:after="36"/>
              <w:rPr>
                <w:rFonts w:ascii="Cambria" w:eastAsia="Cambria" w:hAnsi="Cambria" w:cs="Times New Roman"/>
                <w:sz w:val="16"/>
                <w:szCs w:val="16"/>
              </w:rPr>
            </w:pPr>
            <w:r w:rsidRPr="00E7395B">
              <w:rPr>
                <w:rFonts w:ascii="Cambria" w:eastAsia="Cambria" w:hAnsi="Cambria" w:cs="Times New Roman"/>
                <w:sz w:val="16"/>
                <w:szCs w:val="16"/>
              </w:rPr>
              <w:t>Neurocysticercosis</w:t>
            </w:r>
          </w:p>
        </w:tc>
        <w:tc>
          <w:tcPr>
            <w:tcW w:w="0" w:type="auto"/>
          </w:tcPr>
          <w:p w14:paraId="4E760C12" w14:textId="77777777"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2 (0.4%)</w:t>
            </w:r>
          </w:p>
        </w:tc>
      </w:tr>
      <w:tr w:rsidR="00BB5E1E" w:rsidRPr="007741DF" w14:paraId="67BB9BF7"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5E65F9C3" w14:textId="046B7207" w:rsidR="00BB5E1E" w:rsidRPr="00984D9A" w:rsidRDefault="00BB5E1E" w:rsidP="00BB5E1E">
            <w:pPr>
              <w:spacing w:before="36" w:after="36"/>
              <w:rPr>
                <w:rFonts w:ascii="Cambria" w:eastAsia="Cambria" w:hAnsi="Cambria" w:cs="Times New Roman"/>
                <w:b/>
                <w:bCs/>
                <w:sz w:val="16"/>
                <w:szCs w:val="16"/>
              </w:rPr>
            </w:pPr>
            <w:r w:rsidRPr="00984D9A">
              <w:rPr>
                <w:rFonts w:ascii="Cambria" w:eastAsia="Cambria" w:hAnsi="Cambria" w:cs="Times New Roman"/>
                <w:b/>
                <w:bCs/>
                <w:sz w:val="16"/>
                <w:szCs w:val="16"/>
              </w:rPr>
              <w:t xml:space="preserve">Isolated hematological parameters </w:t>
            </w:r>
          </w:p>
        </w:tc>
        <w:tc>
          <w:tcPr>
            <w:tcW w:w="0" w:type="auto"/>
          </w:tcPr>
          <w:p w14:paraId="092B9339" w14:textId="77777777" w:rsidR="00BB5E1E" w:rsidRPr="007741DF" w:rsidRDefault="00BB5E1E" w:rsidP="00BB5E1E">
            <w:pPr>
              <w:spacing w:before="36" w:after="36"/>
              <w:jc w:val="center"/>
              <w:rPr>
                <w:rFonts w:ascii="Cambria" w:eastAsia="Cambria" w:hAnsi="Cambria" w:cs="Times New Roman"/>
                <w:sz w:val="18"/>
                <w:szCs w:val="18"/>
              </w:rPr>
            </w:pPr>
          </w:p>
        </w:tc>
      </w:tr>
      <w:tr w:rsidR="00BB5E1E" w:rsidRPr="007741DF" w14:paraId="4F639FF0" w14:textId="77777777" w:rsidTr="00E92353">
        <w:tc>
          <w:tcPr>
            <w:tcW w:w="0" w:type="auto"/>
          </w:tcPr>
          <w:p w14:paraId="17A73182" w14:textId="3BFB9F1E" w:rsidR="00BB5E1E" w:rsidRPr="00E7395B" w:rsidRDefault="00BB5E1E" w:rsidP="00BB5E1E">
            <w:pPr>
              <w:spacing w:before="36" w:after="36"/>
              <w:rPr>
                <w:rFonts w:ascii="Cambria" w:eastAsia="Cambria" w:hAnsi="Cambria" w:cs="Times New Roman"/>
                <w:sz w:val="18"/>
                <w:szCs w:val="18"/>
              </w:rPr>
            </w:pPr>
            <w:r w:rsidRPr="00E7395B">
              <w:rPr>
                <w:rFonts w:ascii="Cambria" w:eastAsia="Cambria" w:hAnsi="Cambria" w:cs="Times New Roman"/>
                <w:sz w:val="18"/>
                <w:szCs w:val="18"/>
              </w:rPr>
              <w:t xml:space="preserve">White </w:t>
            </w:r>
            <w:proofErr w:type="gramStart"/>
            <w:r w:rsidRPr="00E7395B">
              <w:rPr>
                <w:rFonts w:ascii="Cambria" w:eastAsia="Cambria" w:hAnsi="Cambria" w:cs="Times New Roman"/>
                <w:sz w:val="18"/>
                <w:szCs w:val="18"/>
              </w:rPr>
              <w:t>cell</w:t>
            </w:r>
            <w:proofErr w:type="gramEnd"/>
            <w:r w:rsidRPr="00E7395B">
              <w:rPr>
                <w:rFonts w:ascii="Cambria" w:eastAsia="Cambria" w:hAnsi="Cambria" w:cs="Times New Roman"/>
                <w:sz w:val="18"/>
                <w:szCs w:val="18"/>
              </w:rPr>
              <w:t xml:space="preserve"> count X10</w:t>
            </w:r>
            <w:r w:rsidRPr="00E7395B">
              <w:rPr>
                <w:rFonts w:ascii="Cambria" w:eastAsia="Cambria" w:hAnsi="Cambria" w:cs="Times New Roman"/>
                <w:sz w:val="18"/>
                <w:szCs w:val="18"/>
                <w:vertAlign w:val="superscript"/>
              </w:rPr>
              <w:t>9</w:t>
            </w:r>
          </w:p>
        </w:tc>
        <w:tc>
          <w:tcPr>
            <w:tcW w:w="0" w:type="auto"/>
          </w:tcPr>
          <w:p w14:paraId="04230AD7" w14:textId="3F140F13"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5.4 (3.6, 8.1)</w:t>
            </w:r>
          </w:p>
        </w:tc>
      </w:tr>
      <w:tr w:rsidR="00BB5E1E" w:rsidRPr="007741DF" w14:paraId="134C43CB" w14:textId="77777777" w:rsidTr="00E92353">
        <w:trPr>
          <w:cnfStyle w:val="000000100000" w:firstRow="0" w:lastRow="0" w:firstColumn="0" w:lastColumn="0" w:oddVBand="0" w:evenVBand="0" w:oddHBand="1" w:evenHBand="0" w:firstRowFirstColumn="0" w:firstRowLastColumn="0" w:lastRowFirstColumn="0" w:lastRowLastColumn="0"/>
        </w:trPr>
        <w:tc>
          <w:tcPr>
            <w:tcW w:w="0" w:type="auto"/>
          </w:tcPr>
          <w:p w14:paraId="52A37C06" w14:textId="6FD17399" w:rsidR="00BB5E1E" w:rsidRPr="00E7395B" w:rsidRDefault="00BB5E1E" w:rsidP="00BB5E1E">
            <w:pPr>
              <w:spacing w:before="36" w:after="36"/>
              <w:rPr>
                <w:rFonts w:ascii="Cambria" w:eastAsia="Cambria" w:hAnsi="Cambria" w:cs="Times New Roman"/>
                <w:sz w:val="18"/>
                <w:szCs w:val="18"/>
              </w:rPr>
            </w:pPr>
            <w:r w:rsidRPr="00E7395B">
              <w:rPr>
                <w:rFonts w:ascii="Cambria" w:eastAsia="Cambria" w:hAnsi="Cambria" w:cs="Times New Roman"/>
                <w:sz w:val="18"/>
                <w:szCs w:val="18"/>
              </w:rPr>
              <w:t>Lymphocyte count X 10</w:t>
            </w:r>
            <w:r w:rsidRPr="00E7395B">
              <w:rPr>
                <w:rFonts w:ascii="Cambria" w:eastAsia="Cambria" w:hAnsi="Cambria" w:cs="Times New Roman"/>
                <w:sz w:val="18"/>
                <w:szCs w:val="18"/>
                <w:vertAlign w:val="superscript"/>
              </w:rPr>
              <w:t>9</w:t>
            </w:r>
          </w:p>
        </w:tc>
        <w:tc>
          <w:tcPr>
            <w:tcW w:w="0" w:type="auto"/>
          </w:tcPr>
          <w:p w14:paraId="64D9D1A3" w14:textId="514C9EE8"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0.8 (0.4, 1.8)</w:t>
            </w:r>
          </w:p>
        </w:tc>
      </w:tr>
      <w:tr w:rsidR="00BB5E1E" w:rsidRPr="007741DF" w14:paraId="51BD75C6" w14:textId="77777777" w:rsidTr="00E92353">
        <w:tc>
          <w:tcPr>
            <w:tcW w:w="0" w:type="auto"/>
          </w:tcPr>
          <w:p w14:paraId="72CFBA35" w14:textId="6C5C15AD" w:rsidR="00BB5E1E" w:rsidRPr="00E7395B" w:rsidRDefault="00BB5E1E" w:rsidP="00BB5E1E">
            <w:pPr>
              <w:spacing w:before="36" w:after="36"/>
              <w:rPr>
                <w:rFonts w:ascii="Cambria" w:eastAsia="Cambria" w:hAnsi="Cambria" w:cs="Times New Roman"/>
                <w:sz w:val="18"/>
                <w:szCs w:val="18"/>
              </w:rPr>
            </w:pPr>
            <w:r w:rsidRPr="00E7395B">
              <w:rPr>
                <w:rFonts w:ascii="Cambria" w:eastAsia="Cambria" w:hAnsi="Cambria" w:cs="Times New Roman"/>
                <w:sz w:val="18"/>
                <w:szCs w:val="18"/>
              </w:rPr>
              <w:t>Neutrophils x 10</w:t>
            </w:r>
            <w:r w:rsidRPr="00E7395B">
              <w:rPr>
                <w:rFonts w:ascii="Cambria" w:eastAsia="Cambria" w:hAnsi="Cambria" w:cs="Times New Roman"/>
                <w:sz w:val="18"/>
                <w:szCs w:val="18"/>
                <w:vertAlign w:val="superscript"/>
              </w:rPr>
              <w:t>9</w:t>
            </w:r>
          </w:p>
        </w:tc>
        <w:tc>
          <w:tcPr>
            <w:tcW w:w="0" w:type="auto"/>
          </w:tcPr>
          <w:p w14:paraId="26276E41" w14:textId="23B88B81" w:rsidR="00BB5E1E" w:rsidRPr="007741DF" w:rsidRDefault="00BB5E1E" w:rsidP="00BB5E1E">
            <w:pPr>
              <w:spacing w:before="36" w:after="36"/>
              <w:jc w:val="center"/>
              <w:rPr>
                <w:rFonts w:ascii="Cambria" w:eastAsia="Cambria" w:hAnsi="Cambria" w:cs="Times New Roman"/>
                <w:sz w:val="18"/>
                <w:szCs w:val="18"/>
              </w:rPr>
            </w:pPr>
            <w:r w:rsidRPr="007741DF">
              <w:rPr>
                <w:rFonts w:ascii="Cambria" w:eastAsia="Cambria" w:hAnsi="Cambria" w:cs="Times New Roman"/>
                <w:sz w:val="18"/>
                <w:szCs w:val="18"/>
              </w:rPr>
              <w:t>3.2 (1.5, 8.3)</w:t>
            </w:r>
            <w:commentRangeEnd w:id="11"/>
            <w:r w:rsidR="007F577C">
              <w:rPr>
                <w:rStyle w:val="CommentReference"/>
              </w:rPr>
              <w:commentReference w:id="11"/>
            </w:r>
          </w:p>
        </w:tc>
      </w:tr>
    </w:tbl>
    <w:p w14:paraId="6B61F427" w14:textId="77777777" w:rsidR="007F577C" w:rsidRDefault="007F577C" w:rsidP="007263B1">
      <w:pPr>
        <w:pStyle w:val="TableCaption"/>
      </w:pPr>
      <w:bookmarkStart w:id="13" w:name="table-1"/>
    </w:p>
    <w:p w14:paraId="13AD04BB" w14:textId="1CDADEBA" w:rsidR="00814A45" w:rsidRDefault="007263B1" w:rsidP="00870B31">
      <w:pPr>
        <w:pStyle w:val="BodyText"/>
        <w:jc w:val="both"/>
      </w:pPr>
      <w:r w:rsidRPr="002544B7">
        <w:t xml:space="preserve">Table </w:t>
      </w:r>
      <w:r>
        <w:t>1.3</w:t>
      </w:r>
      <w:r w:rsidRPr="002544B7">
        <w:t>: age</w:t>
      </w:r>
    </w:p>
    <w:p w14:paraId="08D4C102" w14:textId="77777777" w:rsidR="00D50028" w:rsidRDefault="00D50028" w:rsidP="00870B31">
      <w:pPr>
        <w:pStyle w:val="BodyText"/>
        <w:jc w:val="both"/>
      </w:pPr>
    </w:p>
    <w:p w14:paraId="2277C56C" w14:textId="77777777" w:rsidR="00D50028" w:rsidRDefault="00D50028" w:rsidP="00870B31">
      <w:pPr>
        <w:pStyle w:val="BodyText"/>
        <w:jc w:val="both"/>
        <w:rPr>
          <w:rFonts w:asciiTheme="majorHAnsi" w:hAnsiTheme="majorHAnsi" w:cstheme="majorHAnsi"/>
          <w:b/>
          <w:bCs/>
          <w:sz w:val="22"/>
          <w:szCs w:val="22"/>
        </w:rPr>
      </w:pPr>
    </w:p>
    <w:p w14:paraId="3223143B" w14:textId="051D4997" w:rsidR="009D039A" w:rsidRDefault="00DD25B1" w:rsidP="00D86617">
      <w:pPr>
        <w:pStyle w:val="BodyText"/>
        <w:jc w:val="both"/>
        <w:rPr>
          <w:rFonts w:asciiTheme="majorHAnsi" w:hAnsiTheme="majorHAnsi" w:cstheme="majorHAnsi"/>
          <w:sz w:val="22"/>
          <w:szCs w:val="22"/>
        </w:rPr>
      </w:pPr>
      <w:r>
        <w:rPr>
          <w:rFonts w:asciiTheme="majorHAnsi" w:hAnsiTheme="majorHAnsi" w:cstheme="majorHAnsi"/>
          <w:sz w:val="22"/>
          <w:szCs w:val="22"/>
        </w:rPr>
        <w:t>When subdividing the cohorts by gender</w:t>
      </w:r>
      <w:r w:rsidR="00814A45">
        <w:rPr>
          <w:rFonts w:asciiTheme="majorHAnsi" w:hAnsiTheme="majorHAnsi" w:cstheme="majorHAnsi"/>
          <w:sz w:val="22"/>
          <w:szCs w:val="22"/>
        </w:rPr>
        <w:t>,</w:t>
      </w:r>
      <w:r>
        <w:rPr>
          <w:rFonts w:asciiTheme="majorHAnsi" w:hAnsiTheme="majorHAnsi" w:cstheme="majorHAnsi"/>
          <w:sz w:val="22"/>
          <w:szCs w:val="22"/>
        </w:rPr>
        <w:t xml:space="preserve"> female patients were younger than males</w:t>
      </w:r>
      <w:r w:rsidR="00814A45">
        <w:rPr>
          <w:rFonts w:asciiTheme="majorHAnsi" w:hAnsiTheme="majorHAnsi" w:cstheme="majorHAnsi"/>
          <w:sz w:val="22"/>
          <w:szCs w:val="22"/>
        </w:rPr>
        <w:t xml:space="preserve"> </w:t>
      </w:r>
      <w:r w:rsidR="009406FE" w:rsidRPr="00771D66">
        <w:rPr>
          <w:rFonts w:asciiTheme="majorHAnsi" w:hAnsiTheme="majorHAnsi" w:cstheme="majorHAnsi"/>
          <w:i/>
          <w:iCs/>
          <w:sz w:val="22"/>
          <w:szCs w:val="22"/>
        </w:rPr>
        <w:t>p</w:t>
      </w:r>
      <w:r w:rsidR="009406FE">
        <w:rPr>
          <w:rFonts w:asciiTheme="majorHAnsi" w:hAnsiTheme="majorHAnsi" w:cstheme="majorHAnsi"/>
          <w:sz w:val="22"/>
          <w:szCs w:val="22"/>
        </w:rPr>
        <w:t>=0.017</w:t>
      </w:r>
      <w:r w:rsidR="009406FE" w:rsidRPr="009406FE">
        <w:rPr>
          <w:rFonts w:asciiTheme="majorHAnsi" w:hAnsiTheme="majorHAnsi" w:cstheme="majorHAnsi"/>
          <w:sz w:val="22"/>
          <w:szCs w:val="22"/>
        </w:rPr>
        <w:t xml:space="preserve">. </w:t>
      </w:r>
      <w:r w:rsidR="00814A45">
        <w:rPr>
          <w:rFonts w:asciiTheme="majorHAnsi" w:hAnsiTheme="majorHAnsi" w:cstheme="majorHAnsi"/>
          <w:sz w:val="22"/>
          <w:szCs w:val="22"/>
        </w:rPr>
        <w:t>There was no statistically significant distribution in the viral loads, CD4 counts and opportunistic infections when comparing males and females.</w:t>
      </w:r>
    </w:p>
    <w:p w14:paraId="120E9568" w14:textId="77777777" w:rsidR="009D039A" w:rsidRPr="001C0071" w:rsidRDefault="009D039A" w:rsidP="00D86617">
      <w:pPr>
        <w:pStyle w:val="BodyText"/>
        <w:jc w:val="both"/>
        <w:rPr>
          <w:rFonts w:asciiTheme="majorHAnsi" w:hAnsiTheme="majorHAnsi" w:cstheme="majorHAnsi"/>
          <w:b/>
          <w:bCs/>
          <w:sz w:val="22"/>
          <w:szCs w:val="22"/>
        </w:rPr>
      </w:pPr>
    </w:p>
    <w:p w14:paraId="59753EF2" w14:textId="1FE95B77" w:rsidR="009D039A" w:rsidRPr="001C0071" w:rsidRDefault="009D039A" w:rsidP="009D039A">
      <w:pPr>
        <w:keepNext/>
        <w:pBdr>
          <w:top w:val="none" w:sz="0" w:space="0" w:color="000000"/>
          <w:left w:val="none" w:sz="0" w:space="0" w:color="000000"/>
          <w:bottom w:val="none" w:sz="0" w:space="0" w:color="000000"/>
          <w:right w:val="none" w:sz="0" w:space="0" w:color="000000"/>
        </w:pBdr>
        <w:spacing w:before="60" w:after="60"/>
        <w:ind w:left="60" w:right="60"/>
        <w:jc w:val="center"/>
        <w:rPr>
          <w:b/>
          <w:bCs/>
          <w:i/>
        </w:rPr>
      </w:pPr>
      <w:r w:rsidRPr="001C0071">
        <w:rPr>
          <w:b/>
          <w:bCs/>
          <w:i/>
        </w:rPr>
        <w:t>Table 2</w:t>
      </w:r>
      <w:r w:rsidR="006A76F1" w:rsidRPr="001C0071">
        <w:rPr>
          <w:b/>
          <w:bCs/>
          <w:i/>
        </w:rPr>
        <w:t xml:space="preserve">: </w:t>
      </w:r>
      <w:r w:rsidRPr="001C0071">
        <w:rPr>
          <w:b/>
          <w:bCs/>
          <w:i/>
        </w:rPr>
        <w:t xml:space="preserve"> Distribution of patient characteristics by ARV therapy status</w:t>
      </w:r>
    </w:p>
    <w:tbl>
      <w:tblPr>
        <w:tblStyle w:val="PlainTable52"/>
        <w:tblW w:w="0" w:type="auto"/>
        <w:tblLook w:val="0420" w:firstRow="1" w:lastRow="0" w:firstColumn="0" w:lastColumn="0" w:noHBand="0" w:noVBand="1"/>
      </w:tblPr>
      <w:tblGrid>
        <w:gridCol w:w="4601"/>
        <w:gridCol w:w="1796"/>
        <w:gridCol w:w="1796"/>
        <w:gridCol w:w="1167"/>
      </w:tblGrid>
      <w:tr w:rsidR="009D039A" w:rsidRPr="009D039A" w14:paraId="5DCF1B8F" w14:textId="77777777" w:rsidTr="007E42F9">
        <w:trPr>
          <w:cnfStyle w:val="100000000000" w:firstRow="1" w:lastRow="0" w:firstColumn="0" w:lastColumn="0" w:oddVBand="0" w:evenVBand="0" w:oddHBand="0" w:evenHBand="0" w:firstRowFirstColumn="0" w:firstRowLastColumn="0" w:lastRowFirstColumn="0" w:lastRowLastColumn="0"/>
        </w:trPr>
        <w:tc>
          <w:tcPr>
            <w:tcW w:w="0" w:type="auto"/>
          </w:tcPr>
          <w:p w14:paraId="01FCB810"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rPr>
                <w:sz w:val="20"/>
                <w:szCs w:val="20"/>
              </w:rPr>
            </w:pPr>
            <w:r w:rsidRPr="001C0071">
              <w:rPr>
                <w:rFonts w:ascii="Arial" w:eastAsia="Arial" w:hAnsi="Arial" w:cs="Arial"/>
                <w:color w:val="000000"/>
                <w:sz w:val="20"/>
                <w:szCs w:val="20"/>
              </w:rPr>
              <w:t>Variable</w:t>
            </w:r>
          </w:p>
        </w:tc>
        <w:tc>
          <w:tcPr>
            <w:tcW w:w="0" w:type="auto"/>
          </w:tcPr>
          <w:p w14:paraId="572DF1BD"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20"/>
                <w:szCs w:val="20"/>
              </w:rPr>
            </w:pPr>
            <w:r w:rsidRPr="001C0071">
              <w:rPr>
                <w:rFonts w:ascii="Arial" w:eastAsia="Arial" w:hAnsi="Arial" w:cs="Arial"/>
                <w:b/>
                <w:color w:val="000000"/>
                <w:sz w:val="20"/>
                <w:szCs w:val="20"/>
              </w:rPr>
              <w:t>No</w:t>
            </w:r>
            <w:r w:rsidRPr="001C0071">
              <w:rPr>
                <w:rFonts w:ascii="Arial" w:eastAsia="Arial" w:hAnsi="Arial" w:cs="Arial"/>
                <w:color w:val="000000"/>
                <w:sz w:val="20"/>
                <w:szCs w:val="20"/>
              </w:rPr>
              <w:t>, N = 341</w:t>
            </w:r>
            <w:r w:rsidRPr="001C0071">
              <w:rPr>
                <w:rFonts w:ascii="Arial" w:eastAsia="Arial" w:hAnsi="Arial" w:cs="Arial"/>
                <w:color w:val="000000"/>
                <w:sz w:val="20"/>
                <w:szCs w:val="20"/>
                <w:vertAlign w:val="superscript"/>
              </w:rPr>
              <w:t>1</w:t>
            </w:r>
          </w:p>
        </w:tc>
        <w:tc>
          <w:tcPr>
            <w:tcW w:w="0" w:type="auto"/>
          </w:tcPr>
          <w:p w14:paraId="189FB4C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20"/>
                <w:szCs w:val="20"/>
              </w:rPr>
            </w:pPr>
            <w:r w:rsidRPr="001C0071">
              <w:rPr>
                <w:rFonts w:ascii="Arial" w:eastAsia="Arial" w:hAnsi="Arial" w:cs="Arial"/>
                <w:b/>
                <w:color w:val="000000"/>
                <w:sz w:val="20"/>
                <w:szCs w:val="20"/>
              </w:rPr>
              <w:t>Yes</w:t>
            </w:r>
            <w:r w:rsidRPr="001C0071">
              <w:rPr>
                <w:rFonts w:ascii="Arial" w:eastAsia="Arial" w:hAnsi="Arial" w:cs="Arial"/>
                <w:color w:val="000000"/>
                <w:sz w:val="20"/>
                <w:szCs w:val="20"/>
              </w:rPr>
              <w:t>, N = 207</w:t>
            </w:r>
            <w:r w:rsidRPr="001C0071">
              <w:rPr>
                <w:rFonts w:ascii="Arial" w:eastAsia="Arial" w:hAnsi="Arial" w:cs="Arial"/>
                <w:color w:val="000000"/>
                <w:sz w:val="20"/>
                <w:szCs w:val="20"/>
                <w:vertAlign w:val="superscript"/>
              </w:rPr>
              <w:t>1</w:t>
            </w:r>
          </w:p>
        </w:tc>
        <w:tc>
          <w:tcPr>
            <w:tcW w:w="0" w:type="auto"/>
          </w:tcPr>
          <w:p w14:paraId="41E7345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20"/>
                <w:szCs w:val="20"/>
              </w:rPr>
            </w:pPr>
            <w:r w:rsidRPr="001C0071">
              <w:rPr>
                <w:rFonts w:ascii="Arial" w:eastAsia="Arial" w:hAnsi="Arial" w:cs="Arial"/>
                <w:b/>
                <w:color w:val="000000"/>
                <w:sz w:val="20"/>
                <w:szCs w:val="20"/>
              </w:rPr>
              <w:t>p-value</w:t>
            </w:r>
            <w:r w:rsidRPr="001C0071">
              <w:rPr>
                <w:rFonts w:ascii="Arial" w:eastAsia="Arial" w:hAnsi="Arial" w:cs="Arial"/>
                <w:color w:val="000000"/>
                <w:sz w:val="20"/>
                <w:szCs w:val="20"/>
                <w:vertAlign w:val="superscript"/>
              </w:rPr>
              <w:t>2</w:t>
            </w:r>
          </w:p>
        </w:tc>
      </w:tr>
      <w:tr w:rsidR="009D039A" w:rsidRPr="009D039A" w14:paraId="7896300E"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6D611AC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lastRenderedPageBreak/>
              <w:t>Age at enrolment</w:t>
            </w:r>
          </w:p>
        </w:tc>
        <w:tc>
          <w:tcPr>
            <w:tcW w:w="0" w:type="auto"/>
          </w:tcPr>
          <w:p w14:paraId="414C6E3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36.0 (31.0, 43.0)</w:t>
            </w:r>
          </w:p>
        </w:tc>
        <w:tc>
          <w:tcPr>
            <w:tcW w:w="0" w:type="auto"/>
          </w:tcPr>
          <w:p w14:paraId="2C2C7FC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36.0 (32.0, 43.0)</w:t>
            </w:r>
          </w:p>
        </w:tc>
        <w:tc>
          <w:tcPr>
            <w:tcW w:w="0" w:type="auto"/>
          </w:tcPr>
          <w:p w14:paraId="422DF82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0.7</w:t>
            </w:r>
          </w:p>
        </w:tc>
      </w:tr>
      <w:tr w:rsidR="009D039A" w:rsidRPr="009D039A" w14:paraId="7FCD676D" w14:textId="77777777" w:rsidTr="007E42F9">
        <w:tc>
          <w:tcPr>
            <w:tcW w:w="0" w:type="auto"/>
          </w:tcPr>
          <w:p w14:paraId="34BE904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 xml:space="preserve">Male gender, </w:t>
            </w:r>
            <w:proofErr w:type="gramStart"/>
            <w:r w:rsidRPr="001C0071">
              <w:rPr>
                <w:rFonts w:ascii="Arial" w:eastAsia="Arial" w:hAnsi="Arial" w:cs="Arial"/>
                <w:b/>
                <w:color w:val="000000"/>
                <w:sz w:val="20"/>
                <w:szCs w:val="20"/>
              </w:rPr>
              <w:t>n(</w:t>
            </w:r>
            <w:proofErr w:type="gramEnd"/>
            <w:r w:rsidRPr="001C0071">
              <w:rPr>
                <w:rFonts w:ascii="Arial" w:eastAsia="Arial" w:hAnsi="Arial" w:cs="Arial"/>
                <w:b/>
                <w:color w:val="000000"/>
                <w:sz w:val="20"/>
                <w:szCs w:val="20"/>
              </w:rPr>
              <w:t>%)</w:t>
            </w:r>
          </w:p>
        </w:tc>
        <w:tc>
          <w:tcPr>
            <w:tcW w:w="0" w:type="auto"/>
          </w:tcPr>
          <w:p w14:paraId="0DB1018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172 (50.4%)</w:t>
            </w:r>
          </w:p>
        </w:tc>
        <w:tc>
          <w:tcPr>
            <w:tcW w:w="0" w:type="auto"/>
          </w:tcPr>
          <w:p w14:paraId="5A9471CE"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96 (46.4%)</w:t>
            </w:r>
          </w:p>
        </w:tc>
        <w:tc>
          <w:tcPr>
            <w:tcW w:w="0" w:type="auto"/>
          </w:tcPr>
          <w:p w14:paraId="0BDEDCE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0.4</w:t>
            </w:r>
          </w:p>
        </w:tc>
      </w:tr>
      <w:tr w:rsidR="009D039A" w:rsidRPr="009D039A" w14:paraId="727EE639"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0605B4D1"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 xml:space="preserve">Black African Ethnicity, </w:t>
            </w:r>
            <w:proofErr w:type="gramStart"/>
            <w:r w:rsidRPr="001C0071">
              <w:rPr>
                <w:rFonts w:ascii="Arial" w:eastAsia="Arial" w:hAnsi="Arial" w:cs="Arial"/>
                <w:b/>
                <w:color w:val="000000"/>
                <w:sz w:val="20"/>
                <w:szCs w:val="20"/>
              </w:rPr>
              <w:t>n(</w:t>
            </w:r>
            <w:proofErr w:type="gramEnd"/>
            <w:r w:rsidRPr="001C0071">
              <w:rPr>
                <w:rFonts w:ascii="Arial" w:eastAsia="Arial" w:hAnsi="Arial" w:cs="Arial"/>
                <w:b/>
                <w:color w:val="000000"/>
                <w:sz w:val="20"/>
                <w:szCs w:val="20"/>
              </w:rPr>
              <w:t>%)</w:t>
            </w:r>
          </w:p>
        </w:tc>
        <w:tc>
          <w:tcPr>
            <w:tcW w:w="0" w:type="auto"/>
          </w:tcPr>
          <w:p w14:paraId="23F65EE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258 (75.7%)</w:t>
            </w:r>
          </w:p>
        </w:tc>
        <w:tc>
          <w:tcPr>
            <w:tcW w:w="0" w:type="auto"/>
          </w:tcPr>
          <w:p w14:paraId="3DA3F83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172 (83.1%)</w:t>
            </w:r>
          </w:p>
        </w:tc>
        <w:tc>
          <w:tcPr>
            <w:tcW w:w="0" w:type="auto"/>
          </w:tcPr>
          <w:p w14:paraId="5675710D"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20"/>
                <w:szCs w:val="20"/>
              </w:rPr>
            </w:pPr>
            <w:r w:rsidRPr="001C0071">
              <w:rPr>
                <w:rFonts w:ascii="Arial" w:eastAsia="Arial" w:hAnsi="Arial" w:cs="Arial"/>
                <w:b/>
                <w:bCs/>
                <w:color w:val="000000"/>
                <w:sz w:val="20"/>
                <w:szCs w:val="20"/>
              </w:rPr>
              <w:t>0.040</w:t>
            </w:r>
          </w:p>
        </w:tc>
      </w:tr>
      <w:tr w:rsidR="009D039A" w:rsidRPr="009D039A" w14:paraId="433F9AC9" w14:textId="77777777" w:rsidTr="007E42F9">
        <w:tc>
          <w:tcPr>
            <w:tcW w:w="0" w:type="auto"/>
          </w:tcPr>
          <w:p w14:paraId="0953052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Duration of current illness, median (</w:t>
            </w:r>
            <w:proofErr w:type="spellStart"/>
            <w:r w:rsidRPr="001C0071">
              <w:rPr>
                <w:rFonts w:ascii="Arial" w:eastAsia="Arial" w:hAnsi="Arial" w:cs="Arial"/>
                <w:b/>
                <w:color w:val="000000"/>
                <w:sz w:val="20"/>
                <w:szCs w:val="20"/>
              </w:rPr>
              <w:t>IQR</w:t>
            </w:r>
            <w:proofErr w:type="spellEnd"/>
            <w:r w:rsidRPr="001C0071">
              <w:rPr>
                <w:rFonts w:ascii="Arial" w:eastAsia="Arial" w:hAnsi="Arial" w:cs="Arial"/>
                <w:b/>
                <w:color w:val="000000"/>
                <w:sz w:val="20"/>
                <w:szCs w:val="20"/>
              </w:rPr>
              <w:t>) (days)</w:t>
            </w:r>
          </w:p>
        </w:tc>
        <w:tc>
          <w:tcPr>
            <w:tcW w:w="0" w:type="auto"/>
          </w:tcPr>
          <w:p w14:paraId="50F8968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14.0 (12.0, 21.0)</w:t>
            </w:r>
          </w:p>
        </w:tc>
        <w:tc>
          <w:tcPr>
            <w:tcW w:w="0" w:type="auto"/>
          </w:tcPr>
          <w:p w14:paraId="6BB3CD8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14.0 (10.0, 21.0)</w:t>
            </w:r>
          </w:p>
        </w:tc>
        <w:tc>
          <w:tcPr>
            <w:tcW w:w="0" w:type="auto"/>
          </w:tcPr>
          <w:p w14:paraId="6BE1748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0.6</w:t>
            </w:r>
          </w:p>
        </w:tc>
      </w:tr>
      <w:tr w:rsidR="009D039A" w:rsidRPr="009D039A" w14:paraId="20FAD8E2"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7A21D8B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Weight loss</w:t>
            </w:r>
          </w:p>
        </w:tc>
        <w:tc>
          <w:tcPr>
            <w:tcW w:w="0" w:type="auto"/>
          </w:tcPr>
          <w:p w14:paraId="7F842AE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279 (86.6%)</w:t>
            </w:r>
          </w:p>
        </w:tc>
        <w:tc>
          <w:tcPr>
            <w:tcW w:w="0" w:type="auto"/>
          </w:tcPr>
          <w:p w14:paraId="0C6E461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172 (85.1%)</w:t>
            </w:r>
          </w:p>
        </w:tc>
        <w:tc>
          <w:tcPr>
            <w:tcW w:w="0" w:type="auto"/>
          </w:tcPr>
          <w:p w14:paraId="7D82E0E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0.6</w:t>
            </w:r>
          </w:p>
        </w:tc>
      </w:tr>
      <w:tr w:rsidR="009D039A" w:rsidRPr="009D039A" w14:paraId="4F23C5F1" w14:textId="77777777" w:rsidTr="007E42F9">
        <w:tc>
          <w:tcPr>
            <w:tcW w:w="0" w:type="auto"/>
          </w:tcPr>
          <w:p w14:paraId="525F1D5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 xml:space="preserve">Viral load; </w:t>
            </w:r>
            <w:r w:rsidRPr="001C0071">
              <w:rPr>
                <w:rFonts w:ascii="Arial" w:eastAsia="Arial" w:hAnsi="Arial" w:cs="Arial"/>
                <w:bCs/>
                <w:i/>
                <w:iCs/>
                <w:color w:val="000000"/>
                <w:sz w:val="20"/>
                <w:szCs w:val="20"/>
              </w:rPr>
              <w:t>log10 copies/ml</w:t>
            </w:r>
          </w:p>
        </w:tc>
        <w:tc>
          <w:tcPr>
            <w:tcW w:w="0" w:type="auto"/>
          </w:tcPr>
          <w:p w14:paraId="25F6224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10.6 (6.2, 12.3)</w:t>
            </w:r>
          </w:p>
        </w:tc>
        <w:tc>
          <w:tcPr>
            <w:tcW w:w="0" w:type="auto"/>
          </w:tcPr>
          <w:p w14:paraId="6E8E893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10.8 (7.8, 12.3)</w:t>
            </w:r>
          </w:p>
        </w:tc>
        <w:tc>
          <w:tcPr>
            <w:tcW w:w="0" w:type="auto"/>
          </w:tcPr>
          <w:p w14:paraId="6D32C105"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0.5</w:t>
            </w:r>
          </w:p>
        </w:tc>
      </w:tr>
      <w:tr w:rsidR="009D039A" w:rsidRPr="009D039A" w14:paraId="61DD96D1"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2A6D826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Tuberculosis</w:t>
            </w:r>
          </w:p>
        </w:tc>
        <w:tc>
          <w:tcPr>
            <w:tcW w:w="0" w:type="auto"/>
          </w:tcPr>
          <w:p w14:paraId="4630405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282 (82.7%)</w:t>
            </w:r>
          </w:p>
        </w:tc>
        <w:tc>
          <w:tcPr>
            <w:tcW w:w="0" w:type="auto"/>
          </w:tcPr>
          <w:p w14:paraId="4421602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179 (86.5%)</w:t>
            </w:r>
          </w:p>
        </w:tc>
        <w:tc>
          <w:tcPr>
            <w:tcW w:w="0" w:type="auto"/>
          </w:tcPr>
          <w:p w14:paraId="4F71F555"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0.2</w:t>
            </w:r>
          </w:p>
        </w:tc>
      </w:tr>
      <w:tr w:rsidR="009D039A" w:rsidRPr="009D039A" w14:paraId="25316779" w14:textId="77777777" w:rsidTr="007E42F9">
        <w:tc>
          <w:tcPr>
            <w:tcW w:w="0" w:type="auto"/>
          </w:tcPr>
          <w:p w14:paraId="0CEFC11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Cryptococcus neoformans</w:t>
            </w:r>
          </w:p>
        </w:tc>
        <w:tc>
          <w:tcPr>
            <w:tcW w:w="0" w:type="auto"/>
          </w:tcPr>
          <w:p w14:paraId="64CE8DA7"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24 (7.0%)</w:t>
            </w:r>
          </w:p>
        </w:tc>
        <w:tc>
          <w:tcPr>
            <w:tcW w:w="0" w:type="auto"/>
          </w:tcPr>
          <w:p w14:paraId="631D2FC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6 (2.9%)</w:t>
            </w:r>
          </w:p>
        </w:tc>
        <w:tc>
          <w:tcPr>
            <w:tcW w:w="0" w:type="auto"/>
          </w:tcPr>
          <w:p w14:paraId="71BE1B7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20"/>
                <w:szCs w:val="20"/>
              </w:rPr>
            </w:pPr>
            <w:r w:rsidRPr="001C0071">
              <w:rPr>
                <w:rFonts w:ascii="Arial" w:eastAsia="Arial" w:hAnsi="Arial" w:cs="Arial"/>
                <w:b/>
                <w:bCs/>
                <w:color w:val="000000"/>
                <w:sz w:val="20"/>
                <w:szCs w:val="20"/>
              </w:rPr>
              <w:t>0.039</w:t>
            </w:r>
          </w:p>
        </w:tc>
      </w:tr>
      <w:tr w:rsidR="009D039A" w:rsidRPr="009D039A" w14:paraId="083083C1"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735B578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Pneumonia</w:t>
            </w:r>
          </w:p>
        </w:tc>
        <w:tc>
          <w:tcPr>
            <w:tcW w:w="0" w:type="auto"/>
          </w:tcPr>
          <w:p w14:paraId="12390C2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38 (11.1%)</w:t>
            </w:r>
          </w:p>
        </w:tc>
        <w:tc>
          <w:tcPr>
            <w:tcW w:w="0" w:type="auto"/>
          </w:tcPr>
          <w:p w14:paraId="31947D80"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24 (11.6%)</w:t>
            </w:r>
          </w:p>
        </w:tc>
        <w:tc>
          <w:tcPr>
            <w:tcW w:w="0" w:type="auto"/>
          </w:tcPr>
          <w:p w14:paraId="289F73F7"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0.9</w:t>
            </w:r>
          </w:p>
        </w:tc>
      </w:tr>
      <w:tr w:rsidR="009D039A" w:rsidRPr="009D039A" w14:paraId="39850F26" w14:textId="77777777" w:rsidTr="007E42F9">
        <w:tc>
          <w:tcPr>
            <w:tcW w:w="0" w:type="auto"/>
          </w:tcPr>
          <w:p w14:paraId="483B3F5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Staph aureus</w:t>
            </w:r>
          </w:p>
        </w:tc>
        <w:tc>
          <w:tcPr>
            <w:tcW w:w="0" w:type="auto"/>
          </w:tcPr>
          <w:p w14:paraId="23FA616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 (0.3%)</w:t>
            </w:r>
          </w:p>
        </w:tc>
        <w:tc>
          <w:tcPr>
            <w:tcW w:w="0" w:type="auto"/>
          </w:tcPr>
          <w:p w14:paraId="577749A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 (0.0%)</w:t>
            </w:r>
          </w:p>
        </w:tc>
        <w:tc>
          <w:tcPr>
            <w:tcW w:w="0" w:type="auto"/>
          </w:tcPr>
          <w:p w14:paraId="1650EC47"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&gt;0.9</w:t>
            </w:r>
          </w:p>
        </w:tc>
      </w:tr>
      <w:tr w:rsidR="009D039A" w:rsidRPr="009D039A" w14:paraId="67A31807"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40A2F6D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proofErr w:type="spellStart"/>
            <w:r w:rsidRPr="001C0071">
              <w:rPr>
                <w:rFonts w:ascii="Arial" w:eastAsia="Arial" w:hAnsi="Arial" w:cs="Arial"/>
                <w:b/>
                <w:color w:val="000000"/>
                <w:sz w:val="20"/>
                <w:szCs w:val="20"/>
              </w:rPr>
              <w:t>Kaposis</w:t>
            </w:r>
            <w:proofErr w:type="spellEnd"/>
            <w:r w:rsidRPr="001C0071">
              <w:rPr>
                <w:rFonts w:ascii="Arial" w:eastAsia="Arial" w:hAnsi="Arial" w:cs="Arial"/>
                <w:b/>
                <w:color w:val="000000"/>
                <w:sz w:val="20"/>
                <w:szCs w:val="20"/>
              </w:rPr>
              <w:t xml:space="preserve"> sarcoma</w:t>
            </w:r>
          </w:p>
        </w:tc>
        <w:tc>
          <w:tcPr>
            <w:tcW w:w="0" w:type="auto"/>
          </w:tcPr>
          <w:p w14:paraId="46E4DF10"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 (0.9%)</w:t>
            </w:r>
          </w:p>
        </w:tc>
        <w:tc>
          <w:tcPr>
            <w:tcW w:w="0" w:type="auto"/>
          </w:tcPr>
          <w:p w14:paraId="554E48C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 (1.4%)</w:t>
            </w:r>
          </w:p>
        </w:tc>
        <w:tc>
          <w:tcPr>
            <w:tcW w:w="0" w:type="auto"/>
          </w:tcPr>
          <w:p w14:paraId="374B87B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0.7</w:t>
            </w:r>
          </w:p>
        </w:tc>
      </w:tr>
      <w:tr w:rsidR="009D039A" w:rsidRPr="009D039A" w14:paraId="0BB8FBB2" w14:textId="77777777" w:rsidTr="007E42F9">
        <w:tc>
          <w:tcPr>
            <w:tcW w:w="0" w:type="auto"/>
          </w:tcPr>
          <w:p w14:paraId="76DDB17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Cytomegalovirus</w:t>
            </w:r>
          </w:p>
        </w:tc>
        <w:tc>
          <w:tcPr>
            <w:tcW w:w="0" w:type="auto"/>
          </w:tcPr>
          <w:p w14:paraId="31EEE64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 (0.3%)</w:t>
            </w:r>
          </w:p>
        </w:tc>
        <w:tc>
          <w:tcPr>
            <w:tcW w:w="0" w:type="auto"/>
          </w:tcPr>
          <w:p w14:paraId="3505BC0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 (0.0%)</w:t>
            </w:r>
          </w:p>
        </w:tc>
        <w:tc>
          <w:tcPr>
            <w:tcW w:w="0" w:type="auto"/>
          </w:tcPr>
          <w:p w14:paraId="380AA717"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&gt;0.9</w:t>
            </w:r>
          </w:p>
        </w:tc>
      </w:tr>
      <w:tr w:rsidR="009D039A" w:rsidRPr="009D039A" w14:paraId="3B1534C1"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529C831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HSV</w:t>
            </w:r>
          </w:p>
        </w:tc>
        <w:tc>
          <w:tcPr>
            <w:tcW w:w="0" w:type="auto"/>
          </w:tcPr>
          <w:p w14:paraId="595D5E9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 (0.9%)</w:t>
            </w:r>
          </w:p>
        </w:tc>
        <w:tc>
          <w:tcPr>
            <w:tcW w:w="0" w:type="auto"/>
          </w:tcPr>
          <w:p w14:paraId="6E01EBBD"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5 (2.4%)</w:t>
            </w:r>
          </w:p>
        </w:tc>
        <w:tc>
          <w:tcPr>
            <w:tcW w:w="0" w:type="auto"/>
          </w:tcPr>
          <w:p w14:paraId="5ABDB6A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0.2</w:t>
            </w:r>
          </w:p>
        </w:tc>
      </w:tr>
      <w:tr w:rsidR="009D039A" w:rsidRPr="009D039A" w14:paraId="3A44439F" w14:textId="77777777" w:rsidTr="007E42F9">
        <w:tc>
          <w:tcPr>
            <w:tcW w:w="0" w:type="auto"/>
          </w:tcPr>
          <w:p w14:paraId="3795B54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proofErr w:type="spellStart"/>
            <w:r w:rsidRPr="001C0071">
              <w:rPr>
                <w:rFonts w:ascii="Arial" w:eastAsia="Arial" w:hAnsi="Arial" w:cs="Arial"/>
                <w:b/>
                <w:color w:val="000000"/>
                <w:sz w:val="20"/>
                <w:szCs w:val="20"/>
              </w:rPr>
              <w:t>HepB</w:t>
            </w:r>
            <w:proofErr w:type="spellEnd"/>
          </w:p>
        </w:tc>
        <w:tc>
          <w:tcPr>
            <w:tcW w:w="0" w:type="auto"/>
          </w:tcPr>
          <w:p w14:paraId="0557D3C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10 (2.9%)</w:t>
            </w:r>
          </w:p>
        </w:tc>
        <w:tc>
          <w:tcPr>
            <w:tcW w:w="0" w:type="auto"/>
          </w:tcPr>
          <w:p w14:paraId="156496F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8 (3.9%)</w:t>
            </w:r>
          </w:p>
        </w:tc>
        <w:tc>
          <w:tcPr>
            <w:tcW w:w="0" w:type="auto"/>
          </w:tcPr>
          <w:p w14:paraId="4EFF7BF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0.6</w:t>
            </w:r>
          </w:p>
        </w:tc>
      </w:tr>
      <w:tr w:rsidR="009D039A" w:rsidRPr="009D039A" w14:paraId="6E3CCCC0"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67E2F2C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Candida</w:t>
            </w:r>
          </w:p>
        </w:tc>
        <w:tc>
          <w:tcPr>
            <w:tcW w:w="0" w:type="auto"/>
          </w:tcPr>
          <w:p w14:paraId="08883867"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23 (6.7%)</w:t>
            </w:r>
          </w:p>
        </w:tc>
        <w:tc>
          <w:tcPr>
            <w:tcW w:w="0" w:type="auto"/>
          </w:tcPr>
          <w:p w14:paraId="6CE869CF"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11 (5.3%)</w:t>
            </w:r>
          </w:p>
        </w:tc>
        <w:tc>
          <w:tcPr>
            <w:tcW w:w="0" w:type="auto"/>
          </w:tcPr>
          <w:p w14:paraId="2B30125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0.5</w:t>
            </w:r>
          </w:p>
        </w:tc>
      </w:tr>
      <w:tr w:rsidR="009D039A" w:rsidRPr="009D039A" w14:paraId="63DE10F1" w14:textId="77777777" w:rsidTr="007E42F9">
        <w:tc>
          <w:tcPr>
            <w:tcW w:w="0" w:type="auto"/>
          </w:tcPr>
          <w:p w14:paraId="2D87DB9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GE/c diff</w:t>
            </w:r>
          </w:p>
        </w:tc>
        <w:tc>
          <w:tcPr>
            <w:tcW w:w="0" w:type="auto"/>
          </w:tcPr>
          <w:p w14:paraId="4FFFCA7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11 (3.2%)</w:t>
            </w:r>
          </w:p>
        </w:tc>
        <w:tc>
          <w:tcPr>
            <w:tcW w:w="0" w:type="auto"/>
          </w:tcPr>
          <w:p w14:paraId="2306B07D"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12 (5.8%)</w:t>
            </w:r>
          </w:p>
        </w:tc>
        <w:tc>
          <w:tcPr>
            <w:tcW w:w="0" w:type="auto"/>
          </w:tcPr>
          <w:p w14:paraId="52AD77E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0.15</w:t>
            </w:r>
          </w:p>
        </w:tc>
      </w:tr>
      <w:tr w:rsidR="009D039A" w:rsidRPr="009D039A" w14:paraId="60DB7000"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593CCB9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Parvo B19</w:t>
            </w:r>
          </w:p>
        </w:tc>
        <w:tc>
          <w:tcPr>
            <w:tcW w:w="0" w:type="auto"/>
          </w:tcPr>
          <w:p w14:paraId="0C5B11C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 (0.0%)</w:t>
            </w:r>
          </w:p>
        </w:tc>
        <w:tc>
          <w:tcPr>
            <w:tcW w:w="0" w:type="auto"/>
          </w:tcPr>
          <w:p w14:paraId="1CC51845"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 (0.5%)</w:t>
            </w:r>
          </w:p>
        </w:tc>
        <w:tc>
          <w:tcPr>
            <w:tcW w:w="0" w:type="auto"/>
          </w:tcPr>
          <w:p w14:paraId="5040CBE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0.4</w:t>
            </w:r>
          </w:p>
        </w:tc>
      </w:tr>
      <w:tr w:rsidR="009D039A" w:rsidRPr="009D039A" w14:paraId="0F8FCB21" w14:textId="77777777" w:rsidTr="007E42F9">
        <w:tc>
          <w:tcPr>
            <w:tcW w:w="0" w:type="auto"/>
          </w:tcPr>
          <w:p w14:paraId="5D649F5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Syphilis</w:t>
            </w:r>
          </w:p>
        </w:tc>
        <w:tc>
          <w:tcPr>
            <w:tcW w:w="0" w:type="auto"/>
          </w:tcPr>
          <w:p w14:paraId="7841C9A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14 (4.1%)</w:t>
            </w:r>
          </w:p>
        </w:tc>
        <w:tc>
          <w:tcPr>
            <w:tcW w:w="0" w:type="auto"/>
          </w:tcPr>
          <w:p w14:paraId="0EE2384E"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 (1.4%)</w:t>
            </w:r>
          </w:p>
        </w:tc>
        <w:tc>
          <w:tcPr>
            <w:tcW w:w="0" w:type="auto"/>
          </w:tcPr>
          <w:p w14:paraId="1796CEFF"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0.082</w:t>
            </w:r>
          </w:p>
        </w:tc>
      </w:tr>
      <w:tr w:rsidR="009D039A" w:rsidRPr="009D039A" w14:paraId="59F48719"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1A70773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 xml:space="preserve">B </w:t>
            </w:r>
            <w:proofErr w:type="spellStart"/>
            <w:r w:rsidRPr="001C0071">
              <w:rPr>
                <w:rFonts w:ascii="Arial" w:eastAsia="Arial" w:hAnsi="Arial" w:cs="Arial"/>
                <w:b/>
                <w:color w:val="000000"/>
                <w:sz w:val="20"/>
                <w:szCs w:val="20"/>
              </w:rPr>
              <w:t>menigitis</w:t>
            </w:r>
            <w:proofErr w:type="spellEnd"/>
          </w:p>
        </w:tc>
        <w:tc>
          <w:tcPr>
            <w:tcW w:w="0" w:type="auto"/>
          </w:tcPr>
          <w:p w14:paraId="67999A9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4 (1.2%)</w:t>
            </w:r>
          </w:p>
        </w:tc>
        <w:tc>
          <w:tcPr>
            <w:tcW w:w="0" w:type="auto"/>
          </w:tcPr>
          <w:p w14:paraId="0ACBB1F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 (1.0%)</w:t>
            </w:r>
          </w:p>
        </w:tc>
        <w:tc>
          <w:tcPr>
            <w:tcW w:w="0" w:type="auto"/>
          </w:tcPr>
          <w:p w14:paraId="43777C9E"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&gt;0.9</w:t>
            </w:r>
          </w:p>
        </w:tc>
      </w:tr>
      <w:tr w:rsidR="009D039A" w:rsidRPr="009D039A" w14:paraId="00A8B9A3" w14:textId="77777777" w:rsidTr="007E42F9">
        <w:tc>
          <w:tcPr>
            <w:tcW w:w="0" w:type="auto"/>
          </w:tcPr>
          <w:p w14:paraId="14EFB1C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UTI / Leptospirosis</w:t>
            </w:r>
          </w:p>
        </w:tc>
        <w:tc>
          <w:tcPr>
            <w:tcW w:w="0" w:type="auto"/>
          </w:tcPr>
          <w:p w14:paraId="4A842E7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4 (1.2%)</w:t>
            </w:r>
          </w:p>
        </w:tc>
        <w:tc>
          <w:tcPr>
            <w:tcW w:w="0" w:type="auto"/>
          </w:tcPr>
          <w:p w14:paraId="4BF802F1"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 (1.4%)</w:t>
            </w:r>
          </w:p>
        </w:tc>
        <w:tc>
          <w:tcPr>
            <w:tcW w:w="0" w:type="auto"/>
          </w:tcPr>
          <w:p w14:paraId="0495C4BA"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&gt;0.9</w:t>
            </w:r>
          </w:p>
        </w:tc>
      </w:tr>
      <w:tr w:rsidR="009D039A" w:rsidRPr="009D039A" w14:paraId="0A858C23"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63E6602E"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PCP</w:t>
            </w:r>
          </w:p>
        </w:tc>
        <w:tc>
          <w:tcPr>
            <w:tcW w:w="0" w:type="auto"/>
          </w:tcPr>
          <w:p w14:paraId="1804A6DF"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5 (1.5%)</w:t>
            </w:r>
          </w:p>
        </w:tc>
        <w:tc>
          <w:tcPr>
            <w:tcW w:w="0" w:type="auto"/>
          </w:tcPr>
          <w:p w14:paraId="0582760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 (0.0%)</w:t>
            </w:r>
          </w:p>
        </w:tc>
        <w:tc>
          <w:tcPr>
            <w:tcW w:w="0" w:type="auto"/>
          </w:tcPr>
          <w:p w14:paraId="78F5D8A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0.2</w:t>
            </w:r>
          </w:p>
        </w:tc>
      </w:tr>
      <w:tr w:rsidR="009D039A" w:rsidRPr="009D039A" w14:paraId="0D646FE6" w14:textId="77777777" w:rsidTr="007E42F9">
        <w:tc>
          <w:tcPr>
            <w:tcW w:w="0" w:type="auto"/>
          </w:tcPr>
          <w:p w14:paraId="405DCBC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COVID-19</w:t>
            </w:r>
          </w:p>
        </w:tc>
        <w:tc>
          <w:tcPr>
            <w:tcW w:w="0" w:type="auto"/>
          </w:tcPr>
          <w:p w14:paraId="6960039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 (0.6%)</w:t>
            </w:r>
          </w:p>
        </w:tc>
        <w:tc>
          <w:tcPr>
            <w:tcW w:w="0" w:type="auto"/>
          </w:tcPr>
          <w:p w14:paraId="237761D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 (0.0%)</w:t>
            </w:r>
          </w:p>
        </w:tc>
        <w:tc>
          <w:tcPr>
            <w:tcW w:w="0" w:type="auto"/>
          </w:tcPr>
          <w:p w14:paraId="35F1841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0.5</w:t>
            </w:r>
          </w:p>
        </w:tc>
      </w:tr>
      <w:tr w:rsidR="009D039A" w:rsidRPr="009D039A" w14:paraId="3CBA8B64"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6125775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Neurocysticercosis</w:t>
            </w:r>
          </w:p>
        </w:tc>
        <w:tc>
          <w:tcPr>
            <w:tcW w:w="0" w:type="auto"/>
          </w:tcPr>
          <w:p w14:paraId="7560F61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 (0.0%)</w:t>
            </w:r>
          </w:p>
        </w:tc>
        <w:tc>
          <w:tcPr>
            <w:tcW w:w="0" w:type="auto"/>
          </w:tcPr>
          <w:p w14:paraId="23CD98E3"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 (1.0%)</w:t>
            </w:r>
          </w:p>
        </w:tc>
        <w:tc>
          <w:tcPr>
            <w:tcW w:w="0" w:type="auto"/>
          </w:tcPr>
          <w:p w14:paraId="216F0FB6"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0.14</w:t>
            </w:r>
          </w:p>
        </w:tc>
      </w:tr>
      <w:tr w:rsidR="009D039A" w:rsidRPr="009D039A" w14:paraId="212F8846" w14:textId="77777777" w:rsidTr="007E42F9">
        <w:tc>
          <w:tcPr>
            <w:tcW w:w="0" w:type="auto"/>
          </w:tcPr>
          <w:p w14:paraId="5B823FB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Total CD4 count</w:t>
            </w:r>
          </w:p>
        </w:tc>
        <w:tc>
          <w:tcPr>
            <w:tcW w:w="0" w:type="auto"/>
          </w:tcPr>
          <w:p w14:paraId="2ED40948"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32.5 (13.3, 61.8)</w:t>
            </w:r>
          </w:p>
        </w:tc>
        <w:tc>
          <w:tcPr>
            <w:tcW w:w="0" w:type="auto"/>
          </w:tcPr>
          <w:p w14:paraId="1774DDE9"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34.0 (16.0, 61.5)</w:t>
            </w:r>
          </w:p>
        </w:tc>
        <w:tc>
          <w:tcPr>
            <w:tcW w:w="0" w:type="auto"/>
          </w:tcPr>
          <w:p w14:paraId="7971E37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0.8</w:t>
            </w:r>
          </w:p>
        </w:tc>
      </w:tr>
      <w:tr w:rsidR="009D039A" w:rsidRPr="009D039A" w14:paraId="527EF113"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378BA2A6" w14:textId="67596261"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 xml:space="preserve">White </w:t>
            </w:r>
            <w:proofErr w:type="gramStart"/>
            <w:r w:rsidRPr="001C0071">
              <w:rPr>
                <w:rFonts w:ascii="Arial" w:eastAsia="Arial" w:hAnsi="Arial" w:cs="Arial"/>
                <w:b/>
                <w:color w:val="000000"/>
                <w:sz w:val="20"/>
                <w:szCs w:val="20"/>
              </w:rPr>
              <w:t>cell</w:t>
            </w:r>
            <w:proofErr w:type="gramEnd"/>
            <w:r w:rsidRPr="001C0071">
              <w:rPr>
                <w:rFonts w:ascii="Arial" w:eastAsia="Arial" w:hAnsi="Arial" w:cs="Arial"/>
                <w:b/>
                <w:color w:val="000000"/>
                <w:sz w:val="20"/>
                <w:szCs w:val="20"/>
              </w:rPr>
              <w:t xml:space="preserve"> count </w:t>
            </w:r>
            <w:r w:rsidR="004241DB">
              <w:rPr>
                <w:rFonts w:ascii="Arial" w:eastAsia="Arial" w:hAnsi="Arial" w:cs="Arial"/>
                <w:b/>
                <w:color w:val="000000"/>
                <w:sz w:val="20"/>
                <w:szCs w:val="20"/>
              </w:rPr>
              <w:t>x</w:t>
            </w:r>
            <w:r w:rsidR="004241DB" w:rsidRPr="001C0071">
              <w:rPr>
                <w:rFonts w:ascii="Arial" w:eastAsia="Arial" w:hAnsi="Arial" w:cs="Arial"/>
                <w:b/>
                <w:color w:val="000000"/>
                <w:sz w:val="20"/>
                <w:szCs w:val="20"/>
              </w:rPr>
              <w:t>10</w:t>
            </w:r>
            <w:r w:rsidR="004241DB" w:rsidRPr="001C0071">
              <w:rPr>
                <w:rFonts w:ascii="Arial" w:eastAsia="Arial" w:hAnsi="Arial" w:cs="Arial"/>
                <w:b/>
                <w:color w:val="000000"/>
                <w:sz w:val="20"/>
                <w:szCs w:val="20"/>
                <w:vertAlign w:val="superscript"/>
              </w:rPr>
              <w:t>9</w:t>
            </w:r>
          </w:p>
        </w:tc>
        <w:tc>
          <w:tcPr>
            <w:tcW w:w="0" w:type="auto"/>
          </w:tcPr>
          <w:p w14:paraId="02EB7D25"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5.2 (3.4, 7.6)</w:t>
            </w:r>
          </w:p>
        </w:tc>
        <w:tc>
          <w:tcPr>
            <w:tcW w:w="0" w:type="auto"/>
          </w:tcPr>
          <w:p w14:paraId="1F2CA8D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5.8 (4.0, 8.9)</w:t>
            </w:r>
          </w:p>
        </w:tc>
        <w:tc>
          <w:tcPr>
            <w:tcW w:w="0" w:type="auto"/>
          </w:tcPr>
          <w:p w14:paraId="0F55327F"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0.076</w:t>
            </w:r>
          </w:p>
        </w:tc>
      </w:tr>
      <w:tr w:rsidR="009D039A" w:rsidRPr="009D039A" w14:paraId="7CD6A3D1" w14:textId="77777777" w:rsidTr="007E42F9">
        <w:tc>
          <w:tcPr>
            <w:tcW w:w="0" w:type="auto"/>
          </w:tcPr>
          <w:p w14:paraId="6AF355EB" w14:textId="6B201653"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 xml:space="preserve">Lymphocyte count </w:t>
            </w:r>
            <w:r w:rsidR="004241DB">
              <w:rPr>
                <w:rFonts w:ascii="Arial" w:eastAsia="Arial" w:hAnsi="Arial" w:cs="Arial"/>
                <w:b/>
                <w:color w:val="000000"/>
                <w:sz w:val="20"/>
                <w:szCs w:val="20"/>
              </w:rPr>
              <w:t>x</w:t>
            </w:r>
            <w:r w:rsidR="004241DB" w:rsidRPr="001C0071">
              <w:rPr>
                <w:rFonts w:ascii="Arial" w:eastAsia="Arial" w:hAnsi="Arial" w:cs="Arial"/>
                <w:b/>
                <w:color w:val="000000"/>
                <w:sz w:val="20"/>
                <w:szCs w:val="20"/>
              </w:rPr>
              <w:t>10</w:t>
            </w:r>
            <w:r w:rsidR="004241DB" w:rsidRPr="001C0071">
              <w:rPr>
                <w:rFonts w:ascii="Arial" w:eastAsia="Arial" w:hAnsi="Arial" w:cs="Arial"/>
                <w:b/>
                <w:color w:val="000000"/>
                <w:sz w:val="20"/>
                <w:szCs w:val="20"/>
                <w:vertAlign w:val="superscript"/>
              </w:rPr>
              <w:t>9</w:t>
            </w:r>
          </w:p>
        </w:tc>
        <w:tc>
          <w:tcPr>
            <w:tcW w:w="0" w:type="auto"/>
          </w:tcPr>
          <w:p w14:paraId="1434076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0.9 (0.4, 3.9)</w:t>
            </w:r>
          </w:p>
        </w:tc>
        <w:tc>
          <w:tcPr>
            <w:tcW w:w="0" w:type="auto"/>
          </w:tcPr>
          <w:p w14:paraId="2B0D4ED7"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0.7 (0.4, 1.3)</w:t>
            </w:r>
          </w:p>
        </w:tc>
        <w:tc>
          <w:tcPr>
            <w:tcW w:w="0" w:type="auto"/>
          </w:tcPr>
          <w:p w14:paraId="3896661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0.2</w:t>
            </w:r>
          </w:p>
        </w:tc>
      </w:tr>
      <w:tr w:rsidR="009D039A" w:rsidRPr="009D039A" w14:paraId="3AAB0B05" w14:textId="77777777" w:rsidTr="007E42F9">
        <w:trPr>
          <w:cnfStyle w:val="000000100000" w:firstRow="0" w:lastRow="0" w:firstColumn="0" w:lastColumn="0" w:oddVBand="0" w:evenVBand="0" w:oddHBand="1" w:evenHBand="0" w:firstRowFirstColumn="0" w:firstRowLastColumn="0" w:lastRowFirstColumn="0" w:lastRowLastColumn="0"/>
        </w:trPr>
        <w:tc>
          <w:tcPr>
            <w:tcW w:w="0" w:type="auto"/>
          </w:tcPr>
          <w:p w14:paraId="51577C9D"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Neutrophils</w:t>
            </w:r>
          </w:p>
        </w:tc>
        <w:tc>
          <w:tcPr>
            <w:tcW w:w="0" w:type="auto"/>
          </w:tcPr>
          <w:p w14:paraId="24547E4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3.7 (1.5, 8.3)</w:t>
            </w:r>
          </w:p>
        </w:tc>
        <w:tc>
          <w:tcPr>
            <w:tcW w:w="0" w:type="auto"/>
          </w:tcPr>
          <w:p w14:paraId="587C810B"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3.3 (1.7, 7.4)</w:t>
            </w:r>
          </w:p>
        </w:tc>
        <w:tc>
          <w:tcPr>
            <w:tcW w:w="0" w:type="auto"/>
          </w:tcPr>
          <w:p w14:paraId="3B6F5F62"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0.8</w:t>
            </w:r>
          </w:p>
        </w:tc>
      </w:tr>
      <w:tr w:rsidR="009D039A" w:rsidRPr="009D039A" w14:paraId="11135E58" w14:textId="77777777" w:rsidTr="007E42F9">
        <w:tc>
          <w:tcPr>
            <w:tcW w:w="0" w:type="auto"/>
          </w:tcPr>
          <w:p w14:paraId="4ED27F2E"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20"/>
                <w:szCs w:val="20"/>
              </w:rPr>
            </w:pPr>
            <w:r w:rsidRPr="001C0071">
              <w:rPr>
                <w:rFonts w:ascii="Arial" w:eastAsia="Arial" w:hAnsi="Arial" w:cs="Arial"/>
                <w:b/>
                <w:color w:val="000000"/>
                <w:sz w:val="20"/>
                <w:szCs w:val="20"/>
              </w:rPr>
              <w:t>Kidney medication</w:t>
            </w:r>
          </w:p>
        </w:tc>
        <w:tc>
          <w:tcPr>
            <w:tcW w:w="0" w:type="auto"/>
          </w:tcPr>
          <w:p w14:paraId="7C65E2AC"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30 (8.8%)</w:t>
            </w:r>
          </w:p>
        </w:tc>
        <w:tc>
          <w:tcPr>
            <w:tcW w:w="0" w:type="auto"/>
          </w:tcPr>
          <w:p w14:paraId="6BB5CDF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22 (10.6%)</w:t>
            </w:r>
          </w:p>
        </w:tc>
        <w:tc>
          <w:tcPr>
            <w:tcW w:w="0" w:type="auto"/>
          </w:tcPr>
          <w:p w14:paraId="38AAF204" w14:textId="77777777" w:rsidR="009D039A" w:rsidRPr="001C0071" w:rsidRDefault="009D039A"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20"/>
                <w:szCs w:val="20"/>
              </w:rPr>
            </w:pPr>
            <w:r w:rsidRPr="001C0071">
              <w:rPr>
                <w:rFonts w:ascii="Arial" w:eastAsia="Arial" w:hAnsi="Arial" w:cs="Arial"/>
                <w:color w:val="000000"/>
                <w:sz w:val="20"/>
                <w:szCs w:val="20"/>
              </w:rPr>
              <w:t>0.5</w:t>
            </w:r>
          </w:p>
        </w:tc>
      </w:tr>
    </w:tbl>
    <w:p w14:paraId="7755C21A" w14:textId="7985BA2C" w:rsidR="009D039A" w:rsidRDefault="004241DB" w:rsidP="001C0071">
      <w:pPr>
        <w:pStyle w:val="BodyText"/>
        <w:contextualSpacing/>
        <w:jc w:val="both"/>
        <w:rPr>
          <w:rFonts w:asciiTheme="majorHAnsi" w:hAnsiTheme="majorHAnsi" w:cstheme="majorHAnsi"/>
          <w:sz w:val="22"/>
          <w:szCs w:val="22"/>
        </w:rPr>
      </w:pPr>
      <w:r w:rsidRPr="003D6592">
        <w:rPr>
          <w:rFonts w:ascii="Arial" w:eastAsia="Arial" w:hAnsi="Arial" w:cs="Arial"/>
          <w:color w:val="000000"/>
          <w:sz w:val="20"/>
          <w:szCs w:val="20"/>
          <w:vertAlign w:val="superscript"/>
        </w:rPr>
        <w:t>1</w:t>
      </w:r>
      <w:r w:rsidRPr="003D6592">
        <w:rPr>
          <w:rFonts w:ascii="Arial" w:eastAsia="Arial" w:hAnsi="Arial" w:cs="Arial"/>
          <w:color w:val="000000"/>
          <w:sz w:val="20"/>
          <w:szCs w:val="20"/>
        </w:rPr>
        <w:t>Median (</w:t>
      </w:r>
      <w:proofErr w:type="spellStart"/>
      <w:r w:rsidRPr="003D6592">
        <w:rPr>
          <w:rFonts w:ascii="Arial" w:eastAsia="Arial" w:hAnsi="Arial" w:cs="Arial"/>
          <w:color w:val="000000"/>
          <w:sz w:val="20"/>
          <w:szCs w:val="20"/>
        </w:rPr>
        <w:t>IQR</w:t>
      </w:r>
      <w:proofErr w:type="spellEnd"/>
      <w:r w:rsidRPr="003D6592">
        <w:rPr>
          <w:rFonts w:ascii="Arial" w:eastAsia="Arial" w:hAnsi="Arial" w:cs="Arial"/>
          <w:color w:val="000000"/>
          <w:sz w:val="20"/>
          <w:szCs w:val="20"/>
        </w:rPr>
        <w:t>); n (%)</w:t>
      </w:r>
      <w:r>
        <w:rPr>
          <w:rFonts w:ascii="Arial" w:eastAsia="Arial" w:hAnsi="Arial" w:cs="Arial"/>
          <w:color w:val="000000"/>
          <w:sz w:val="20"/>
          <w:szCs w:val="20"/>
        </w:rPr>
        <w:t xml:space="preserve">; </w:t>
      </w:r>
      <w:r w:rsidRPr="005A507F">
        <w:rPr>
          <w:rFonts w:ascii="Arial" w:eastAsia="Arial" w:hAnsi="Arial" w:cs="Arial"/>
          <w:color w:val="000000"/>
          <w:sz w:val="20"/>
          <w:szCs w:val="20"/>
          <w:vertAlign w:val="superscript"/>
        </w:rPr>
        <w:t>2</w:t>
      </w:r>
      <w:r w:rsidRPr="005A507F">
        <w:rPr>
          <w:rFonts w:ascii="Arial" w:eastAsia="Arial" w:hAnsi="Arial" w:cs="Arial"/>
          <w:color w:val="000000"/>
          <w:sz w:val="20"/>
          <w:szCs w:val="20"/>
        </w:rPr>
        <w:t>Wilcoxon rank sum test; Pearson's Chi-squared test; Fisher's exact test</w:t>
      </w:r>
      <w:r>
        <w:rPr>
          <w:rFonts w:ascii="Arial" w:eastAsia="Arial" w:hAnsi="Arial" w:cs="Arial"/>
          <w:color w:val="000000"/>
          <w:sz w:val="20"/>
          <w:szCs w:val="20"/>
        </w:rPr>
        <w:t>.</w:t>
      </w:r>
    </w:p>
    <w:p w14:paraId="19F0B646" w14:textId="64B6C322" w:rsidR="009406FE" w:rsidRPr="007741DF" w:rsidRDefault="00201165" w:rsidP="00147D20">
      <w:pPr>
        <w:pStyle w:val="BodyText"/>
        <w:jc w:val="both"/>
        <w:rPr>
          <w:rFonts w:asciiTheme="majorHAnsi" w:hAnsiTheme="majorHAnsi" w:cstheme="majorHAnsi"/>
          <w:b/>
          <w:bCs/>
          <w:sz w:val="22"/>
          <w:szCs w:val="22"/>
        </w:rPr>
      </w:pPr>
      <w:r w:rsidRPr="007741DF">
        <w:rPr>
          <w:rFonts w:asciiTheme="majorHAnsi" w:hAnsiTheme="majorHAnsi" w:cstheme="majorHAnsi"/>
          <w:b/>
          <w:bCs/>
          <w:sz w:val="22"/>
          <w:szCs w:val="22"/>
        </w:rPr>
        <w:t>Comparison of patients with advanced HIV on admission by tertiles.</w:t>
      </w:r>
    </w:p>
    <w:p w14:paraId="5FE55B8E" w14:textId="70676ACD" w:rsidR="00D50028" w:rsidRDefault="003B40A9" w:rsidP="00147D20">
      <w:pPr>
        <w:pStyle w:val="BodyText"/>
        <w:jc w:val="both"/>
        <w:rPr>
          <w:rFonts w:asciiTheme="majorHAnsi" w:hAnsiTheme="majorHAnsi" w:cstheme="majorHAnsi"/>
          <w:sz w:val="22"/>
          <w:szCs w:val="22"/>
        </w:rPr>
      </w:pPr>
      <w:r>
        <w:rPr>
          <w:rFonts w:asciiTheme="majorHAnsi" w:hAnsiTheme="majorHAnsi" w:cstheme="majorHAnsi"/>
          <w:sz w:val="22"/>
          <w:szCs w:val="22"/>
        </w:rPr>
        <w:t xml:space="preserve">When comparing </w:t>
      </w:r>
      <w:r w:rsidR="00201165" w:rsidRPr="00201165">
        <w:rPr>
          <w:rFonts w:asciiTheme="majorHAnsi" w:hAnsiTheme="majorHAnsi" w:cstheme="majorHAnsi"/>
          <w:sz w:val="22"/>
          <w:szCs w:val="22"/>
        </w:rPr>
        <w:t xml:space="preserve">patient </w:t>
      </w:r>
      <w:r w:rsidR="00CF09FB">
        <w:rPr>
          <w:rFonts w:asciiTheme="majorHAnsi" w:hAnsiTheme="majorHAnsi" w:cstheme="majorHAnsi"/>
          <w:sz w:val="22"/>
          <w:szCs w:val="22"/>
        </w:rPr>
        <w:t xml:space="preserve">characteristics </w:t>
      </w:r>
      <w:r>
        <w:rPr>
          <w:rFonts w:asciiTheme="majorHAnsi" w:hAnsiTheme="majorHAnsi" w:cstheme="majorHAnsi"/>
          <w:sz w:val="22"/>
          <w:szCs w:val="22"/>
        </w:rPr>
        <w:t>of CD4 counts by tertiles</w:t>
      </w:r>
      <w:r w:rsidR="004619B5">
        <w:rPr>
          <w:rFonts w:asciiTheme="majorHAnsi" w:hAnsiTheme="majorHAnsi" w:cstheme="majorHAnsi"/>
          <w:sz w:val="22"/>
          <w:szCs w:val="22"/>
        </w:rPr>
        <w:t xml:space="preserve">, patients with the lowest CD4 count, were younger at enrolment </w:t>
      </w:r>
      <w:r w:rsidR="00BB3752" w:rsidRPr="00633443">
        <w:rPr>
          <w:rFonts w:asciiTheme="majorHAnsi" w:hAnsiTheme="majorHAnsi" w:cstheme="majorHAnsi"/>
          <w:i/>
          <w:iCs/>
          <w:sz w:val="22"/>
          <w:szCs w:val="22"/>
        </w:rPr>
        <w:t>p</w:t>
      </w:r>
      <w:r w:rsidR="00BB3752">
        <w:rPr>
          <w:rFonts w:asciiTheme="majorHAnsi" w:hAnsiTheme="majorHAnsi" w:cstheme="majorHAnsi"/>
          <w:sz w:val="22"/>
          <w:szCs w:val="22"/>
        </w:rPr>
        <w:t xml:space="preserve">=0.013 </w:t>
      </w:r>
      <w:r w:rsidR="004619B5">
        <w:rPr>
          <w:rFonts w:asciiTheme="majorHAnsi" w:hAnsiTheme="majorHAnsi" w:cstheme="majorHAnsi"/>
          <w:sz w:val="22"/>
          <w:szCs w:val="22"/>
        </w:rPr>
        <w:t xml:space="preserve">As expected, the participants with lowest CD4 count had the highest viral load; </w:t>
      </w:r>
      <w:r w:rsidR="004619B5" w:rsidRPr="00777873">
        <w:rPr>
          <w:rFonts w:asciiTheme="majorHAnsi" w:hAnsiTheme="majorHAnsi" w:cstheme="majorHAnsi"/>
          <w:i/>
          <w:iCs/>
          <w:sz w:val="22"/>
          <w:szCs w:val="22"/>
        </w:rPr>
        <w:t>p</w:t>
      </w:r>
      <w:r w:rsidR="004619B5">
        <w:rPr>
          <w:rFonts w:asciiTheme="majorHAnsi" w:hAnsiTheme="majorHAnsi" w:cstheme="majorHAnsi"/>
          <w:sz w:val="22"/>
          <w:szCs w:val="22"/>
        </w:rPr>
        <w:t xml:space="preserve">=0.001. In concert with the lowest CD4 count, the white cell, neutrophil and lymphocytes were also lower than the remaining tertiles. </w:t>
      </w:r>
      <w:r w:rsidR="008B700D" w:rsidRPr="008B700D">
        <w:rPr>
          <w:rFonts w:asciiTheme="majorHAnsi" w:hAnsiTheme="majorHAnsi" w:cstheme="majorHAnsi"/>
          <w:sz w:val="22"/>
          <w:szCs w:val="22"/>
        </w:rPr>
        <w:t>The only significant opportunistic infections by t</w:t>
      </w:r>
      <w:r w:rsidR="008B700D">
        <w:rPr>
          <w:rFonts w:asciiTheme="majorHAnsi" w:hAnsiTheme="majorHAnsi" w:cstheme="majorHAnsi"/>
          <w:sz w:val="22"/>
          <w:szCs w:val="22"/>
        </w:rPr>
        <w:t>ertiles</w:t>
      </w:r>
      <w:r w:rsidR="008B700D" w:rsidRPr="008B700D">
        <w:rPr>
          <w:rFonts w:asciiTheme="majorHAnsi" w:hAnsiTheme="majorHAnsi" w:cstheme="majorHAnsi"/>
          <w:sz w:val="22"/>
          <w:szCs w:val="22"/>
        </w:rPr>
        <w:t xml:space="preserve"> w</w:t>
      </w:r>
      <w:r w:rsidR="008B700D">
        <w:rPr>
          <w:rFonts w:asciiTheme="majorHAnsi" w:hAnsiTheme="majorHAnsi" w:cstheme="majorHAnsi"/>
          <w:sz w:val="22"/>
          <w:szCs w:val="22"/>
        </w:rPr>
        <w:t>ere</w:t>
      </w:r>
      <w:r w:rsidR="008B700D" w:rsidRPr="008B700D">
        <w:rPr>
          <w:rFonts w:asciiTheme="majorHAnsi" w:hAnsiTheme="majorHAnsi" w:cstheme="majorHAnsi"/>
          <w:sz w:val="22"/>
          <w:szCs w:val="22"/>
        </w:rPr>
        <w:t xml:space="preserve"> </w:t>
      </w:r>
      <w:r w:rsidR="00814A45">
        <w:rPr>
          <w:rFonts w:asciiTheme="majorHAnsi" w:hAnsiTheme="majorHAnsi" w:cstheme="majorHAnsi"/>
          <w:sz w:val="22"/>
          <w:szCs w:val="22"/>
        </w:rPr>
        <w:t>candida</w:t>
      </w:r>
      <w:r w:rsidR="008B700D" w:rsidRPr="008B700D">
        <w:rPr>
          <w:rFonts w:asciiTheme="majorHAnsi" w:hAnsiTheme="majorHAnsi" w:cstheme="majorHAnsi"/>
          <w:sz w:val="22"/>
          <w:szCs w:val="22"/>
        </w:rPr>
        <w:t xml:space="preserve"> which </w:t>
      </w:r>
      <w:r w:rsidR="00814A45">
        <w:rPr>
          <w:rFonts w:asciiTheme="majorHAnsi" w:hAnsiTheme="majorHAnsi" w:cstheme="majorHAnsi"/>
          <w:sz w:val="22"/>
          <w:szCs w:val="22"/>
        </w:rPr>
        <w:t>w</w:t>
      </w:r>
      <w:r w:rsidR="00686FBD">
        <w:rPr>
          <w:rFonts w:asciiTheme="majorHAnsi" w:hAnsiTheme="majorHAnsi" w:cstheme="majorHAnsi"/>
          <w:sz w:val="22"/>
          <w:szCs w:val="22"/>
        </w:rPr>
        <w:t>as</w:t>
      </w:r>
      <w:r w:rsidR="008B700D" w:rsidRPr="008B700D">
        <w:rPr>
          <w:rFonts w:asciiTheme="majorHAnsi" w:hAnsiTheme="majorHAnsi" w:cstheme="majorHAnsi"/>
          <w:sz w:val="22"/>
          <w:szCs w:val="22"/>
        </w:rPr>
        <w:t xml:space="preserve"> more dominant in the youngest age grou</w:t>
      </w:r>
      <w:r w:rsidR="00686FBD">
        <w:rPr>
          <w:rFonts w:asciiTheme="majorHAnsi" w:hAnsiTheme="majorHAnsi" w:cstheme="majorHAnsi"/>
          <w:sz w:val="22"/>
          <w:szCs w:val="22"/>
        </w:rPr>
        <w:t xml:space="preserve">p and Kaposi sarcoma which was more pronounced in the mid-tertile </w:t>
      </w:r>
      <w:proofErr w:type="gramStart"/>
      <w:r w:rsidR="00686FBD">
        <w:rPr>
          <w:rFonts w:asciiTheme="majorHAnsi" w:hAnsiTheme="majorHAnsi" w:cstheme="majorHAnsi"/>
          <w:sz w:val="22"/>
          <w:szCs w:val="22"/>
        </w:rPr>
        <w:t>grou</w:t>
      </w:r>
      <w:r w:rsidR="008B700D" w:rsidRPr="008B700D">
        <w:rPr>
          <w:rFonts w:asciiTheme="majorHAnsi" w:hAnsiTheme="majorHAnsi" w:cstheme="majorHAnsi"/>
          <w:sz w:val="22"/>
          <w:szCs w:val="22"/>
        </w:rPr>
        <w:t>p</w:t>
      </w:r>
      <w:proofErr w:type="gramEnd"/>
    </w:p>
    <w:p w14:paraId="3EA0BE36" w14:textId="4A794132" w:rsidR="00D50028" w:rsidRDefault="00D50028" w:rsidP="00D50028">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A422BD">
        <w:rPr>
          <w:b/>
          <w:bCs/>
        </w:rPr>
        <w:t xml:space="preserve">Table </w:t>
      </w:r>
      <w:r w:rsidR="006A76F1">
        <w:rPr>
          <w:b/>
          <w:bCs/>
        </w:rPr>
        <w:t>3</w:t>
      </w:r>
      <w:r w:rsidRPr="00A422BD">
        <w:rPr>
          <w:b/>
          <w:bCs/>
        </w:rPr>
        <w:t xml:space="preserve">: Should compare Total AI with Non-AI </w:t>
      </w:r>
      <w:proofErr w:type="gramStart"/>
      <w:r w:rsidRPr="00A422BD">
        <w:rPr>
          <w:b/>
          <w:bCs/>
        </w:rPr>
        <w:t>patients</w:t>
      </w:r>
      <w:proofErr w:type="gramEnd"/>
    </w:p>
    <w:p w14:paraId="598A8B87" w14:textId="77777777" w:rsidR="00407828" w:rsidRDefault="00407828" w:rsidP="00407828">
      <w:pPr>
        <w:pStyle w:val="TableCaption"/>
        <w:pBdr>
          <w:top w:val="none" w:sz="0" w:space="0" w:color="000000"/>
          <w:left w:val="none" w:sz="0" w:space="0" w:color="000000"/>
          <w:bottom w:val="none" w:sz="0" w:space="0" w:color="000000"/>
          <w:right w:val="none" w:sz="0" w:space="0" w:color="000000"/>
        </w:pBdr>
        <w:spacing w:before="60" w:after="60"/>
        <w:ind w:left="60" w:right="60"/>
        <w:rPr>
          <w:b/>
          <w:bCs/>
          <w:i w:val="0"/>
          <w:iCs/>
        </w:rPr>
      </w:pPr>
    </w:p>
    <w:tbl>
      <w:tblPr>
        <w:tblStyle w:val="PlainTable53"/>
        <w:tblW w:w="10456" w:type="dxa"/>
        <w:tblLook w:val="0420" w:firstRow="1" w:lastRow="0" w:firstColumn="0" w:lastColumn="0" w:noHBand="0" w:noVBand="1"/>
      </w:tblPr>
      <w:tblGrid>
        <w:gridCol w:w="3119"/>
        <w:gridCol w:w="142"/>
        <w:gridCol w:w="921"/>
        <w:gridCol w:w="213"/>
        <w:gridCol w:w="1543"/>
        <w:gridCol w:w="752"/>
        <w:gridCol w:w="1484"/>
        <w:gridCol w:w="1417"/>
        <w:gridCol w:w="865"/>
        <w:tblGridChange w:id="14">
          <w:tblGrid>
            <w:gridCol w:w="3119"/>
            <w:gridCol w:w="142"/>
            <w:gridCol w:w="921"/>
            <w:gridCol w:w="213"/>
            <w:gridCol w:w="1543"/>
            <w:gridCol w:w="752"/>
            <w:gridCol w:w="1484"/>
            <w:gridCol w:w="1417"/>
            <w:gridCol w:w="865"/>
          </w:tblGrid>
        </w:tblGridChange>
      </w:tblGrid>
      <w:tr w:rsidR="00407828" w:rsidRPr="001C0071" w14:paraId="1A4F29E6" w14:textId="77777777" w:rsidTr="00FE00C8">
        <w:trPr>
          <w:cnfStyle w:val="100000000000" w:firstRow="1" w:lastRow="0" w:firstColumn="0" w:lastColumn="0" w:oddVBand="0" w:evenVBand="0" w:oddHBand="0" w:evenHBand="0" w:firstRowFirstColumn="0" w:firstRowLastColumn="0" w:lastRowFirstColumn="0" w:lastRowLastColumn="0"/>
          <w:trHeight w:val="300"/>
        </w:trPr>
        <w:tc>
          <w:tcPr>
            <w:tcW w:w="3119" w:type="dxa"/>
            <w:vMerge w:val="restart"/>
            <w:noWrap/>
            <w:hideMark/>
          </w:tcPr>
          <w:p w14:paraId="33C41026" w14:textId="77777777" w:rsidR="00407828" w:rsidRPr="00FE00C8" w:rsidRDefault="00407828" w:rsidP="001C0071">
            <w:pPr>
              <w:contextualSpacing/>
              <w:jc w:val="center"/>
              <w:rPr>
                <w:rFonts w:asciiTheme="minorHAnsi" w:eastAsia="Times New Roman" w:hAnsiTheme="minorHAnsi" w:cs="Times New Roman"/>
                <w:color w:val="000000"/>
                <w:sz w:val="18"/>
                <w:szCs w:val="18"/>
                <w:lang w:val="en-ZA" w:eastAsia="en-ZA"/>
              </w:rPr>
            </w:pPr>
            <w:r w:rsidRPr="00FE00C8">
              <w:rPr>
                <w:rFonts w:asciiTheme="minorHAnsi" w:eastAsia="Arial" w:hAnsiTheme="minorHAnsi" w:cs="Times New Roman"/>
                <w:color w:val="000000"/>
                <w:sz w:val="18"/>
                <w:szCs w:val="18"/>
                <w:lang w:eastAsia="en-ZA"/>
              </w:rPr>
              <w:t>Variable</w:t>
            </w:r>
          </w:p>
        </w:tc>
        <w:tc>
          <w:tcPr>
            <w:tcW w:w="3571" w:type="dxa"/>
            <w:gridSpan w:val="5"/>
            <w:noWrap/>
            <w:hideMark/>
          </w:tcPr>
          <w:p w14:paraId="03AC5C06" w14:textId="77777777" w:rsidR="00407828" w:rsidRPr="00FE00C8" w:rsidRDefault="00407828" w:rsidP="001C0071">
            <w:pPr>
              <w:contextualSpacing/>
              <w:jc w:val="center"/>
              <w:rPr>
                <w:rFonts w:asciiTheme="minorHAnsi" w:eastAsia="Times New Roman" w:hAnsiTheme="minorHAnsi" w:cs="Times New Roman"/>
                <w:color w:val="000000"/>
                <w:sz w:val="18"/>
                <w:szCs w:val="18"/>
                <w:lang w:val="en-ZA" w:eastAsia="en-ZA"/>
              </w:rPr>
            </w:pPr>
            <w:r w:rsidRPr="00FE00C8">
              <w:rPr>
                <w:rFonts w:asciiTheme="minorHAnsi" w:eastAsia="Times New Roman" w:hAnsiTheme="minorHAnsi" w:cs="Times New Roman"/>
                <w:color w:val="000000"/>
                <w:sz w:val="18"/>
                <w:szCs w:val="18"/>
                <w:lang w:eastAsia="en-ZA"/>
              </w:rPr>
              <w:t>Non-AI vs AI</w:t>
            </w:r>
          </w:p>
        </w:tc>
        <w:tc>
          <w:tcPr>
            <w:tcW w:w="3766" w:type="dxa"/>
            <w:gridSpan w:val="3"/>
            <w:noWrap/>
            <w:hideMark/>
          </w:tcPr>
          <w:p w14:paraId="0652F9F8" w14:textId="77777777" w:rsidR="00407828" w:rsidRPr="00FE00C8" w:rsidRDefault="00407828" w:rsidP="001C0071">
            <w:pPr>
              <w:contextualSpacing/>
              <w:jc w:val="center"/>
              <w:rPr>
                <w:rFonts w:asciiTheme="minorHAnsi" w:eastAsia="Times New Roman" w:hAnsiTheme="minorHAnsi" w:cs="Times New Roman"/>
                <w:color w:val="000000"/>
                <w:sz w:val="18"/>
                <w:szCs w:val="18"/>
                <w:lang w:val="en-ZA" w:eastAsia="en-ZA"/>
              </w:rPr>
            </w:pPr>
            <w:r w:rsidRPr="00FE00C8">
              <w:rPr>
                <w:rFonts w:asciiTheme="minorHAnsi" w:eastAsia="Times New Roman" w:hAnsiTheme="minorHAnsi" w:cs="Times New Roman"/>
                <w:color w:val="000000"/>
                <w:sz w:val="18"/>
                <w:szCs w:val="18"/>
                <w:lang w:eastAsia="en-ZA"/>
              </w:rPr>
              <w:t xml:space="preserve"> PAI vs SAI patients</w:t>
            </w:r>
          </w:p>
        </w:tc>
      </w:tr>
      <w:tr w:rsidR="00FE00C8" w:rsidRPr="001C0071" w14:paraId="004D8DF3"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vMerge/>
            <w:hideMark/>
          </w:tcPr>
          <w:p w14:paraId="65A07ED6" w14:textId="77777777" w:rsidR="00407828" w:rsidRPr="00FE00C8" w:rsidRDefault="00407828" w:rsidP="001C0071">
            <w:pPr>
              <w:contextualSpacing/>
              <w:rPr>
                <w:rFonts w:eastAsia="Times New Roman" w:cs="Times New Roman"/>
                <w:color w:val="000000"/>
                <w:sz w:val="18"/>
                <w:szCs w:val="18"/>
                <w:lang w:val="en-ZA" w:eastAsia="en-ZA"/>
              </w:rPr>
            </w:pPr>
          </w:p>
        </w:tc>
        <w:tc>
          <w:tcPr>
            <w:tcW w:w="1063" w:type="dxa"/>
            <w:gridSpan w:val="2"/>
            <w:noWrap/>
            <w:hideMark/>
          </w:tcPr>
          <w:p w14:paraId="592EB84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no-AI, N = 522</w:t>
            </w:r>
            <w:r w:rsidRPr="00FE00C8">
              <w:rPr>
                <w:rFonts w:eastAsia="Arial" w:cs="Times New Roman"/>
                <w:color w:val="000000"/>
                <w:sz w:val="18"/>
                <w:szCs w:val="18"/>
                <w:vertAlign w:val="superscript"/>
                <w:lang w:eastAsia="en-ZA"/>
              </w:rPr>
              <w:t>1</w:t>
            </w:r>
          </w:p>
        </w:tc>
        <w:tc>
          <w:tcPr>
            <w:tcW w:w="1756" w:type="dxa"/>
            <w:gridSpan w:val="2"/>
            <w:noWrap/>
            <w:hideMark/>
          </w:tcPr>
          <w:p w14:paraId="705F474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AI, N = 271</w:t>
            </w:r>
          </w:p>
        </w:tc>
        <w:tc>
          <w:tcPr>
            <w:tcW w:w="752" w:type="dxa"/>
            <w:noWrap/>
            <w:hideMark/>
          </w:tcPr>
          <w:p w14:paraId="123ECC2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p-value</w:t>
            </w:r>
            <w:r w:rsidRPr="00FE00C8">
              <w:rPr>
                <w:rFonts w:eastAsia="Arial" w:cs="Times New Roman"/>
                <w:color w:val="000000"/>
                <w:sz w:val="18"/>
                <w:szCs w:val="18"/>
                <w:vertAlign w:val="superscript"/>
                <w:lang w:eastAsia="en-ZA"/>
              </w:rPr>
              <w:t>2</w:t>
            </w:r>
          </w:p>
        </w:tc>
        <w:tc>
          <w:tcPr>
            <w:tcW w:w="1484" w:type="dxa"/>
            <w:noWrap/>
            <w:hideMark/>
          </w:tcPr>
          <w:p w14:paraId="0E29FDB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SAI, N = 20</w:t>
            </w:r>
            <w:r w:rsidRPr="00FE00C8">
              <w:rPr>
                <w:rFonts w:eastAsia="Arial" w:cs="Times New Roman"/>
                <w:color w:val="000000"/>
                <w:sz w:val="18"/>
                <w:szCs w:val="18"/>
                <w:vertAlign w:val="superscript"/>
                <w:lang w:eastAsia="en-ZA"/>
              </w:rPr>
              <w:t>1</w:t>
            </w:r>
          </w:p>
        </w:tc>
        <w:tc>
          <w:tcPr>
            <w:tcW w:w="1417" w:type="dxa"/>
            <w:noWrap/>
            <w:hideMark/>
          </w:tcPr>
          <w:p w14:paraId="7BF6DBE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PAI, N = 7</w:t>
            </w:r>
            <w:r w:rsidRPr="00FE00C8">
              <w:rPr>
                <w:rFonts w:eastAsia="Arial" w:cs="Times New Roman"/>
                <w:color w:val="000000"/>
                <w:sz w:val="18"/>
                <w:szCs w:val="18"/>
                <w:vertAlign w:val="superscript"/>
                <w:lang w:eastAsia="en-ZA"/>
              </w:rPr>
              <w:t>1</w:t>
            </w:r>
          </w:p>
        </w:tc>
        <w:tc>
          <w:tcPr>
            <w:tcW w:w="865" w:type="dxa"/>
            <w:noWrap/>
            <w:hideMark/>
          </w:tcPr>
          <w:p w14:paraId="485FDE67" w14:textId="715C13EF"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w:t>
            </w:r>
            <w:r w:rsidR="004241DB" w:rsidRPr="00FE00C8">
              <w:rPr>
                <w:rFonts w:eastAsia="Arial" w:cs="Times New Roman"/>
                <w:color w:val="000000"/>
                <w:sz w:val="18"/>
                <w:szCs w:val="18"/>
                <w:lang w:eastAsia="en-ZA"/>
              </w:rPr>
              <w:t>value</w:t>
            </w:r>
            <w:r w:rsidR="004241DB" w:rsidRPr="00FE00C8">
              <w:rPr>
                <w:rFonts w:eastAsia="Arial" w:cs="Times New Roman"/>
                <w:color w:val="000000"/>
                <w:sz w:val="18"/>
                <w:szCs w:val="18"/>
                <w:vertAlign w:val="superscript"/>
                <w:lang w:eastAsia="en-ZA"/>
              </w:rPr>
              <w:t>2</w:t>
            </w:r>
          </w:p>
        </w:tc>
      </w:tr>
      <w:tr w:rsidR="00407828" w:rsidRPr="001C0071" w14:paraId="3DD16D30" w14:textId="77777777" w:rsidTr="00FE00C8">
        <w:trPr>
          <w:trHeight w:val="300"/>
        </w:trPr>
        <w:tc>
          <w:tcPr>
            <w:tcW w:w="3119" w:type="dxa"/>
            <w:noWrap/>
            <w:hideMark/>
          </w:tcPr>
          <w:p w14:paraId="60C9666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Age at enrolment, median (</w:t>
            </w:r>
            <w:proofErr w:type="spellStart"/>
            <w:r w:rsidRPr="00FE00C8">
              <w:rPr>
                <w:rFonts w:eastAsia="Arial" w:cs="Times New Roman"/>
                <w:color w:val="000000"/>
                <w:sz w:val="18"/>
                <w:szCs w:val="18"/>
                <w:lang w:eastAsia="en-ZA"/>
              </w:rPr>
              <w:t>IQR</w:t>
            </w:r>
            <w:proofErr w:type="spellEnd"/>
            <w:r w:rsidRPr="00FE00C8">
              <w:rPr>
                <w:rFonts w:eastAsia="Arial" w:cs="Times New Roman"/>
                <w:color w:val="000000"/>
                <w:sz w:val="18"/>
                <w:szCs w:val="18"/>
                <w:lang w:eastAsia="en-ZA"/>
              </w:rPr>
              <w:t>) (years)</w:t>
            </w:r>
          </w:p>
        </w:tc>
        <w:tc>
          <w:tcPr>
            <w:tcW w:w="1063" w:type="dxa"/>
            <w:gridSpan w:val="2"/>
            <w:noWrap/>
            <w:hideMark/>
          </w:tcPr>
          <w:p w14:paraId="2969FED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36.0 (31.8,43.0)</w:t>
            </w:r>
          </w:p>
        </w:tc>
        <w:tc>
          <w:tcPr>
            <w:tcW w:w="1756" w:type="dxa"/>
            <w:gridSpan w:val="2"/>
            <w:noWrap/>
            <w:hideMark/>
          </w:tcPr>
          <w:p w14:paraId="6262694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36.0 (32.0,47.5)</w:t>
            </w:r>
          </w:p>
        </w:tc>
        <w:tc>
          <w:tcPr>
            <w:tcW w:w="752" w:type="dxa"/>
            <w:noWrap/>
            <w:hideMark/>
          </w:tcPr>
          <w:p w14:paraId="746CB2B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0910D0A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36.0 (32.0, 48.5)</w:t>
            </w:r>
          </w:p>
        </w:tc>
        <w:tc>
          <w:tcPr>
            <w:tcW w:w="1417" w:type="dxa"/>
            <w:noWrap/>
            <w:hideMark/>
          </w:tcPr>
          <w:p w14:paraId="6520622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40.0 (35.0, 45.0)</w:t>
            </w:r>
          </w:p>
        </w:tc>
        <w:tc>
          <w:tcPr>
            <w:tcW w:w="865" w:type="dxa"/>
            <w:noWrap/>
            <w:hideMark/>
          </w:tcPr>
          <w:p w14:paraId="2662CF8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r w:rsidR="00407828" w:rsidRPr="001C0071" w14:paraId="318BA0DF"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4182" w:type="dxa"/>
            <w:gridSpan w:val="3"/>
            <w:noWrap/>
            <w:hideMark/>
          </w:tcPr>
          <w:p w14:paraId="4755A28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 xml:space="preserve">Gender, </w:t>
            </w:r>
            <w:proofErr w:type="gramStart"/>
            <w:r w:rsidRPr="00FE00C8">
              <w:rPr>
                <w:rFonts w:eastAsia="Arial" w:cs="Times New Roman"/>
                <w:color w:val="000000"/>
                <w:sz w:val="18"/>
                <w:szCs w:val="18"/>
                <w:lang w:eastAsia="en-ZA"/>
              </w:rPr>
              <w:t>n(</w:t>
            </w:r>
            <w:proofErr w:type="gramEnd"/>
            <w:r w:rsidRPr="00FE00C8">
              <w:rPr>
                <w:rFonts w:eastAsia="Arial" w:cs="Times New Roman"/>
                <w:color w:val="000000"/>
                <w:sz w:val="18"/>
                <w:szCs w:val="18"/>
                <w:lang w:eastAsia="en-ZA"/>
              </w:rPr>
              <w:t>%)</w:t>
            </w:r>
          </w:p>
        </w:tc>
        <w:tc>
          <w:tcPr>
            <w:tcW w:w="1756" w:type="dxa"/>
            <w:gridSpan w:val="2"/>
            <w:noWrap/>
            <w:hideMark/>
          </w:tcPr>
          <w:p w14:paraId="3B4A1B7F" w14:textId="77777777" w:rsidR="00407828" w:rsidRPr="00FE00C8" w:rsidRDefault="00407828" w:rsidP="001C0071">
            <w:pPr>
              <w:contextualSpacing/>
              <w:rPr>
                <w:rFonts w:eastAsia="Times New Roman" w:cs="Times New Roman"/>
                <w:color w:val="000000"/>
                <w:sz w:val="18"/>
                <w:szCs w:val="18"/>
                <w:lang w:val="en-ZA" w:eastAsia="en-ZA"/>
              </w:rPr>
            </w:pPr>
          </w:p>
        </w:tc>
        <w:tc>
          <w:tcPr>
            <w:tcW w:w="752" w:type="dxa"/>
            <w:noWrap/>
            <w:hideMark/>
          </w:tcPr>
          <w:p w14:paraId="250D9EE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169677AA" w14:textId="77777777" w:rsidR="00407828" w:rsidRPr="00FE00C8" w:rsidRDefault="00407828" w:rsidP="001C0071">
            <w:pPr>
              <w:contextualSpacing/>
              <w:rPr>
                <w:rFonts w:eastAsia="Times New Roman" w:cs="Times New Roman"/>
                <w:color w:val="000000"/>
                <w:sz w:val="18"/>
                <w:szCs w:val="18"/>
                <w:lang w:val="en-ZA" w:eastAsia="en-ZA"/>
              </w:rPr>
            </w:pPr>
          </w:p>
        </w:tc>
        <w:tc>
          <w:tcPr>
            <w:tcW w:w="1417" w:type="dxa"/>
            <w:noWrap/>
            <w:hideMark/>
          </w:tcPr>
          <w:p w14:paraId="25796384" w14:textId="77777777" w:rsidR="00407828" w:rsidRPr="00FE00C8" w:rsidRDefault="00407828" w:rsidP="001C0071">
            <w:pPr>
              <w:contextualSpacing/>
              <w:rPr>
                <w:rFonts w:eastAsia="Times New Roman" w:cs="Times New Roman"/>
                <w:sz w:val="18"/>
                <w:szCs w:val="18"/>
                <w:lang w:val="en-ZA" w:eastAsia="en-ZA"/>
              </w:rPr>
            </w:pPr>
          </w:p>
        </w:tc>
        <w:tc>
          <w:tcPr>
            <w:tcW w:w="865" w:type="dxa"/>
            <w:noWrap/>
            <w:hideMark/>
          </w:tcPr>
          <w:p w14:paraId="3CEB7F9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r>
      <w:tr w:rsidR="00407828" w:rsidRPr="001C0071" w14:paraId="1D535BCE" w14:textId="77777777" w:rsidTr="00FE00C8">
        <w:trPr>
          <w:trHeight w:val="300"/>
        </w:trPr>
        <w:tc>
          <w:tcPr>
            <w:tcW w:w="3119" w:type="dxa"/>
            <w:noWrap/>
            <w:hideMark/>
          </w:tcPr>
          <w:p w14:paraId="54A767F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Female</w:t>
            </w:r>
          </w:p>
        </w:tc>
        <w:tc>
          <w:tcPr>
            <w:tcW w:w="1063" w:type="dxa"/>
            <w:gridSpan w:val="2"/>
            <w:noWrap/>
            <w:hideMark/>
          </w:tcPr>
          <w:p w14:paraId="354D8B7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266 (51.1%)</w:t>
            </w:r>
          </w:p>
        </w:tc>
        <w:tc>
          <w:tcPr>
            <w:tcW w:w="2508" w:type="dxa"/>
            <w:gridSpan w:val="3"/>
            <w:noWrap/>
            <w:hideMark/>
          </w:tcPr>
          <w:p w14:paraId="7AEB0D7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14 (51.9%)</w:t>
            </w:r>
          </w:p>
        </w:tc>
        <w:tc>
          <w:tcPr>
            <w:tcW w:w="1484" w:type="dxa"/>
            <w:noWrap/>
            <w:hideMark/>
          </w:tcPr>
          <w:p w14:paraId="266FAC6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 (55.0%)</w:t>
            </w:r>
          </w:p>
        </w:tc>
        <w:tc>
          <w:tcPr>
            <w:tcW w:w="1417" w:type="dxa"/>
            <w:noWrap/>
            <w:hideMark/>
          </w:tcPr>
          <w:p w14:paraId="2534B05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(42.9%)</w:t>
            </w:r>
          </w:p>
        </w:tc>
        <w:tc>
          <w:tcPr>
            <w:tcW w:w="865" w:type="dxa"/>
            <w:noWrap/>
            <w:hideMark/>
          </w:tcPr>
          <w:p w14:paraId="715D24A2" w14:textId="77777777" w:rsidR="00407828" w:rsidRPr="00FE00C8" w:rsidRDefault="00407828" w:rsidP="001C0071">
            <w:pPr>
              <w:contextualSpacing/>
              <w:rPr>
                <w:rFonts w:eastAsia="Times New Roman" w:cs="Times New Roman"/>
                <w:color w:val="000000"/>
                <w:sz w:val="18"/>
                <w:szCs w:val="18"/>
                <w:lang w:val="en-ZA" w:eastAsia="en-ZA"/>
              </w:rPr>
            </w:pPr>
          </w:p>
        </w:tc>
      </w:tr>
      <w:tr w:rsidR="00407828" w:rsidRPr="001C0071" w14:paraId="299178F1"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21F5B88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Male</w:t>
            </w:r>
          </w:p>
        </w:tc>
        <w:tc>
          <w:tcPr>
            <w:tcW w:w="1063" w:type="dxa"/>
            <w:gridSpan w:val="2"/>
            <w:noWrap/>
            <w:hideMark/>
          </w:tcPr>
          <w:p w14:paraId="6AB563A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255 (48.9%)</w:t>
            </w:r>
          </w:p>
        </w:tc>
        <w:tc>
          <w:tcPr>
            <w:tcW w:w="2508" w:type="dxa"/>
            <w:gridSpan w:val="3"/>
            <w:noWrap/>
            <w:hideMark/>
          </w:tcPr>
          <w:p w14:paraId="4BBC7EC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 (48.1%)</w:t>
            </w:r>
          </w:p>
        </w:tc>
        <w:tc>
          <w:tcPr>
            <w:tcW w:w="1484" w:type="dxa"/>
            <w:noWrap/>
            <w:hideMark/>
          </w:tcPr>
          <w:p w14:paraId="1959010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9 (45.0%)</w:t>
            </w:r>
          </w:p>
        </w:tc>
        <w:tc>
          <w:tcPr>
            <w:tcW w:w="1417" w:type="dxa"/>
            <w:noWrap/>
            <w:hideMark/>
          </w:tcPr>
          <w:p w14:paraId="0688FD6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(57.1%)</w:t>
            </w:r>
          </w:p>
        </w:tc>
        <w:tc>
          <w:tcPr>
            <w:tcW w:w="865" w:type="dxa"/>
            <w:noWrap/>
            <w:hideMark/>
          </w:tcPr>
          <w:p w14:paraId="506E1110" w14:textId="77777777" w:rsidR="00407828" w:rsidRPr="00FE00C8" w:rsidRDefault="00407828" w:rsidP="001C0071">
            <w:pPr>
              <w:contextualSpacing/>
              <w:rPr>
                <w:rFonts w:eastAsia="Times New Roman" w:cs="Times New Roman"/>
                <w:color w:val="000000"/>
                <w:sz w:val="18"/>
                <w:szCs w:val="18"/>
                <w:lang w:val="en-ZA" w:eastAsia="en-ZA"/>
              </w:rPr>
            </w:pPr>
          </w:p>
        </w:tc>
      </w:tr>
      <w:tr w:rsidR="00407828" w:rsidRPr="001C0071" w14:paraId="4BF0677E" w14:textId="77777777" w:rsidTr="00FE00C8">
        <w:trPr>
          <w:trHeight w:val="300"/>
        </w:trPr>
        <w:tc>
          <w:tcPr>
            <w:tcW w:w="4182" w:type="dxa"/>
            <w:gridSpan w:val="3"/>
            <w:noWrap/>
            <w:hideMark/>
          </w:tcPr>
          <w:p w14:paraId="4CD97F2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lastRenderedPageBreak/>
              <w:t xml:space="preserve">Ethnicity, </w:t>
            </w:r>
            <w:proofErr w:type="gramStart"/>
            <w:r w:rsidRPr="00FE00C8">
              <w:rPr>
                <w:rFonts w:eastAsia="Arial" w:cs="Times New Roman"/>
                <w:color w:val="000000"/>
                <w:sz w:val="18"/>
                <w:szCs w:val="18"/>
                <w:lang w:eastAsia="en-ZA"/>
              </w:rPr>
              <w:t>n(</w:t>
            </w:r>
            <w:proofErr w:type="gramEnd"/>
            <w:r w:rsidRPr="00FE00C8">
              <w:rPr>
                <w:rFonts w:eastAsia="Arial" w:cs="Times New Roman"/>
                <w:color w:val="000000"/>
                <w:sz w:val="18"/>
                <w:szCs w:val="18"/>
                <w:lang w:eastAsia="en-ZA"/>
              </w:rPr>
              <w:t>%)</w:t>
            </w:r>
          </w:p>
        </w:tc>
        <w:tc>
          <w:tcPr>
            <w:tcW w:w="1756" w:type="dxa"/>
            <w:gridSpan w:val="2"/>
            <w:noWrap/>
            <w:hideMark/>
          </w:tcPr>
          <w:p w14:paraId="4EEEFD10" w14:textId="77777777" w:rsidR="00407828" w:rsidRPr="00FE00C8" w:rsidRDefault="00407828" w:rsidP="001C0071">
            <w:pPr>
              <w:contextualSpacing/>
              <w:rPr>
                <w:rFonts w:eastAsia="Times New Roman" w:cs="Times New Roman"/>
                <w:color w:val="000000"/>
                <w:sz w:val="18"/>
                <w:szCs w:val="18"/>
                <w:lang w:val="en-ZA" w:eastAsia="en-ZA"/>
              </w:rPr>
            </w:pPr>
          </w:p>
        </w:tc>
        <w:tc>
          <w:tcPr>
            <w:tcW w:w="752" w:type="dxa"/>
            <w:noWrap/>
            <w:hideMark/>
          </w:tcPr>
          <w:p w14:paraId="416F341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622F2C8D" w14:textId="77777777" w:rsidR="00407828" w:rsidRPr="00FE00C8" w:rsidRDefault="00407828" w:rsidP="001C0071">
            <w:pPr>
              <w:contextualSpacing/>
              <w:rPr>
                <w:rFonts w:eastAsia="Times New Roman" w:cs="Times New Roman"/>
                <w:color w:val="000000"/>
                <w:sz w:val="18"/>
                <w:szCs w:val="18"/>
                <w:lang w:val="en-ZA" w:eastAsia="en-ZA"/>
              </w:rPr>
            </w:pPr>
          </w:p>
        </w:tc>
        <w:tc>
          <w:tcPr>
            <w:tcW w:w="1417" w:type="dxa"/>
            <w:noWrap/>
            <w:hideMark/>
          </w:tcPr>
          <w:p w14:paraId="46CD0C44" w14:textId="77777777" w:rsidR="00407828" w:rsidRPr="00FE00C8" w:rsidRDefault="00407828" w:rsidP="001C0071">
            <w:pPr>
              <w:contextualSpacing/>
              <w:rPr>
                <w:rFonts w:eastAsia="Times New Roman" w:cs="Times New Roman"/>
                <w:sz w:val="18"/>
                <w:szCs w:val="18"/>
                <w:lang w:val="en-ZA" w:eastAsia="en-ZA"/>
              </w:rPr>
            </w:pPr>
          </w:p>
        </w:tc>
        <w:tc>
          <w:tcPr>
            <w:tcW w:w="865" w:type="dxa"/>
            <w:noWrap/>
            <w:hideMark/>
          </w:tcPr>
          <w:p w14:paraId="435C6DE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108F822F"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60BF384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Black African</w:t>
            </w:r>
          </w:p>
        </w:tc>
        <w:tc>
          <w:tcPr>
            <w:tcW w:w="1063" w:type="dxa"/>
            <w:gridSpan w:val="2"/>
            <w:noWrap/>
            <w:hideMark/>
          </w:tcPr>
          <w:p w14:paraId="22DF883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407 (78.0%)</w:t>
            </w:r>
          </w:p>
        </w:tc>
        <w:tc>
          <w:tcPr>
            <w:tcW w:w="2508" w:type="dxa"/>
            <w:gridSpan w:val="3"/>
            <w:noWrap/>
            <w:hideMark/>
          </w:tcPr>
          <w:p w14:paraId="7478655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23 (85.2%)</w:t>
            </w:r>
          </w:p>
        </w:tc>
        <w:tc>
          <w:tcPr>
            <w:tcW w:w="1484" w:type="dxa"/>
            <w:noWrap/>
            <w:hideMark/>
          </w:tcPr>
          <w:p w14:paraId="49D4948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17 (85.0%)</w:t>
            </w:r>
          </w:p>
        </w:tc>
        <w:tc>
          <w:tcPr>
            <w:tcW w:w="1417" w:type="dxa"/>
            <w:noWrap/>
            <w:hideMark/>
          </w:tcPr>
          <w:p w14:paraId="7B528AF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6 (85.7%)</w:t>
            </w:r>
          </w:p>
        </w:tc>
        <w:tc>
          <w:tcPr>
            <w:tcW w:w="865" w:type="dxa"/>
            <w:noWrap/>
            <w:hideMark/>
          </w:tcPr>
          <w:p w14:paraId="28A9AE46" w14:textId="77777777" w:rsidR="00407828" w:rsidRPr="00FE00C8" w:rsidRDefault="00407828" w:rsidP="001C0071">
            <w:pPr>
              <w:contextualSpacing/>
              <w:rPr>
                <w:rFonts w:eastAsia="Times New Roman" w:cs="Times New Roman"/>
                <w:color w:val="000000"/>
                <w:sz w:val="18"/>
                <w:szCs w:val="18"/>
                <w:lang w:val="en-ZA" w:eastAsia="en-ZA"/>
              </w:rPr>
            </w:pPr>
          </w:p>
        </w:tc>
      </w:tr>
      <w:tr w:rsidR="00407828" w:rsidRPr="001C0071" w14:paraId="533FF11E" w14:textId="77777777" w:rsidTr="00FE00C8">
        <w:trPr>
          <w:trHeight w:val="300"/>
        </w:trPr>
        <w:tc>
          <w:tcPr>
            <w:tcW w:w="3119" w:type="dxa"/>
            <w:noWrap/>
            <w:hideMark/>
          </w:tcPr>
          <w:p w14:paraId="6C81F4E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Other</w:t>
            </w:r>
          </w:p>
        </w:tc>
        <w:tc>
          <w:tcPr>
            <w:tcW w:w="1063" w:type="dxa"/>
            <w:gridSpan w:val="2"/>
            <w:noWrap/>
            <w:hideMark/>
          </w:tcPr>
          <w:p w14:paraId="509C313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115 (22.0%)</w:t>
            </w:r>
          </w:p>
        </w:tc>
        <w:tc>
          <w:tcPr>
            <w:tcW w:w="1756" w:type="dxa"/>
            <w:gridSpan w:val="2"/>
            <w:noWrap/>
            <w:hideMark/>
          </w:tcPr>
          <w:p w14:paraId="1319880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(14.8%)</w:t>
            </w:r>
          </w:p>
        </w:tc>
        <w:tc>
          <w:tcPr>
            <w:tcW w:w="752" w:type="dxa"/>
            <w:noWrap/>
            <w:hideMark/>
          </w:tcPr>
          <w:p w14:paraId="5583C44A" w14:textId="77777777" w:rsidR="00407828" w:rsidRPr="00FE00C8" w:rsidRDefault="00407828" w:rsidP="001C0071">
            <w:pPr>
              <w:contextualSpacing/>
              <w:rPr>
                <w:rFonts w:eastAsia="Times New Roman" w:cs="Times New Roman"/>
                <w:color w:val="000000"/>
                <w:sz w:val="18"/>
                <w:szCs w:val="18"/>
                <w:lang w:val="en-ZA" w:eastAsia="en-ZA"/>
              </w:rPr>
            </w:pPr>
          </w:p>
        </w:tc>
        <w:tc>
          <w:tcPr>
            <w:tcW w:w="1484" w:type="dxa"/>
            <w:noWrap/>
            <w:hideMark/>
          </w:tcPr>
          <w:p w14:paraId="3B0E259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(15.0%)</w:t>
            </w:r>
          </w:p>
        </w:tc>
        <w:tc>
          <w:tcPr>
            <w:tcW w:w="1417" w:type="dxa"/>
            <w:noWrap/>
            <w:hideMark/>
          </w:tcPr>
          <w:p w14:paraId="28C61D5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(14.3%)</w:t>
            </w:r>
          </w:p>
        </w:tc>
        <w:tc>
          <w:tcPr>
            <w:tcW w:w="865" w:type="dxa"/>
            <w:noWrap/>
            <w:hideMark/>
          </w:tcPr>
          <w:p w14:paraId="535FEDD1" w14:textId="77777777" w:rsidR="00407828" w:rsidRPr="00FE00C8" w:rsidRDefault="00407828" w:rsidP="001C0071">
            <w:pPr>
              <w:contextualSpacing/>
              <w:rPr>
                <w:rFonts w:eastAsia="Times New Roman" w:cs="Times New Roman"/>
                <w:color w:val="000000"/>
                <w:sz w:val="18"/>
                <w:szCs w:val="18"/>
                <w:lang w:val="en-ZA" w:eastAsia="en-ZA"/>
              </w:rPr>
            </w:pPr>
          </w:p>
        </w:tc>
      </w:tr>
      <w:tr w:rsidR="00FE00C8" w:rsidRPr="001C0071" w14:paraId="33AF5F97"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22D0D12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Duration of current illness, median (</w:t>
            </w:r>
            <w:proofErr w:type="spellStart"/>
            <w:r w:rsidRPr="00FE00C8">
              <w:rPr>
                <w:rFonts w:eastAsia="Arial" w:cs="Times New Roman"/>
                <w:color w:val="000000"/>
                <w:sz w:val="18"/>
                <w:szCs w:val="18"/>
                <w:lang w:eastAsia="en-ZA"/>
              </w:rPr>
              <w:t>IQR</w:t>
            </w:r>
            <w:proofErr w:type="spellEnd"/>
            <w:r w:rsidRPr="00FE00C8">
              <w:rPr>
                <w:rFonts w:eastAsia="Arial" w:cs="Times New Roman"/>
                <w:color w:val="000000"/>
                <w:sz w:val="18"/>
                <w:szCs w:val="18"/>
                <w:lang w:eastAsia="en-ZA"/>
              </w:rPr>
              <w:t>) (days)</w:t>
            </w:r>
          </w:p>
        </w:tc>
        <w:tc>
          <w:tcPr>
            <w:tcW w:w="1063" w:type="dxa"/>
            <w:gridSpan w:val="2"/>
            <w:noWrap/>
            <w:hideMark/>
          </w:tcPr>
          <w:p w14:paraId="3FF4F32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14.0 (11.8, 21.0)</w:t>
            </w:r>
          </w:p>
        </w:tc>
        <w:tc>
          <w:tcPr>
            <w:tcW w:w="1756" w:type="dxa"/>
            <w:gridSpan w:val="2"/>
            <w:noWrap/>
            <w:hideMark/>
          </w:tcPr>
          <w:p w14:paraId="3320F02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14.0 (14.0, 27.8)</w:t>
            </w:r>
          </w:p>
        </w:tc>
        <w:tc>
          <w:tcPr>
            <w:tcW w:w="752" w:type="dxa"/>
            <w:noWrap/>
            <w:hideMark/>
          </w:tcPr>
          <w:p w14:paraId="11AA62A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5097BA5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21.0 (14.0, 30.0)</w:t>
            </w:r>
          </w:p>
        </w:tc>
        <w:tc>
          <w:tcPr>
            <w:tcW w:w="1417" w:type="dxa"/>
            <w:noWrap/>
            <w:hideMark/>
          </w:tcPr>
          <w:p w14:paraId="67D4B0B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10.0 (7.0, 12.5)</w:t>
            </w:r>
          </w:p>
        </w:tc>
        <w:tc>
          <w:tcPr>
            <w:tcW w:w="865" w:type="dxa"/>
            <w:noWrap/>
            <w:hideMark/>
          </w:tcPr>
          <w:p w14:paraId="658C21C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0.019</w:t>
            </w:r>
          </w:p>
        </w:tc>
      </w:tr>
      <w:tr w:rsidR="00407828" w:rsidRPr="001C0071" w14:paraId="4424484A" w14:textId="77777777" w:rsidTr="00FE00C8">
        <w:trPr>
          <w:trHeight w:val="300"/>
        </w:trPr>
        <w:tc>
          <w:tcPr>
            <w:tcW w:w="3119" w:type="dxa"/>
            <w:noWrap/>
            <w:hideMark/>
          </w:tcPr>
          <w:p w14:paraId="2ED6673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Weight loss</w:t>
            </w:r>
          </w:p>
        </w:tc>
        <w:tc>
          <w:tcPr>
            <w:tcW w:w="1063" w:type="dxa"/>
            <w:gridSpan w:val="2"/>
            <w:noWrap/>
            <w:hideMark/>
          </w:tcPr>
          <w:p w14:paraId="724283A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430 (86.3%)</w:t>
            </w:r>
          </w:p>
        </w:tc>
        <w:tc>
          <w:tcPr>
            <w:tcW w:w="1756" w:type="dxa"/>
            <w:gridSpan w:val="2"/>
            <w:noWrap/>
            <w:hideMark/>
          </w:tcPr>
          <w:p w14:paraId="7CC1228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22 (81.5%)</w:t>
            </w:r>
          </w:p>
        </w:tc>
        <w:tc>
          <w:tcPr>
            <w:tcW w:w="752" w:type="dxa"/>
            <w:noWrap/>
            <w:hideMark/>
          </w:tcPr>
          <w:p w14:paraId="1856DAA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570E2BE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15 (75.0%)</w:t>
            </w:r>
          </w:p>
        </w:tc>
        <w:tc>
          <w:tcPr>
            <w:tcW w:w="1417" w:type="dxa"/>
            <w:noWrap/>
            <w:hideMark/>
          </w:tcPr>
          <w:p w14:paraId="55B624F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 (100.0%)</w:t>
            </w:r>
          </w:p>
        </w:tc>
        <w:tc>
          <w:tcPr>
            <w:tcW w:w="865" w:type="dxa"/>
            <w:noWrap/>
            <w:hideMark/>
          </w:tcPr>
          <w:p w14:paraId="47B4E37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r>
      <w:tr w:rsidR="00FE00C8" w:rsidRPr="001C0071" w14:paraId="796FA8CA"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53773F1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Viral load (log10 Copies/mL)</w:t>
            </w:r>
          </w:p>
        </w:tc>
        <w:tc>
          <w:tcPr>
            <w:tcW w:w="1063" w:type="dxa"/>
            <w:gridSpan w:val="2"/>
            <w:noWrap/>
            <w:hideMark/>
          </w:tcPr>
          <w:p w14:paraId="20BB1D5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10.8 (7.1, 12.3)</w:t>
            </w:r>
          </w:p>
        </w:tc>
        <w:tc>
          <w:tcPr>
            <w:tcW w:w="1756" w:type="dxa"/>
            <w:gridSpan w:val="2"/>
            <w:noWrap/>
            <w:hideMark/>
          </w:tcPr>
          <w:p w14:paraId="456126F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11.0 (10.7, 11.3)</w:t>
            </w:r>
          </w:p>
        </w:tc>
        <w:tc>
          <w:tcPr>
            <w:tcW w:w="752" w:type="dxa"/>
            <w:noWrap/>
            <w:hideMark/>
          </w:tcPr>
          <w:p w14:paraId="3B217AF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0.9</w:t>
            </w:r>
          </w:p>
        </w:tc>
        <w:tc>
          <w:tcPr>
            <w:tcW w:w="1484" w:type="dxa"/>
            <w:noWrap/>
            <w:hideMark/>
          </w:tcPr>
          <w:p w14:paraId="0E776BB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10.5 (10.5, 10.5)</w:t>
            </w:r>
          </w:p>
        </w:tc>
        <w:tc>
          <w:tcPr>
            <w:tcW w:w="1417" w:type="dxa"/>
            <w:noWrap/>
            <w:hideMark/>
          </w:tcPr>
          <w:p w14:paraId="166CFDD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11.6 (11.6, 11.6)</w:t>
            </w:r>
          </w:p>
        </w:tc>
        <w:tc>
          <w:tcPr>
            <w:tcW w:w="865" w:type="dxa"/>
            <w:noWrap/>
            <w:hideMark/>
          </w:tcPr>
          <w:p w14:paraId="6E53D6B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6DD1F10A" w14:textId="77777777" w:rsidTr="00FE00C8">
        <w:trPr>
          <w:trHeight w:val="300"/>
        </w:trPr>
        <w:tc>
          <w:tcPr>
            <w:tcW w:w="3119" w:type="dxa"/>
            <w:noWrap/>
            <w:hideMark/>
          </w:tcPr>
          <w:p w14:paraId="1989704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Tuberculosis</w:t>
            </w:r>
          </w:p>
        </w:tc>
        <w:tc>
          <w:tcPr>
            <w:tcW w:w="1063" w:type="dxa"/>
            <w:gridSpan w:val="2"/>
            <w:noWrap/>
            <w:hideMark/>
          </w:tcPr>
          <w:p w14:paraId="48A4F4E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440 (84.3%)</w:t>
            </w:r>
          </w:p>
        </w:tc>
        <w:tc>
          <w:tcPr>
            <w:tcW w:w="1756" w:type="dxa"/>
            <w:gridSpan w:val="2"/>
            <w:noWrap/>
            <w:hideMark/>
          </w:tcPr>
          <w:p w14:paraId="7B54736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21 (77.8%)</w:t>
            </w:r>
          </w:p>
        </w:tc>
        <w:tc>
          <w:tcPr>
            <w:tcW w:w="752" w:type="dxa"/>
            <w:noWrap/>
            <w:hideMark/>
          </w:tcPr>
          <w:p w14:paraId="71DCDBD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40EA864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16 (80.0%)</w:t>
            </w:r>
          </w:p>
        </w:tc>
        <w:tc>
          <w:tcPr>
            <w:tcW w:w="1417" w:type="dxa"/>
            <w:noWrap/>
            <w:hideMark/>
          </w:tcPr>
          <w:p w14:paraId="002DE3B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(71.4%)</w:t>
            </w:r>
          </w:p>
        </w:tc>
        <w:tc>
          <w:tcPr>
            <w:tcW w:w="865" w:type="dxa"/>
            <w:noWrap/>
            <w:hideMark/>
          </w:tcPr>
          <w:p w14:paraId="7B8533A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r w:rsidR="00FE00C8" w:rsidRPr="001C0071" w14:paraId="3EDC554F"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1983F19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Cryptococcus neoformans</w:t>
            </w:r>
          </w:p>
        </w:tc>
        <w:tc>
          <w:tcPr>
            <w:tcW w:w="1063" w:type="dxa"/>
            <w:gridSpan w:val="2"/>
            <w:noWrap/>
            <w:hideMark/>
          </w:tcPr>
          <w:p w14:paraId="75D740C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20 (3.8%)</w:t>
            </w:r>
          </w:p>
        </w:tc>
        <w:tc>
          <w:tcPr>
            <w:tcW w:w="1756" w:type="dxa"/>
            <w:gridSpan w:val="2"/>
            <w:noWrap/>
            <w:hideMark/>
          </w:tcPr>
          <w:p w14:paraId="5DDC40B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10 (37.0%)</w:t>
            </w:r>
          </w:p>
        </w:tc>
        <w:tc>
          <w:tcPr>
            <w:tcW w:w="752" w:type="dxa"/>
            <w:noWrap/>
            <w:hideMark/>
          </w:tcPr>
          <w:p w14:paraId="65AACDF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&lt;0.001</w:t>
            </w:r>
          </w:p>
        </w:tc>
        <w:tc>
          <w:tcPr>
            <w:tcW w:w="1484" w:type="dxa"/>
            <w:noWrap/>
            <w:hideMark/>
          </w:tcPr>
          <w:p w14:paraId="64AD879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 (35.0%)</w:t>
            </w:r>
          </w:p>
        </w:tc>
        <w:tc>
          <w:tcPr>
            <w:tcW w:w="1417" w:type="dxa"/>
            <w:noWrap/>
            <w:hideMark/>
          </w:tcPr>
          <w:p w14:paraId="7038023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(42.9%)</w:t>
            </w:r>
          </w:p>
        </w:tc>
        <w:tc>
          <w:tcPr>
            <w:tcW w:w="865" w:type="dxa"/>
            <w:noWrap/>
            <w:hideMark/>
          </w:tcPr>
          <w:p w14:paraId="2FBA386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1F879C8F" w14:textId="77777777" w:rsidTr="00FE00C8">
        <w:trPr>
          <w:trHeight w:val="300"/>
        </w:trPr>
        <w:tc>
          <w:tcPr>
            <w:tcW w:w="3119" w:type="dxa"/>
            <w:noWrap/>
            <w:hideMark/>
          </w:tcPr>
          <w:p w14:paraId="5ADC991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Pneumonia</w:t>
            </w:r>
          </w:p>
        </w:tc>
        <w:tc>
          <w:tcPr>
            <w:tcW w:w="1063" w:type="dxa"/>
            <w:gridSpan w:val="2"/>
            <w:noWrap/>
            <w:hideMark/>
          </w:tcPr>
          <w:p w14:paraId="5BE94A4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59 (11.3%)</w:t>
            </w:r>
          </w:p>
        </w:tc>
        <w:tc>
          <w:tcPr>
            <w:tcW w:w="1756" w:type="dxa"/>
            <w:gridSpan w:val="2"/>
            <w:noWrap/>
            <w:hideMark/>
          </w:tcPr>
          <w:p w14:paraId="1FD3D14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(11.1%)</w:t>
            </w:r>
          </w:p>
        </w:tc>
        <w:tc>
          <w:tcPr>
            <w:tcW w:w="752" w:type="dxa"/>
            <w:noWrap/>
            <w:hideMark/>
          </w:tcPr>
          <w:p w14:paraId="1C11375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5B84B93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(15.0%)</w:t>
            </w:r>
          </w:p>
        </w:tc>
        <w:tc>
          <w:tcPr>
            <w:tcW w:w="1417" w:type="dxa"/>
            <w:noWrap/>
            <w:hideMark/>
          </w:tcPr>
          <w:p w14:paraId="0DC1ED5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63BBCAB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0.5</w:t>
            </w:r>
          </w:p>
        </w:tc>
      </w:tr>
      <w:tr w:rsidR="00FE00C8" w:rsidRPr="001C0071" w14:paraId="4286EEAA"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264BA96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Staph aureus</w:t>
            </w:r>
          </w:p>
        </w:tc>
        <w:tc>
          <w:tcPr>
            <w:tcW w:w="1063" w:type="dxa"/>
            <w:gridSpan w:val="2"/>
            <w:noWrap/>
            <w:hideMark/>
          </w:tcPr>
          <w:p w14:paraId="3FADB80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756" w:type="dxa"/>
            <w:gridSpan w:val="2"/>
            <w:noWrap/>
            <w:hideMark/>
          </w:tcPr>
          <w:p w14:paraId="067A549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1E0CE3F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0.049</w:t>
            </w:r>
          </w:p>
        </w:tc>
        <w:tc>
          <w:tcPr>
            <w:tcW w:w="1484" w:type="dxa"/>
            <w:noWrap/>
            <w:hideMark/>
          </w:tcPr>
          <w:p w14:paraId="6F92B89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(5.0%)</w:t>
            </w:r>
          </w:p>
        </w:tc>
        <w:tc>
          <w:tcPr>
            <w:tcW w:w="1417" w:type="dxa"/>
            <w:noWrap/>
            <w:hideMark/>
          </w:tcPr>
          <w:p w14:paraId="6AC0AA0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7C48F19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2EC918AA" w14:textId="77777777" w:rsidTr="00FE00C8">
        <w:trPr>
          <w:trHeight w:val="300"/>
        </w:trPr>
        <w:tc>
          <w:tcPr>
            <w:tcW w:w="3119" w:type="dxa"/>
            <w:noWrap/>
            <w:hideMark/>
          </w:tcPr>
          <w:p w14:paraId="211B9F65" w14:textId="77777777" w:rsidR="00407828" w:rsidRPr="00FE00C8" w:rsidRDefault="00407828" w:rsidP="001C0071">
            <w:pPr>
              <w:contextualSpacing/>
              <w:rPr>
                <w:rFonts w:eastAsia="Times New Roman" w:cs="Times New Roman"/>
                <w:color w:val="000000"/>
                <w:sz w:val="18"/>
                <w:szCs w:val="18"/>
                <w:lang w:val="en-ZA" w:eastAsia="en-ZA"/>
              </w:rPr>
            </w:pPr>
            <w:proofErr w:type="spellStart"/>
            <w:r w:rsidRPr="00FE00C8">
              <w:rPr>
                <w:rFonts w:eastAsia="Arial" w:cs="Times New Roman"/>
                <w:color w:val="000000"/>
                <w:sz w:val="18"/>
                <w:szCs w:val="18"/>
                <w:lang w:eastAsia="en-ZA"/>
              </w:rPr>
              <w:t>Kaposis</w:t>
            </w:r>
            <w:proofErr w:type="spellEnd"/>
            <w:r w:rsidRPr="00FE00C8">
              <w:rPr>
                <w:rFonts w:eastAsia="Arial" w:cs="Times New Roman"/>
                <w:color w:val="000000"/>
                <w:sz w:val="18"/>
                <w:szCs w:val="18"/>
                <w:lang w:eastAsia="en-ZA"/>
              </w:rPr>
              <w:t xml:space="preserve"> sarcoma</w:t>
            </w:r>
          </w:p>
        </w:tc>
        <w:tc>
          <w:tcPr>
            <w:tcW w:w="1063" w:type="dxa"/>
            <w:gridSpan w:val="2"/>
            <w:noWrap/>
            <w:hideMark/>
          </w:tcPr>
          <w:p w14:paraId="3BBEB07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(1.0%)</w:t>
            </w:r>
          </w:p>
        </w:tc>
        <w:tc>
          <w:tcPr>
            <w:tcW w:w="1756" w:type="dxa"/>
            <w:gridSpan w:val="2"/>
            <w:noWrap/>
            <w:hideMark/>
          </w:tcPr>
          <w:p w14:paraId="1D84D01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0B2F32A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c>
          <w:tcPr>
            <w:tcW w:w="1484" w:type="dxa"/>
            <w:noWrap/>
            <w:hideMark/>
          </w:tcPr>
          <w:p w14:paraId="2CB6408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(5.0%)</w:t>
            </w:r>
          </w:p>
        </w:tc>
        <w:tc>
          <w:tcPr>
            <w:tcW w:w="1417" w:type="dxa"/>
            <w:noWrap/>
            <w:hideMark/>
          </w:tcPr>
          <w:p w14:paraId="66D54B8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1FC09DB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62DCC550"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3A62160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Cytomegalovirus</w:t>
            </w:r>
          </w:p>
        </w:tc>
        <w:tc>
          <w:tcPr>
            <w:tcW w:w="1063" w:type="dxa"/>
            <w:gridSpan w:val="2"/>
            <w:noWrap/>
            <w:hideMark/>
          </w:tcPr>
          <w:p w14:paraId="5FF38B9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756" w:type="dxa"/>
            <w:gridSpan w:val="2"/>
            <w:noWrap/>
            <w:hideMark/>
          </w:tcPr>
          <w:p w14:paraId="1D3F0E8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171D0F6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0.049</w:t>
            </w:r>
          </w:p>
        </w:tc>
        <w:tc>
          <w:tcPr>
            <w:tcW w:w="1484" w:type="dxa"/>
            <w:noWrap/>
            <w:hideMark/>
          </w:tcPr>
          <w:p w14:paraId="50E4013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(5.0%)</w:t>
            </w:r>
          </w:p>
        </w:tc>
        <w:tc>
          <w:tcPr>
            <w:tcW w:w="1417" w:type="dxa"/>
            <w:noWrap/>
            <w:hideMark/>
          </w:tcPr>
          <w:p w14:paraId="5610447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491EA79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7EA1AC5B" w14:textId="77777777" w:rsidTr="00FE00C8">
        <w:trPr>
          <w:trHeight w:val="300"/>
        </w:trPr>
        <w:tc>
          <w:tcPr>
            <w:tcW w:w="3119" w:type="dxa"/>
            <w:noWrap/>
            <w:hideMark/>
          </w:tcPr>
          <w:p w14:paraId="6BDCB59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HSV</w:t>
            </w:r>
          </w:p>
        </w:tc>
        <w:tc>
          <w:tcPr>
            <w:tcW w:w="1063" w:type="dxa"/>
            <w:gridSpan w:val="2"/>
            <w:noWrap/>
            <w:hideMark/>
          </w:tcPr>
          <w:p w14:paraId="0D2E5FA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 (1.3%)</w:t>
            </w:r>
          </w:p>
        </w:tc>
        <w:tc>
          <w:tcPr>
            <w:tcW w:w="1756" w:type="dxa"/>
            <w:gridSpan w:val="2"/>
            <w:noWrap/>
            <w:hideMark/>
          </w:tcPr>
          <w:p w14:paraId="4717895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6CFBBC7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c>
          <w:tcPr>
            <w:tcW w:w="1484" w:type="dxa"/>
            <w:noWrap/>
            <w:hideMark/>
          </w:tcPr>
          <w:p w14:paraId="107B265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(5.0%)</w:t>
            </w:r>
          </w:p>
        </w:tc>
        <w:tc>
          <w:tcPr>
            <w:tcW w:w="1417" w:type="dxa"/>
            <w:noWrap/>
            <w:hideMark/>
          </w:tcPr>
          <w:p w14:paraId="5F7A6EC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76F7E72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1F3E4A24"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2FDAEE71" w14:textId="77777777" w:rsidR="00407828" w:rsidRPr="00FE00C8" w:rsidRDefault="00407828" w:rsidP="001C0071">
            <w:pPr>
              <w:contextualSpacing/>
              <w:rPr>
                <w:rFonts w:eastAsia="Times New Roman" w:cs="Times New Roman"/>
                <w:color w:val="000000"/>
                <w:sz w:val="18"/>
                <w:szCs w:val="18"/>
                <w:lang w:val="en-ZA" w:eastAsia="en-ZA"/>
              </w:rPr>
            </w:pPr>
            <w:proofErr w:type="spellStart"/>
            <w:r w:rsidRPr="00FE00C8">
              <w:rPr>
                <w:rFonts w:eastAsia="Arial" w:cs="Times New Roman"/>
                <w:color w:val="000000"/>
                <w:sz w:val="18"/>
                <w:szCs w:val="18"/>
                <w:lang w:eastAsia="en-ZA"/>
              </w:rPr>
              <w:t>HepB</w:t>
            </w:r>
            <w:proofErr w:type="spellEnd"/>
          </w:p>
        </w:tc>
        <w:tc>
          <w:tcPr>
            <w:tcW w:w="1063" w:type="dxa"/>
            <w:gridSpan w:val="2"/>
            <w:noWrap/>
            <w:hideMark/>
          </w:tcPr>
          <w:p w14:paraId="7CFA2C3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16 (3.1%)</w:t>
            </w:r>
          </w:p>
        </w:tc>
        <w:tc>
          <w:tcPr>
            <w:tcW w:w="1756" w:type="dxa"/>
            <w:gridSpan w:val="2"/>
            <w:noWrap/>
            <w:hideMark/>
          </w:tcPr>
          <w:p w14:paraId="247FC2B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(7.4%)</w:t>
            </w:r>
          </w:p>
        </w:tc>
        <w:tc>
          <w:tcPr>
            <w:tcW w:w="752" w:type="dxa"/>
            <w:noWrap/>
            <w:hideMark/>
          </w:tcPr>
          <w:p w14:paraId="545D433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0.2</w:t>
            </w:r>
          </w:p>
        </w:tc>
        <w:tc>
          <w:tcPr>
            <w:tcW w:w="1484" w:type="dxa"/>
            <w:noWrap/>
            <w:hideMark/>
          </w:tcPr>
          <w:p w14:paraId="18E7737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(10.0%)</w:t>
            </w:r>
          </w:p>
        </w:tc>
        <w:tc>
          <w:tcPr>
            <w:tcW w:w="1417" w:type="dxa"/>
            <w:noWrap/>
            <w:hideMark/>
          </w:tcPr>
          <w:p w14:paraId="024451D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1204DA9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7BC745AE" w14:textId="77777777" w:rsidTr="00FE00C8">
        <w:trPr>
          <w:trHeight w:val="300"/>
        </w:trPr>
        <w:tc>
          <w:tcPr>
            <w:tcW w:w="3119" w:type="dxa"/>
            <w:noWrap/>
            <w:hideMark/>
          </w:tcPr>
          <w:p w14:paraId="1006DA2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Candida</w:t>
            </w:r>
          </w:p>
        </w:tc>
        <w:tc>
          <w:tcPr>
            <w:tcW w:w="1063" w:type="dxa"/>
            <w:gridSpan w:val="2"/>
            <w:noWrap/>
            <w:hideMark/>
          </w:tcPr>
          <w:p w14:paraId="71EC669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33 (6.3%)</w:t>
            </w:r>
          </w:p>
        </w:tc>
        <w:tc>
          <w:tcPr>
            <w:tcW w:w="1756" w:type="dxa"/>
            <w:gridSpan w:val="2"/>
            <w:noWrap/>
            <w:hideMark/>
          </w:tcPr>
          <w:p w14:paraId="152930F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684903F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542930E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(5.0%)</w:t>
            </w:r>
          </w:p>
        </w:tc>
        <w:tc>
          <w:tcPr>
            <w:tcW w:w="1417" w:type="dxa"/>
            <w:noWrap/>
            <w:hideMark/>
          </w:tcPr>
          <w:p w14:paraId="4B47086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7F195CF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0E18AE91"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28C71F8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GE/c diff</w:t>
            </w:r>
          </w:p>
        </w:tc>
        <w:tc>
          <w:tcPr>
            <w:tcW w:w="1063" w:type="dxa"/>
            <w:gridSpan w:val="2"/>
            <w:noWrap/>
            <w:hideMark/>
          </w:tcPr>
          <w:p w14:paraId="7A11135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23 (4.4%)</w:t>
            </w:r>
          </w:p>
        </w:tc>
        <w:tc>
          <w:tcPr>
            <w:tcW w:w="1756" w:type="dxa"/>
            <w:gridSpan w:val="2"/>
            <w:noWrap/>
            <w:hideMark/>
          </w:tcPr>
          <w:p w14:paraId="7C1F211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752" w:type="dxa"/>
            <w:noWrap/>
            <w:hideMark/>
          </w:tcPr>
          <w:p w14:paraId="5145ED7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c>
          <w:tcPr>
            <w:tcW w:w="1484" w:type="dxa"/>
            <w:noWrap/>
            <w:hideMark/>
          </w:tcPr>
          <w:p w14:paraId="02B2B96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417" w:type="dxa"/>
            <w:noWrap/>
            <w:hideMark/>
          </w:tcPr>
          <w:p w14:paraId="1D807F5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65A1DFEF" w14:textId="77777777" w:rsidR="00407828" w:rsidRPr="00FE00C8" w:rsidRDefault="00407828" w:rsidP="001C0071">
            <w:pPr>
              <w:contextualSpacing/>
              <w:rPr>
                <w:rFonts w:eastAsia="Times New Roman" w:cs="Times New Roman"/>
                <w:color w:val="000000"/>
                <w:sz w:val="18"/>
                <w:szCs w:val="18"/>
                <w:lang w:val="en-ZA" w:eastAsia="en-ZA"/>
              </w:rPr>
            </w:pPr>
          </w:p>
        </w:tc>
      </w:tr>
      <w:tr w:rsidR="00407828" w:rsidRPr="001C0071" w14:paraId="388C31EA" w14:textId="77777777" w:rsidTr="00FE00C8">
        <w:trPr>
          <w:trHeight w:val="300"/>
        </w:trPr>
        <w:tc>
          <w:tcPr>
            <w:tcW w:w="3119" w:type="dxa"/>
            <w:noWrap/>
            <w:hideMark/>
          </w:tcPr>
          <w:p w14:paraId="63EDA2E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Parvo B19</w:t>
            </w:r>
          </w:p>
        </w:tc>
        <w:tc>
          <w:tcPr>
            <w:tcW w:w="1063" w:type="dxa"/>
            <w:gridSpan w:val="2"/>
            <w:noWrap/>
            <w:hideMark/>
          </w:tcPr>
          <w:p w14:paraId="2E8E600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756" w:type="dxa"/>
            <w:gridSpan w:val="2"/>
            <w:noWrap/>
            <w:hideMark/>
          </w:tcPr>
          <w:p w14:paraId="2707325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5A2394E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0.049</w:t>
            </w:r>
          </w:p>
        </w:tc>
        <w:tc>
          <w:tcPr>
            <w:tcW w:w="1484" w:type="dxa"/>
            <w:noWrap/>
            <w:hideMark/>
          </w:tcPr>
          <w:p w14:paraId="2214B64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417" w:type="dxa"/>
            <w:noWrap/>
            <w:hideMark/>
          </w:tcPr>
          <w:p w14:paraId="0FA11FB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(14.3%)</w:t>
            </w:r>
          </w:p>
        </w:tc>
        <w:tc>
          <w:tcPr>
            <w:tcW w:w="865" w:type="dxa"/>
            <w:noWrap/>
            <w:hideMark/>
          </w:tcPr>
          <w:p w14:paraId="3349FD6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r>
      <w:tr w:rsidR="00FE00C8" w:rsidRPr="001C0071" w14:paraId="2C80A063"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420CFEF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Total CD4 count</w:t>
            </w:r>
          </w:p>
        </w:tc>
        <w:tc>
          <w:tcPr>
            <w:tcW w:w="1063" w:type="dxa"/>
            <w:gridSpan w:val="2"/>
            <w:noWrap/>
            <w:hideMark/>
          </w:tcPr>
          <w:p w14:paraId="079D87C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34.0 (15.0, 63.0)</w:t>
            </w:r>
          </w:p>
        </w:tc>
        <w:tc>
          <w:tcPr>
            <w:tcW w:w="1756" w:type="dxa"/>
            <w:gridSpan w:val="2"/>
            <w:noWrap/>
            <w:hideMark/>
          </w:tcPr>
          <w:p w14:paraId="416F569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28.0 (13.5, 49.5)</w:t>
            </w:r>
          </w:p>
        </w:tc>
        <w:tc>
          <w:tcPr>
            <w:tcW w:w="752" w:type="dxa"/>
            <w:noWrap/>
            <w:hideMark/>
          </w:tcPr>
          <w:p w14:paraId="675951D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68A4A7E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19.0 (10.0, 48.8)</w:t>
            </w:r>
          </w:p>
        </w:tc>
        <w:tc>
          <w:tcPr>
            <w:tcW w:w="1417" w:type="dxa"/>
            <w:noWrap/>
            <w:hideMark/>
          </w:tcPr>
          <w:p w14:paraId="0FCA0EC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46.0 (25.5, 61.0)</w:t>
            </w:r>
          </w:p>
        </w:tc>
        <w:tc>
          <w:tcPr>
            <w:tcW w:w="865" w:type="dxa"/>
            <w:noWrap/>
            <w:hideMark/>
          </w:tcPr>
          <w:p w14:paraId="55A4C0A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0.2</w:t>
            </w:r>
          </w:p>
        </w:tc>
      </w:tr>
      <w:tr w:rsidR="00407828" w:rsidRPr="001C0071" w14:paraId="242BDDC5" w14:textId="77777777" w:rsidTr="00FE00C8">
        <w:trPr>
          <w:trHeight w:val="300"/>
        </w:trPr>
        <w:tc>
          <w:tcPr>
            <w:tcW w:w="3119" w:type="dxa"/>
            <w:noWrap/>
            <w:hideMark/>
          </w:tcPr>
          <w:p w14:paraId="5D95D34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 xml:space="preserve">White </w:t>
            </w:r>
            <w:proofErr w:type="gramStart"/>
            <w:r w:rsidRPr="00FE00C8">
              <w:rPr>
                <w:rFonts w:eastAsia="Arial" w:cs="Times New Roman"/>
                <w:color w:val="000000"/>
                <w:sz w:val="18"/>
                <w:szCs w:val="18"/>
                <w:lang w:eastAsia="en-ZA"/>
              </w:rPr>
              <w:t>cell</w:t>
            </w:r>
            <w:proofErr w:type="gramEnd"/>
            <w:r w:rsidRPr="00FE00C8">
              <w:rPr>
                <w:rFonts w:eastAsia="Arial" w:cs="Times New Roman"/>
                <w:color w:val="000000"/>
                <w:sz w:val="18"/>
                <w:szCs w:val="18"/>
                <w:lang w:eastAsia="en-ZA"/>
              </w:rPr>
              <w:t xml:space="preserve"> count X109</w:t>
            </w:r>
          </w:p>
        </w:tc>
        <w:tc>
          <w:tcPr>
            <w:tcW w:w="1063" w:type="dxa"/>
            <w:gridSpan w:val="2"/>
            <w:noWrap/>
            <w:hideMark/>
          </w:tcPr>
          <w:p w14:paraId="57D61D8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5.6 (3.8, 8.1)</w:t>
            </w:r>
          </w:p>
        </w:tc>
        <w:tc>
          <w:tcPr>
            <w:tcW w:w="1756" w:type="dxa"/>
            <w:gridSpan w:val="2"/>
            <w:noWrap/>
            <w:hideMark/>
          </w:tcPr>
          <w:p w14:paraId="4C38D29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5.2 (2.8, 8.9)</w:t>
            </w:r>
          </w:p>
        </w:tc>
        <w:tc>
          <w:tcPr>
            <w:tcW w:w="752" w:type="dxa"/>
            <w:noWrap/>
            <w:hideMark/>
          </w:tcPr>
          <w:p w14:paraId="3AF3A3F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0.5</w:t>
            </w:r>
          </w:p>
        </w:tc>
        <w:tc>
          <w:tcPr>
            <w:tcW w:w="1484" w:type="dxa"/>
            <w:noWrap/>
            <w:hideMark/>
          </w:tcPr>
          <w:p w14:paraId="2FE58AD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5.3 (2.8, 11.9)</w:t>
            </w:r>
          </w:p>
        </w:tc>
        <w:tc>
          <w:tcPr>
            <w:tcW w:w="1417" w:type="dxa"/>
            <w:noWrap/>
            <w:hideMark/>
          </w:tcPr>
          <w:p w14:paraId="140CA46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3.5 (3.0, 5.5)</w:t>
            </w:r>
          </w:p>
        </w:tc>
        <w:tc>
          <w:tcPr>
            <w:tcW w:w="865" w:type="dxa"/>
            <w:noWrap/>
            <w:hideMark/>
          </w:tcPr>
          <w:p w14:paraId="440C3A7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r>
      <w:tr w:rsidR="00FE00C8" w:rsidRPr="001C0071" w14:paraId="5F5504AE"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41E78FA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Lymphocyte count X109</w:t>
            </w:r>
          </w:p>
        </w:tc>
        <w:tc>
          <w:tcPr>
            <w:tcW w:w="1063" w:type="dxa"/>
            <w:gridSpan w:val="2"/>
            <w:noWrap/>
            <w:hideMark/>
          </w:tcPr>
          <w:p w14:paraId="6B7FDA2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0.8 (0.4, 2.0)</w:t>
            </w:r>
          </w:p>
        </w:tc>
        <w:tc>
          <w:tcPr>
            <w:tcW w:w="1756" w:type="dxa"/>
            <w:gridSpan w:val="2"/>
            <w:noWrap/>
            <w:hideMark/>
          </w:tcPr>
          <w:p w14:paraId="22E00E9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0.9 (0.5, 1.2)</w:t>
            </w:r>
          </w:p>
        </w:tc>
        <w:tc>
          <w:tcPr>
            <w:tcW w:w="752" w:type="dxa"/>
            <w:noWrap/>
            <w:hideMark/>
          </w:tcPr>
          <w:p w14:paraId="089D62C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c>
          <w:tcPr>
            <w:tcW w:w="1484" w:type="dxa"/>
            <w:noWrap/>
            <w:hideMark/>
          </w:tcPr>
          <w:p w14:paraId="18E3E3B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 (0.5, 1.0)</w:t>
            </w:r>
          </w:p>
        </w:tc>
        <w:tc>
          <w:tcPr>
            <w:tcW w:w="1417" w:type="dxa"/>
            <w:noWrap/>
            <w:hideMark/>
          </w:tcPr>
          <w:p w14:paraId="79A3680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 (1.3, 1.3)</w:t>
            </w:r>
          </w:p>
        </w:tc>
        <w:tc>
          <w:tcPr>
            <w:tcW w:w="865" w:type="dxa"/>
            <w:noWrap/>
            <w:hideMark/>
          </w:tcPr>
          <w:p w14:paraId="0CDB97A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r w:rsidR="00407828" w:rsidRPr="001C0071" w14:paraId="71F1FE59" w14:textId="77777777" w:rsidTr="00FE00C8">
        <w:trPr>
          <w:trHeight w:val="300"/>
        </w:trPr>
        <w:tc>
          <w:tcPr>
            <w:tcW w:w="3119" w:type="dxa"/>
            <w:noWrap/>
            <w:hideMark/>
          </w:tcPr>
          <w:p w14:paraId="5BA1777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Neutrophils</w:t>
            </w:r>
          </w:p>
        </w:tc>
        <w:tc>
          <w:tcPr>
            <w:tcW w:w="1063" w:type="dxa"/>
            <w:gridSpan w:val="2"/>
            <w:noWrap/>
            <w:hideMark/>
          </w:tcPr>
          <w:p w14:paraId="5C707AB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3.8 (1.6, 8.9)</w:t>
            </w:r>
          </w:p>
        </w:tc>
        <w:tc>
          <w:tcPr>
            <w:tcW w:w="1756" w:type="dxa"/>
            <w:gridSpan w:val="2"/>
            <w:noWrap/>
            <w:hideMark/>
          </w:tcPr>
          <w:p w14:paraId="6221066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 (0.9, 1.6)</w:t>
            </w:r>
          </w:p>
        </w:tc>
        <w:tc>
          <w:tcPr>
            <w:tcW w:w="752" w:type="dxa"/>
            <w:noWrap/>
            <w:hideMark/>
          </w:tcPr>
          <w:p w14:paraId="27FEF57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0.037</w:t>
            </w:r>
          </w:p>
        </w:tc>
        <w:tc>
          <w:tcPr>
            <w:tcW w:w="1484" w:type="dxa"/>
            <w:noWrap/>
            <w:hideMark/>
          </w:tcPr>
          <w:p w14:paraId="7B1C50A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1.5 (1.0, 1.7)</w:t>
            </w:r>
          </w:p>
        </w:tc>
        <w:tc>
          <w:tcPr>
            <w:tcW w:w="1417" w:type="dxa"/>
            <w:noWrap/>
            <w:hideMark/>
          </w:tcPr>
          <w:p w14:paraId="084E7F1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0.9 (0.9, 0.9)</w:t>
            </w:r>
          </w:p>
        </w:tc>
        <w:tc>
          <w:tcPr>
            <w:tcW w:w="865" w:type="dxa"/>
            <w:noWrap/>
            <w:hideMark/>
          </w:tcPr>
          <w:p w14:paraId="466D80C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r>
      <w:tr w:rsidR="00FE00C8" w:rsidRPr="001C0071" w14:paraId="635A4D6A"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6BB7950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Sodium mmol/L</w:t>
            </w:r>
          </w:p>
        </w:tc>
        <w:tc>
          <w:tcPr>
            <w:tcW w:w="1063" w:type="dxa"/>
            <w:gridSpan w:val="2"/>
            <w:noWrap/>
            <w:hideMark/>
          </w:tcPr>
          <w:p w14:paraId="7CDD927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133.0 (130.0, 137.0)</w:t>
            </w:r>
          </w:p>
        </w:tc>
        <w:tc>
          <w:tcPr>
            <w:tcW w:w="1756" w:type="dxa"/>
            <w:gridSpan w:val="2"/>
            <w:noWrap/>
            <w:hideMark/>
          </w:tcPr>
          <w:p w14:paraId="5B481C5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135.0 (133.0, 137.5)</w:t>
            </w:r>
          </w:p>
        </w:tc>
        <w:tc>
          <w:tcPr>
            <w:tcW w:w="752" w:type="dxa"/>
            <w:noWrap/>
            <w:hideMark/>
          </w:tcPr>
          <w:p w14:paraId="787347D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0.033</w:t>
            </w:r>
          </w:p>
        </w:tc>
        <w:tc>
          <w:tcPr>
            <w:tcW w:w="1484" w:type="dxa"/>
            <w:noWrap/>
            <w:hideMark/>
          </w:tcPr>
          <w:p w14:paraId="7997B29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135.5 (134.0, 137.3)</w:t>
            </w:r>
          </w:p>
        </w:tc>
        <w:tc>
          <w:tcPr>
            <w:tcW w:w="1417" w:type="dxa"/>
            <w:noWrap/>
            <w:hideMark/>
          </w:tcPr>
          <w:p w14:paraId="4BABEAC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133.0 (131.5, 136.5)</w:t>
            </w:r>
          </w:p>
        </w:tc>
        <w:tc>
          <w:tcPr>
            <w:tcW w:w="865" w:type="dxa"/>
            <w:noWrap/>
            <w:hideMark/>
          </w:tcPr>
          <w:p w14:paraId="1D5BBC7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0.2</w:t>
            </w:r>
          </w:p>
        </w:tc>
      </w:tr>
      <w:tr w:rsidR="00407828" w:rsidRPr="001C0071" w14:paraId="65440AA4" w14:textId="77777777" w:rsidTr="00FE00C8">
        <w:trPr>
          <w:trHeight w:val="300"/>
        </w:trPr>
        <w:tc>
          <w:tcPr>
            <w:tcW w:w="3119" w:type="dxa"/>
            <w:noWrap/>
            <w:hideMark/>
          </w:tcPr>
          <w:p w14:paraId="1A58C51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Potassium mmol/L</w:t>
            </w:r>
          </w:p>
        </w:tc>
        <w:tc>
          <w:tcPr>
            <w:tcW w:w="1063" w:type="dxa"/>
            <w:gridSpan w:val="2"/>
            <w:noWrap/>
            <w:hideMark/>
          </w:tcPr>
          <w:p w14:paraId="5A8D8DD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4.1 (3.6, 4.6)</w:t>
            </w:r>
          </w:p>
        </w:tc>
        <w:tc>
          <w:tcPr>
            <w:tcW w:w="1756" w:type="dxa"/>
            <w:gridSpan w:val="2"/>
            <w:noWrap/>
            <w:hideMark/>
          </w:tcPr>
          <w:p w14:paraId="038781C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3.9 (3.3, 4.3)</w:t>
            </w:r>
          </w:p>
        </w:tc>
        <w:tc>
          <w:tcPr>
            <w:tcW w:w="752" w:type="dxa"/>
            <w:noWrap/>
            <w:hideMark/>
          </w:tcPr>
          <w:p w14:paraId="008B18E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0.069</w:t>
            </w:r>
          </w:p>
        </w:tc>
        <w:tc>
          <w:tcPr>
            <w:tcW w:w="1484" w:type="dxa"/>
            <w:noWrap/>
            <w:hideMark/>
          </w:tcPr>
          <w:p w14:paraId="7347D6D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4.0 (3.3, 4.5)</w:t>
            </w:r>
          </w:p>
        </w:tc>
        <w:tc>
          <w:tcPr>
            <w:tcW w:w="1417" w:type="dxa"/>
            <w:noWrap/>
            <w:hideMark/>
          </w:tcPr>
          <w:p w14:paraId="260A16C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3.6 (3.3, 3.9)</w:t>
            </w:r>
          </w:p>
        </w:tc>
        <w:tc>
          <w:tcPr>
            <w:tcW w:w="865" w:type="dxa"/>
            <w:noWrap/>
            <w:hideMark/>
          </w:tcPr>
          <w:p w14:paraId="6C17B9E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r>
      <w:tr w:rsidR="00FE00C8" w:rsidRPr="001C0071" w14:paraId="144D60ED"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7E591E1A" w14:textId="77777777" w:rsidR="00407828" w:rsidRPr="00FE00C8" w:rsidRDefault="00407828" w:rsidP="001C0071">
            <w:pPr>
              <w:contextualSpacing/>
              <w:rPr>
                <w:rFonts w:eastAsia="Times New Roman" w:cs="Times New Roman"/>
                <w:color w:val="000000"/>
                <w:sz w:val="18"/>
                <w:szCs w:val="18"/>
                <w:lang w:val="en-ZA" w:eastAsia="en-ZA"/>
              </w:rPr>
            </w:pPr>
            <w:proofErr w:type="spellStart"/>
            <w:r w:rsidRPr="00FE00C8">
              <w:rPr>
                <w:rFonts w:eastAsia="Arial" w:cs="Times New Roman"/>
                <w:color w:val="000000"/>
                <w:sz w:val="18"/>
                <w:szCs w:val="18"/>
                <w:lang w:eastAsia="en-ZA"/>
              </w:rPr>
              <w:t>Haemoglobin</w:t>
            </w:r>
            <w:proofErr w:type="spellEnd"/>
            <w:r w:rsidRPr="00FE00C8">
              <w:rPr>
                <w:rFonts w:eastAsia="Arial" w:cs="Times New Roman"/>
                <w:color w:val="000000"/>
                <w:sz w:val="18"/>
                <w:szCs w:val="18"/>
                <w:lang w:eastAsia="en-ZA"/>
              </w:rPr>
              <w:t xml:space="preserve"> g/dL</w:t>
            </w:r>
          </w:p>
        </w:tc>
        <w:tc>
          <w:tcPr>
            <w:tcW w:w="1063" w:type="dxa"/>
            <w:gridSpan w:val="2"/>
            <w:noWrap/>
            <w:hideMark/>
          </w:tcPr>
          <w:p w14:paraId="3BE4B43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8.7 (7.4, 10.3)</w:t>
            </w:r>
          </w:p>
        </w:tc>
        <w:tc>
          <w:tcPr>
            <w:tcW w:w="1756" w:type="dxa"/>
            <w:gridSpan w:val="2"/>
            <w:noWrap/>
            <w:hideMark/>
          </w:tcPr>
          <w:p w14:paraId="4FE1B99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8.7 (7.6, 10.4)</w:t>
            </w:r>
          </w:p>
        </w:tc>
        <w:tc>
          <w:tcPr>
            <w:tcW w:w="752" w:type="dxa"/>
            <w:noWrap/>
            <w:hideMark/>
          </w:tcPr>
          <w:p w14:paraId="219A482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c>
          <w:tcPr>
            <w:tcW w:w="1484" w:type="dxa"/>
            <w:noWrap/>
            <w:hideMark/>
          </w:tcPr>
          <w:p w14:paraId="36CFAA2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8.7 (7.6, 10.7)</w:t>
            </w:r>
          </w:p>
        </w:tc>
        <w:tc>
          <w:tcPr>
            <w:tcW w:w="1417" w:type="dxa"/>
            <w:noWrap/>
            <w:hideMark/>
          </w:tcPr>
          <w:p w14:paraId="57BFA92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10.2 (7.9, 10.3)</w:t>
            </w:r>
          </w:p>
        </w:tc>
        <w:tc>
          <w:tcPr>
            <w:tcW w:w="865" w:type="dxa"/>
            <w:noWrap/>
            <w:hideMark/>
          </w:tcPr>
          <w:p w14:paraId="6EC846B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r>
      <w:tr w:rsidR="00407828" w:rsidRPr="001C0071" w14:paraId="2331C714" w14:textId="77777777" w:rsidTr="00FE00C8">
        <w:trPr>
          <w:trHeight w:val="300"/>
        </w:trPr>
        <w:tc>
          <w:tcPr>
            <w:tcW w:w="3119" w:type="dxa"/>
            <w:noWrap/>
            <w:hideMark/>
          </w:tcPr>
          <w:p w14:paraId="778C2F8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BP (systolic)</w:t>
            </w:r>
          </w:p>
        </w:tc>
        <w:tc>
          <w:tcPr>
            <w:tcW w:w="1063" w:type="dxa"/>
            <w:gridSpan w:val="2"/>
            <w:noWrap/>
            <w:hideMark/>
          </w:tcPr>
          <w:p w14:paraId="58090AB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111.0 (102.0, 125.0)</w:t>
            </w:r>
          </w:p>
        </w:tc>
        <w:tc>
          <w:tcPr>
            <w:tcW w:w="1756" w:type="dxa"/>
            <w:gridSpan w:val="2"/>
            <w:noWrap/>
            <w:hideMark/>
          </w:tcPr>
          <w:p w14:paraId="6DEBF37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120.0 (102.5, 128.5)</w:t>
            </w:r>
          </w:p>
        </w:tc>
        <w:tc>
          <w:tcPr>
            <w:tcW w:w="752" w:type="dxa"/>
            <w:noWrap/>
            <w:hideMark/>
          </w:tcPr>
          <w:p w14:paraId="0FE78A1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40A9BCB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118.0 (99.5, 129.3)</w:t>
            </w:r>
          </w:p>
        </w:tc>
        <w:tc>
          <w:tcPr>
            <w:tcW w:w="1417" w:type="dxa"/>
            <w:noWrap/>
            <w:hideMark/>
          </w:tcPr>
          <w:p w14:paraId="4AB9BE4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120.0 (120.0, 123.5)</w:t>
            </w:r>
          </w:p>
        </w:tc>
        <w:tc>
          <w:tcPr>
            <w:tcW w:w="865" w:type="dxa"/>
            <w:noWrap/>
            <w:hideMark/>
          </w:tcPr>
          <w:p w14:paraId="52C6798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r>
      <w:tr w:rsidR="00FE00C8" w:rsidRPr="001C0071" w14:paraId="0A113B14"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47AF0E3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BP (diastolic)</w:t>
            </w:r>
          </w:p>
        </w:tc>
        <w:tc>
          <w:tcPr>
            <w:tcW w:w="1063" w:type="dxa"/>
            <w:gridSpan w:val="2"/>
            <w:noWrap/>
            <w:hideMark/>
          </w:tcPr>
          <w:p w14:paraId="21C1973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70.0 (60.0, 79.0)</w:t>
            </w:r>
          </w:p>
        </w:tc>
        <w:tc>
          <w:tcPr>
            <w:tcW w:w="1756" w:type="dxa"/>
            <w:gridSpan w:val="2"/>
            <w:noWrap/>
            <w:hideMark/>
          </w:tcPr>
          <w:p w14:paraId="1AD40D0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71.0 (66.5, 80.0)</w:t>
            </w:r>
          </w:p>
        </w:tc>
        <w:tc>
          <w:tcPr>
            <w:tcW w:w="752" w:type="dxa"/>
            <w:noWrap/>
            <w:hideMark/>
          </w:tcPr>
          <w:p w14:paraId="54038CE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0.080</w:t>
            </w:r>
          </w:p>
        </w:tc>
        <w:tc>
          <w:tcPr>
            <w:tcW w:w="1484" w:type="dxa"/>
            <w:noWrap/>
            <w:hideMark/>
          </w:tcPr>
          <w:p w14:paraId="2741FDF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72.0 (60.0, 80.0)</w:t>
            </w:r>
          </w:p>
        </w:tc>
        <w:tc>
          <w:tcPr>
            <w:tcW w:w="1417" w:type="dxa"/>
            <w:noWrap/>
            <w:hideMark/>
          </w:tcPr>
          <w:p w14:paraId="29B9E55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70.0 (70.0, 82.0)</w:t>
            </w:r>
          </w:p>
        </w:tc>
        <w:tc>
          <w:tcPr>
            <w:tcW w:w="865" w:type="dxa"/>
            <w:noWrap/>
            <w:hideMark/>
          </w:tcPr>
          <w:p w14:paraId="5B9F51C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0.8</w:t>
            </w:r>
          </w:p>
        </w:tc>
      </w:tr>
      <w:tr w:rsidR="00407828" w:rsidRPr="001C0071" w14:paraId="2734E54D" w14:textId="77777777" w:rsidTr="00FE00C8">
        <w:trPr>
          <w:trHeight w:val="300"/>
        </w:trPr>
        <w:tc>
          <w:tcPr>
            <w:tcW w:w="3119" w:type="dxa"/>
            <w:noWrap/>
            <w:hideMark/>
          </w:tcPr>
          <w:p w14:paraId="5214247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Heart rate</w:t>
            </w:r>
          </w:p>
        </w:tc>
        <w:tc>
          <w:tcPr>
            <w:tcW w:w="1063" w:type="dxa"/>
            <w:gridSpan w:val="2"/>
            <w:noWrap/>
            <w:hideMark/>
          </w:tcPr>
          <w:p w14:paraId="69C6C30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91.0 (79.0, 108.8)</w:t>
            </w:r>
          </w:p>
        </w:tc>
        <w:tc>
          <w:tcPr>
            <w:tcW w:w="1756" w:type="dxa"/>
            <w:gridSpan w:val="2"/>
            <w:noWrap/>
            <w:hideMark/>
          </w:tcPr>
          <w:p w14:paraId="0935351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87.0 (78.5, 107.0)</w:t>
            </w:r>
          </w:p>
        </w:tc>
        <w:tc>
          <w:tcPr>
            <w:tcW w:w="752" w:type="dxa"/>
            <w:noWrap/>
            <w:hideMark/>
          </w:tcPr>
          <w:p w14:paraId="59439B9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c>
          <w:tcPr>
            <w:tcW w:w="1484" w:type="dxa"/>
            <w:noWrap/>
            <w:hideMark/>
          </w:tcPr>
          <w:p w14:paraId="11B5961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85.0 (76.8, 102.3)</w:t>
            </w:r>
          </w:p>
        </w:tc>
        <w:tc>
          <w:tcPr>
            <w:tcW w:w="1417" w:type="dxa"/>
            <w:noWrap/>
            <w:hideMark/>
          </w:tcPr>
          <w:p w14:paraId="7E4C228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97.0 (88.0, 111.0)</w:t>
            </w:r>
          </w:p>
        </w:tc>
        <w:tc>
          <w:tcPr>
            <w:tcW w:w="865" w:type="dxa"/>
            <w:noWrap/>
            <w:hideMark/>
          </w:tcPr>
          <w:p w14:paraId="49D5B95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0.10</w:t>
            </w:r>
          </w:p>
        </w:tc>
      </w:tr>
      <w:tr w:rsidR="00FE00C8" w:rsidRPr="001C0071" w14:paraId="082E7F63"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334D7D8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Hypotension</w:t>
            </w:r>
          </w:p>
        </w:tc>
        <w:tc>
          <w:tcPr>
            <w:tcW w:w="1063" w:type="dxa"/>
            <w:gridSpan w:val="2"/>
            <w:noWrap/>
            <w:hideMark/>
          </w:tcPr>
          <w:p w14:paraId="3ED4C97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46 (9.3%)</w:t>
            </w:r>
          </w:p>
        </w:tc>
        <w:tc>
          <w:tcPr>
            <w:tcW w:w="1756" w:type="dxa"/>
            <w:gridSpan w:val="2"/>
            <w:noWrap/>
            <w:hideMark/>
          </w:tcPr>
          <w:p w14:paraId="0441503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(3.7%)</w:t>
            </w:r>
          </w:p>
        </w:tc>
        <w:tc>
          <w:tcPr>
            <w:tcW w:w="752" w:type="dxa"/>
            <w:noWrap/>
            <w:hideMark/>
          </w:tcPr>
          <w:p w14:paraId="58AE349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0.5</w:t>
            </w:r>
          </w:p>
        </w:tc>
        <w:tc>
          <w:tcPr>
            <w:tcW w:w="1484" w:type="dxa"/>
            <w:noWrap/>
            <w:hideMark/>
          </w:tcPr>
          <w:p w14:paraId="2E24D8C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(5.0%)</w:t>
            </w:r>
          </w:p>
        </w:tc>
        <w:tc>
          <w:tcPr>
            <w:tcW w:w="1417" w:type="dxa"/>
            <w:noWrap/>
            <w:hideMark/>
          </w:tcPr>
          <w:p w14:paraId="569C31A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412A208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407828" w:rsidRPr="001C0071" w14:paraId="18812E39" w14:textId="77777777" w:rsidTr="00FE00C8">
        <w:trPr>
          <w:trHeight w:val="300"/>
        </w:trPr>
        <w:tc>
          <w:tcPr>
            <w:tcW w:w="3119" w:type="dxa"/>
            <w:noWrap/>
            <w:hideMark/>
          </w:tcPr>
          <w:p w14:paraId="7AD9B01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Weakness</w:t>
            </w:r>
          </w:p>
        </w:tc>
        <w:tc>
          <w:tcPr>
            <w:tcW w:w="1063" w:type="dxa"/>
            <w:gridSpan w:val="2"/>
            <w:noWrap/>
            <w:hideMark/>
          </w:tcPr>
          <w:p w14:paraId="0C46166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422 (85.1%)</w:t>
            </w:r>
          </w:p>
        </w:tc>
        <w:tc>
          <w:tcPr>
            <w:tcW w:w="1756" w:type="dxa"/>
            <w:gridSpan w:val="2"/>
            <w:noWrap/>
            <w:hideMark/>
          </w:tcPr>
          <w:p w14:paraId="77D5A35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21 (77.8%)</w:t>
            </w:r>
          </w:p>
        </w:tc>
        <w:tc>
          <w:tcPr>
            <w:tcW w:w="752" w:type="dxa"/>
            <w:noWrap/>
            <w:hideMark/>
          </w:tcPr>
          <w:p w14:paraId="59E71B9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c>
          <w:tcPr>
            <w:tcW w:w="1484" w:type="dxa"/>
            <w:noWrap/>
            <w:hideMark/>
          </w:tcPr>
          <w:p w14:paraId="121B311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17 (85.0%)</w:t>
            </w:r>
          </w:p>
        </w:tc>
        <w:tc>
          <w:tcPr>
            <w:tcW w:w="1417" w:type="dxa"/>
            <w:noWrap/>
            <w:hideMark/>
          </w:tcPr>
          <w:p w14:paraId="383673F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(57.1%)</w:t>
            </w:r>
          </w:p>
        </w:tc>
        <w:tc>
          <w:tcPr>
            <w:tcW w:w="865" w:type="dxa"/>
            <w:noWrap/>
            <w:hideMark/>
          </w:tcPr>
          <w:p w14:paraId="1C0C220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r>
      <w:tr w:rsidR="00FE00C8" w:rsidRPr="001C0071" w14:paraId="469173CD"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2ED6FA7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Tiredness</w:t>
            </w:r>
          </w:p>
        </w:tc>
        <w:tc>
          <w:tcPr>
            <w:tcW w:w="1063" w:type="dxa"/>
            <w:gridSpan w:val="2"/>
            <w:noWrap/>
            <w:hideMark/>
          </w:tcPr>
          <w:p w14:paraId="0853F5E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423 (85.1%)</w:t>
            </w:r>
          </w:p>
        </w:tc>
        <w:tc>
          <w:tcPr>
            <w:tcW w:w="1756" w:type="dxa"/>
            <w:gridSpan w:val="2"/>
            <w:noWrap/>
            <w:hideMark/>
          </w:tcPr>
          <w:p w14:paraId="180CB79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23 (85.2%)</w:t>
            </w:r>
          </w:p>
        </w:tc>
        <w:tc>
          <w:tcPr>
            <w:tcW w:w="752" w:type="dxa"/>
            <w:noWrap/>
            <w:hideMark/>
          </w:tcPr>
          <w:p w14:paraId="3AEC098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0C373D1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18 (90.0%)</w:t>
            </w:r>
          </w:p>
        </w:tc>
        <w:tc>
          <w:tcPr>
            <w:tcW w:w="1417" w:type="dxa"/>
            <w:noWrap/>
            <w:hideMark/>
          </w:tcPr>
          <w:p w14:paraId="3E2E7CA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(71.4%)</w:t>
            </w:r>
          </w:p>
        </w:tc>
        <w:tc>
          <w:tcPr>
            <w:tcW w:w="865" w:type="dxa"/>
            <w:noWrap/>
            <w:hideMark/>
          </w:tcPr>
          <w:p w14:paraId="18711DD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r>
      <w:tr w:rsidR="00407828" w:rsidRPr="001C0071" w14:paraId="51B890F9" w14:textId="77777777" w:rsidTr="00FE00C8">
        <w:trPr>
          <w:trHeight w:val="300"/>
        </w:trPr>
        <w:tc>
          <w:tcPr>
            <w:tcW w:w="3119" w:type="dxa"/>
            <w:noWrap/>
            <w:hideMark/>
          </w:tcPr>
          <w:p w14:paraId="5514650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Poor appetite</w:t>
            </w:r>
          </w:p>
        </w:tc>
        <w:tc>
          <w:tcPr>
            <w:tcW w:w="1063" w:type="dxa"/>
            <w:gridSpan w:val="2"/>
            <w:noWrap/>
            <w:hideMark/>
          </w:tcPr>
          <w:p w14:paraId="0A738F9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374 (75.9%)</w:t>
            </w:r>
          </w:p>
        </w:tc>
        <w:tc>
          <w:tcPr>
            <w:tcW w:w="1756" w:type="dxa"/>
            <w:gridSpan w:val="2"/>
            <w:noWrap/>
            <w:hideMark/>
          </w:tcPr>
          <w:p w14:paraId="0E5743A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22 (81.5%)</w:t>
            </w:r>
          </w:p>
        </w:tc>
        <w:tc>
          <w:tcPr>
            <w:tcW w:w="752" w:type="dxa"/>
            <w:noWrap/>
            <w:hideMark/>
          </w:tcPr>
          <w:p w14:paraId="44CA59C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0.5</w:t>
            </w:r>
          </w:p>
        </w:tc>
        <w:tc>
          <w:tcPr>
            <w:tcW w:w="1484" w:type="dxa"/>
            <w:noWrap/>
            <w:hideMark/>
          </w:tcPr>
          <w:p w14:paraId="21E3A69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16 (80.0%)</w:t>
            </w:r>
          </w:p>
        </w:tc>
        <w:tc>
          <w:tcPr>
            <w:tcW w:w="1417" w:type="dxa"/>
            <w:noWrap/>
            <w:hideMark/>
          </w:tcPr>
          <w:p w14:paraId="357A297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6 (85.7%)</w:t>
            </w:r>
          </w:p>
        </w:tc>
        <w:tc>
          <w:tcPr>
            <w:tcW w:w="865" w:type="dxa"/>
            <w:noWrap/>
            <w:hideMark/>
          </w:tcPr>
          <w:p w14:paraId="2A95D92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5AFC7F89"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309E783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Increased pigmentation of the skin</w:t>
            </w:r>
          </w:p>
        </w:tc>
        <w:tc>
          <w:tcPr>
            <w:tcW w:w="1063" w:type="dxa"/>
            <w:gridSpan w:val="2"/>
            <w:noWrap/>
            <w:hideMark/>
          </w:tcPr>
          <w:p w14:paraId="4A760AE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247 (50.8%)</w:t>
            </w:r>
          </w:p>
        </w:tc>
        <w:tc>
          <w:tcPr>
            <w:tcW w:w="1756" w:type="dxa"/>
            <w:gridSpan w:val="2"/>
            <w:noWrap/>
            <w:hideMark/>
          </w:tcPr>
          <w:p w14:paraId="2D8D199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9 (37.5%)</w:t>
            </w:r>
          </w:p>
        </w:tc>
        <w:tc>
          <w:tcPr>
            <w:tcW w:w="752" w:type="dxa"/>
            <w:noWrap/>
            <w:hideMark/>
          </w:tcPr>
          <w:p w14:paraId="191C396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0.2</w:t>
            </w:r>
          </w:p>
        </w:tc>
        <w:tc>
          <w:tcPr>
            <w:tcW w:w="1484" w:type="dxa"/>
            <w:noWrap/>
            <w:hideMark/>
          </w:tcPr>
          <w:p w14:paraId="6AD32C6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6 (31.6%)</w:t>
            </w:r>
          </w:p>
        </w:tc>
        <w:tc>
          <w:tcPr>
            <w:tcW w:w="1417" w:type="dxa"/>
            <w:noWrap/>
            <w:hideMark/>
          </w:tcPr>
          <w:p w14:paraId="425BABF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(60.0%)</w:t>
            </w:r>
          </w:p>
        </w:tc>
        <w:tc>
          <w:tcPr>
            <w:tcW w:w="865" w:type="dxa"/>
            <w:noWrap/>
            <w:hideMark/>
          </w:tcPr>
          <w:p w14:paraId="51E1B57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r>
      <w:tr w:rsidR="00407828" w:rsidRPr="001C0071" w14:paraId="424E3DAF" w14:textId="77777777" w:rsidTr="00FE00C8">
        <w:trPr>
          <w:trHeight w:val="300"/>
        </w:trPr>
        <w:tc>
          <w:tcPr>
            <w:tcW w:w="3119" w:type="dxa"/>
            <w:noWrap/>
            <w:hideMark/>
          </w:tcPr>
          <w:p w14:paraId="23B57FA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lastRenderedPageBreak/>
              <w:t>Nausea</w:t>
            </w:r>
          </w:p>
        </w:tc>
        <w:tc>
          <w:tcPr>
            <w:tcW w:w="1063" w:type="dxa"/>
            <w:gridSpan w:val="2"/>
            <w:noWrap/>
            <w:hideMark/>
          </w:tcPr>
          <w:p w14:paraId="04EF6EE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263 (53.0%)</w:t>
            </w:r>
          </w:p>
        </w:tc>
        <w:tc>
          <w:tcPr>
            <w:tcW w:w="1756" w:type="dxa"/>
            <w:gridSpan w:val="2"/>
            <w:noWrap/>
            <w:hideMark/>
          </w:tcPr>
          <w:p w14:paraId="707D8A9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16 (59.3%)</w:t>
            </w:r>
          </w:p>
        </w:tc>
        <w:tc>
          <w:tcPr>
            <w:tcW w:w="752" w:type="dxa"/>
            <w:noWrap/>
            <w:hideMark/>
          </w:tcPr>
          <w:p w14:paraId="1B3A054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0.5</w:t>
            </w:r>
          </w:p>
        </w:tc>
        <w:tc>
          <w:tcPr>
            <w:tcW w:w="1484" w:type="dxa"/>
            <w:noWrap/>
            <w:hideMark/>
          </w:tcPr>
          <w:p w14:paraId="1BE8CFD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 (55.0%)</w:t>
            </w:r>
          </w:p>
        </w:tc>
        <w:tc>
          <w:tcPr>
            <w:tcW w:w="1417" w:type="dxa"/>
            <w:noWrap/>
            <w:hideMark/>
          </w:tcPr>
          <w:p w14:paraId="4D7AC95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(71.4%)</w:t>
            </w:r>
          </w:p>
        </w:tc>
        <w:tc>
          <w:tcPr>
            <w:tcW w:w="865" w:type="dxa"/>
            <w:noWrap/>
            <w:hideMark/>
          </w:tcPr>
          <w:p w14:paraId="7A8B051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r>
      <w:tr w:rsidR="00FE00C8" w:rsidRPr="001C0071" w14:paraId="3456A1F3"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4EA13A9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Vomiting</w:t>
            </w:r>
          </w:p>
        </w:tc>
        <w:tc>
          <w:tcPr>
            <w:tcW w:w="1063" w:type="dxa"/>
            <w:gridSpan w:val="2"/>
            <w:noWrap/>
            <w:hideMark/>
          </w:tcPr>
          <w:p w14:paraId="1A52834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137 (27.7%)</w:t>
            </w:r>
          </w:p>
        </w:tc>
        <w:tc>
          <w:tcPr>
            <w:tcW w:w="1756" w:type="dxa"/>
            <w:gridSpan w:val="2"/>
            <w:noWrap/>
            <w:hideMark/>
          </w:tcPr>
          <w:p w14:paraId="6A8350B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 (29.6%)</w:t>
            </w:r>
          </w:p>
        </w:tc>
        <w:tc>
          <w:tcPr>
            <w:tcW w:w="752" w:type="dxa"/>
            <w:noWrap/>
            <w:hideMark/>
          </w:tcPr>
          <w:p w14:paraId="4ABCB4CE"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0.8</w:t>
            </w:r>
          </w:p>
        </w:tc>
        <w:tc>
          <w:tcPr>
            <w:tcW w:w="1484" w:type="dxa"/>
            <w:noWrap/>
            <w:hideMark/>
          </w:tcPr>
          <w:p w14:paraId="4471166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(20.0%)</w:t>
            </w:r>
          </w:p>
        </w:tc>
        <w:tc>
          <w:tcPr>
            <w:tcW w:w="1417" w:type="dxa"/>
            <w:noWrap/>
            <w:hideMark/>
          </w:tcPr>
          <w:p w14:paraId="4174756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(57.1%)</w:t>
            </w:r>
          </w:p>
        </w:tc>
        <w:tc>
          <w:tcPr>
            <w:tcW w:w="865" w:type="dxa"/>
            <w:noWrap/>
            <w:hideMark/>
          </w:tcPr>
          <w:p w14:paraId="2BC80AE4"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0.14</w:t>
            </w:r>
          </w:p>
        </w:tc>
      </w:tr>
      <w:tr w:rsidR="00407828" w:rsidRPr="001C0071" w14:paraId="342DADE3" w14:textId="77777777" w:rsidTr="00FE00C8">
        <w:trPr>
          <w:trHeight w:val="300"/>
        </w:trPr>
        <w:tc>
          <w:tcPr>
            <w:tcW w:w="3119" w:type="dxa"/>
            <w:noWrap/>
            <w:hideMark/>
          </w:tcPr>
          <w:p w14:paraId="7A8FA7F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Liking for salt</w:t>
            </w:r>
          </w:p>
        </w:tc>
        <w:tc>
          <w:tcPr>
            <w:tcW w:w="1063" w:type="dxa"/>
            <w:gridSpan w:val="2"/>
            <w:noWrap/>
            <w:hideMark/>
          </w:tcPr>
          <w:p w14:paraId="742A990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262 (53.0%)</w:t>
            </w:r>
          </w:p>
        </w:tc>
        <w:tc>
          <w:tcPr>
            <w:tcW w:w="1756" w:type="dxa"/>
            <w:gridSpan w:val="2"/>
            <w:noWrap/>
            <w:hideMark/>
          </w:tcPr>
          <w:p w14:paraId="213D585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19 (70.4%)</w:t>
            </w:r>
          </w:p>
        </w:tc>
        <w:tc>
          <w:tcPr>
            <w:tcW w:w="752" w:type="dxa"/>
            <w:noWrap/>
            <w:hideMark/>
          </w:tcPr>
          <w:p w14:paraId="4971ECD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0.078</w:t>
            </w:r>
          </w:p>
        </w:tc>
        <w:tc>
          <w:tcPr>
            <w:tcW w:w="1484" w:type="dxa"/>
            <w:noWrap/>
            <w:hideMark/>
          </w:tcPr>
          <w:p w14:paraId="329911D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14 (70.0%)</w:t>
            </w:r>
          </w:p>
        </w:tc>
        <w:tc>
          <w:tcPr>
            <w:tcW w:w="1417" w:type="dxa"/>
            <w:noWrap/>
            <w:hideMark/>
          </w:tcPr>
          <w:p w14:paraId="354EFF8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(71.4%)</w:t>
            </w:r>
          </w:p>
        </w:tc>
        <w:tc>
          <w:tcPr>
            <w:tcW w:w="865" w:type="dxa"/>
            <w:noWrap/>
            <w:hideMark/>
          </w:tcPr>
          <w:p w14:paraId="32AD0F3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66A65BE0"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5774AF6F" w14:textId="77777777" w:rsidR="00407828" w:rsidRPr="00FE00C8" w:rsidRDefault="00407828" w:rsidP="001C0071">
            <w:pPr>
              <w:contextualSpacing/>
              <w:rPr>
                <w:rFonts w:eastAsia="Times New Roman" w:cs="Times New Roman"/>
                <w:color w:val="000000"/>
                <w:sz w:val="18"/>
                <w:szCs w:val="18"/>
                <w:lang w:val="en-ZA" w:eastAsia="en-ZA"/>
              </w:rPr>
            </w:pPr>
            <w:proofErr w:type="spellStart"/>
            <w:r w:rsidRPr="00FE00C8">
              <w:rPr>
                <w:rFonts w:eastAsia="Arial" w:cs="Times New Roman"/>
                <w:color w:val="000000"/>
                <w:sz w:val="18"/>
                <w:szCs w:val="18"/>
                <w:lang w:eastAsia="en-ZA"/>
              </w:rPr>
              <w:t>Hypoglycaemia</w:t>
            </w:r>
            <w:proofErr w:type="spellEnd"/>
          </w:p>
        </w:tc>
        <w:tc>
          <w:tcPr>
            <w:tcW w:w="1063" w:type="dxa"/>
            <w:gridSpan w:val="2"/>
            <w:noWrap/>
            <w:hideMark/>
          </w:tcPr>
          <w:p w14:paraId="327B2A9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11 (2.2%)</w:t>
            </w:r>
          </w:p>
        </w:tc>
        <w:tc>
          <w:tcPr>
            <w:tcW w:w="1756" w:type="dxa"/>
            <w:gridSpan w:val="2"/>
            <w:noWrap/>
            <w:hideMark/>
          </w:tcPr>
          <w:p w14:paraId="3A1DA09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752" w:type="dxa"/>
            <w:noWrap/>
            <w:hideMark/>
          </w:tcPr>
          <w:p w14:paraId="1DA6DAD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252601A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417" w:type="dxa"/>
            <w:noWrap/>
            <w:hideMark/>
          </w:tcPr>
          <w:p w14:paraId="3E197F0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732B7EA4" w14:textId="77777777" w:rsidR="00407828" w:rsidRPr="00FE00C8" w:rsidRDefault="00407828" w:rsidP="001C0071">
            <w:pPr>
              <w:contextualSpacing/>
              <w:rPr>
                <w:rFonts w:eastAsia="Times New Roman" w:cs="Times New Roman"/>
                <w:color w:val="000000"/>
                <w:sz w:val="18"/>
                <w:szCs w:val="18"/>
                <w:lang w:val="en-ZA" w:eastAsia="en-ZA"/>
              </w:rPr>
            </w:pPr>
          </w:p>
        </w:tc>
      </w:tr>
      <w:tr w:rsidR="00407828" w:rsidRPr="001C0071" w14:paraId="2A71345C" w14:textId="77777777" w:rsidTr="00FE00C8">
        <w:trPr>
          <w:trHeight w:val="300"/>
        </w:trPr>
        <w:tc>
          <w:tcPr>
            <w:tcW w:w="3119" w:type="dxa"/>
            <w:noWrap/>
            <w:hideMark/>
          </w:tcPr>
          <w:p w14:paraId="171F9BC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Loss of consciousness</w:t>
            </w:r>
          </w:p>
        </w:tc>
        <w:tc>
          <w:tcPr>
            <w:tcW w:w="1063" w:type="dxa"/>
            <w:gridSpan w:val="2"/>
            <w:noWrap/>
            <w:hideMark/>
          </w:tcPr>
          <w:p w14:paraId="32A827B7"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 (1.4%)</w:t>
            </w:r>
          </w:p>
        </w:tc>
        <w:tc>
          <w:tcPr>
            <w:tcW w:w="1756" w:type="dxa"/>
            <w:gridSpan w:val="2"/>
            <w:noWrap/>
            <w:hideMark/>
          </w:tcPr>
          <w:p w14:paraId="78086C1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752" w:type="dxa"/>
            <w:noWrap/>
            <w:hideMark/>
          </w:tcPr>
          <w:p w14:paraId="7626F18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4F0C1BE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417" w:type="dxa"/>
            <w:noWrap/>
            <w:hideMark/>
          </w:tcPr>
          <w:p w14:paraId="1E97941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3818CCAF" w14:textId="77777777" w:rsidR="00407828" w:rsidRPr="00FE00C8" w:rsidRDefault="00407828" w:rsidP="001C0071">
            <w:pPr>
              <w:contextualSpacing/>
              <w:rPr>
                <w:rFonts w:eastAsia="Times New Roman" w:cs="Times New Roman"/>
                <w:color w:val="000000"/>
                <w:sz w:val="18"/>
                <w:szCs w:val="18"/>
                <w:lang w:val="en-ZA" w:eastAsia="en-ZA"/>
              </w:rPr>
            </w:pPr>
          </w:p>
        </w:tc>
      </w:tr>
      <w:tr w:rsidR="00FE00C8" w:rsidRPr="001C0071" w14:paraId="3C5494F3"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53F27EA5" w14:textId="77777777" w:rsidR="00407828" w:rsidRPr="00FE00C8" w:rsidRDefault="00407828" w:rsidP="001C0071">
            <w:pPr>
              <w:contextualSpacing/>
              <w:rPr>
                <w:rFonts w:eastAsia="Times New Roman" w:cs="Times New Roman"/>
                <w:color w:val="000000"/>
                <w:sz w:val="18"/>
                <w:szCs w:val="18"/>
                <w:lang w:val="en-ZA" w:eastAsia="en-ZA"/>
              </w:rPr>
            </w:pPr>
            <w:proofErr w:type="spellStart"/>
            <w:r w:rsidRPr="00FE00C8">
              <w:rPr>
                <w:rFonts w:eastAsia="Arial" w:cs="Times New Roman"/>
                <w:color w:val="000000"/>
                <w:sz w:val="18"/>
                <w:szCs w:val="18"/>
                <w:lang w:eastAsia="en-ZA"/>
              </w:rPr>
              <w:t>Diarrhoea</w:t>
            </w:r>
            <w:proofErr w:type="spellEnd"/>
          </w:p>
        </w:tc>
        <w:tc>
          <w:tcPr>
            <w:tcW w:w="1063" w:type="dxa"/>
            <w:gridSpan w:val="2"/>
            <w:noWrap/>
            <w:hideMark/>
          </w:tcPr>
          <w:p w14:paraId="18F155E3"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219 (44.5%)</w:t>
            </w:r>
          </w:p>
        </w:tc>
        <w:tc>
          <w:tcPr>
            <w:tcW w:w="1756" w:type="dxa"/>
            <w:gridSpan w:val="2"/>
            <w:noWrap/>
            <w:hideMark/>
          </w:tcPr>
          <w:p w14:paraId="7D78A60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 (29.6%)</w:t>
            </w:r>
          </w:p>
        </w:tc>
        <w:tc>
          <w:tcPr>
            <w:tcW w:w="752" w:type="dxa"/>
            <w:noWrap/>
            <w:hideMark/>
          </w:tcPr>
          <w:p w14:paraId="1887309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0.13</w:t>
            </w:r>
          </w:p>
        </w:tc>
        <w:tc>
          <w:tcPr>
            <w:tcW w:w="1484" w:type="dxa"/>
            <w:noWrap/>
            <w:hideMark/>
          </w:tcPr>
          <w:p w14:paraId="155FF20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7 (35.0%)</w:t>
            </w:r>
          </w:p>
        </w:tc>
        <w:tc>
          <w:tcPr>
            <w:tcW w:w="1417" w:type="dxa"/>
            <w:noWrap/>
            <w:hideMark/>
          </w:tcPr>
          <w:p w14:paraId="1CD533A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 (14.3%)</w:t>
            </w:r>
          </w:p>
        </w:tc>
        <w:tc>
          <w:tcPr>
            <w:tcW w:w="865" w:type="dxa"/>
            <w:noWrap/>
            <w:hideMark/>
          </w:tcPr>
          <w:p w14:paraId="3A2BC5E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r w:rsidR="00407828" w:rsidRPr="001C0071" w14:paraId="5EAD762B" w14:textId="77777777" w:rsidTr="00FE00C8">
        <w:trPr>
          <w:trHeight w:val="300"/>
        </w:trPr>
        <w:tc>
          <w:tcPr>
            <w:tcW w:w="3119" w:type="dxa"/>
            <w:noWrap/>
            <w:hideMark/>
          </w:tcPr>
          <w:p w14:paraId="13E2FA2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Dizziness</w:t>
            </w:r>
          </w:p>
        </w:tc>
        <w:tc>
          <w:tcPr>
            <w:tcW w:w="1063" w:type="dxa"/>
            <w:gridSpan w:val="2"/>
            <w:noWrap/>
            <w:hideMark/>
          </w:tcPr>
          <w:p w14:paraId="05A490A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236 (47.8%)</w:t>
            </w:r>
          </w:p>
        </w:tc>
        <w:tc>
          <w:tcPr>
            <w:tcW w:w="1756" w:type="dxa"/>
            <w:gridSpan w:val="2"/>
            <w:noWrap/>
            <w:hideMark/>
          </w:tcPr>
          <w:p w14:paraId="154D22C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 (50.0%)</w:t>
            </w:r>
          </w:p>
        </w:tc>
        <w:tc>
          <w:tcPr>
            <w:tcW w:w="752" w:type="dxa"/>
            <w:noWrap/>
            <w:hideMark/>
          </w:tcPr>
          <w:p w14:paraId="4B3B8E79"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0.8</w:t>
            </w:r>
          </w:p>
        </w:tc>
        <w:tc>
          <w:tcPr>
            <w:tcW w:w="1484" w:type="dxa"/>
            <w:noWrap/>
            <w:hideMark/>
          </w:tcPr>
          <w:p w14:paraId="46D5868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9 (45.0%)</w:t>
            </w:r>
          </w:p>
        </w:tc>
        <w:tc>
          <w:tcPr>
            <w:tcW w:w="1417" w:type="dxa"/>
            <w:noWrap/>
            <w:hideMark/>
          </w:tcPr>
          <w:p w14:paraId="0897E42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(66.7%)</w:t>
            </w:r>
          </w:p>
        </w:tc>
        <w:tc>
          <w:tcPr>
            <w:tcW w:w="865" w:type="dxa"/>
            <w:noWrap/>
            <w:hideMark/>
          </w:tcPr>
          <w:p w14:paraId="46199672"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r w:rsidR="00FE00C8" w:rsidRPr="001C0071" w14:paraId="7B13243E"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3F9B38E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Shock</w:t>
            </w:r>
          </w:p>
        </w:tc>
        <w:tc>
          <w:tcPr>
            <w:tcW w:w="1063" w:type="dxa"/>
            <w:gridSpan w:val="2"/>
            <w:noWrap/>
            <w:hideMark/>
          </w:tcPr>
          <w:p w14:paraId="40E28AE6"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(1.0%)</w:t>
            </w:r>
          </w:p>
        </w:tc>
        <w:tc>
          <w:tcPr>
            <w:tcW w:w="1756" w:type="dxa"/>
            <w:gridSpan w:val="2"/>
            <w:noWrap/>
            <w:hideMark/>
          </w:tcPr>
          <w:p w14:paraId="4DF76E00"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752" w:type="dxa"/>
            <w:noWrap/>
            <w:hideMark/>
          </w:tcPr>
          <w:p w14:paraId="2843C4A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c>
          <w:tcPr>
            <w:tcW w:w="1484" w:type="dxa"/>
            <w:noWrap/>
            <w:hideMark/>
          </w:tcPr>
          <w:p w14:paraId="4ADCF00C"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1417" w:type="dxa"/>
            <w:noWrap/>
            <w:hideMark/>
          </w:tcPr>
          <w:p w14:paraId="18F1D5FA"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10AA9497" w14:textId="77777777" w:rsidR="00407828" w:rsidRPr="00FE00C8" w:rsidRDefault="00407828" w:rsidP="001C0071">
            <w:pPr>
              <w:contextualSpacing/>
              <w:rPr>
                <w:rFonts w:eastAsia="Times New Roman" w:cs="Times New Roman"/>
                <w:color w:val="000000"/>
                <w:sz w:val="18"/>
                <w:szCs w:val="18"/>
                <w:lang w:val="en-ZA" w:eastAsia="en-ZA"/>
              </w:rPr>
            </w:pPr>
          </w:p>
        </w:tc>
      </w:tr>
      <w:tr w:rsidR="00407828" w:rsidRPr="001C0071" w14:paraId="525BBC30" w14:textId="77777777" w:rsidTr="00FE00C8">
        <w:trPr>
          <w:trHeight w:val="300"/>
        </w:trPr>
        <w:tc>
          <w:tcPr>
            <w:tcW w:w="3119" w:type="dxa"/>
            <w:noWrap/>
            <w:hideMark/>
          </w:tcPr>
          <w:p w14:paraId="286251F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Anorexia</w:t>
            </w:r>
          </w:p>
        </w:tc>
        <w:tc>
          <w:tcPr>
            <w:tcW w:w="1063" w:type="dxa"/>
            <w:gridSpan w:val="2"/>
            <w:noWrap/>
            <w:hideMark/>
          </w:tcPr>
          <w:p w14:paraId="5EF02D4D"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234 (47.3%)</w:t>
            </w:r>
          </w:p>
        </w:tc>
        <w:tc>
          <w:tcPr>
            <w:tcW w:w="1756" w:type="dxa"/>
            <w:gridSpan w:val="2"/>
            <w:noWrap/>
            <w:hideMark/>
          </w:tcPr>
          <w:p w14:paraId="3F06CD5F"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8 (29.6%)</w:t>
            </w:r>
          </w:p>
        </w:tc>
        <w:tc>
          <w:tcPr>
            <w:tcW w:w="752" w:type="dxa"/>
            <w:noWrap/>
            <w:hideMark/>
          </w:tcPr>
          <w:p w14:paraId="03018CA8"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0.073</w:t>
            </w:r>
          </w:p>
        </w:tc>
        <w:tc>
          <w:tcPr>
            <w:tcW w:w="1484" w:type="dxa"/>
            <w:noWrap/>
            <w:hideMark/>
          </w:tcPr>
          <w:p w14:paraId="6D7DC605"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(20.0%)</w:t>
            </w:r>
          </w:p>
        </w:tc>
        <w:tc>
          <w:tcPr>
            <w:tcW w:w="1417" w:type="dxa"/>
            <w:noWrap/>
            <w:hideMark/>
          </w:tcPr>
          <w:p w14:paraId="0D22A87B"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(57.1%)</w:t>
            </w:r>
          </w:p>
        </w:tc>
        <w:tc>
          <w:tcPr>
            <w:tcW w:w="865" w:type="dxa"/>
            <w:noWrap/>
            <w:hideMark/>
          </w:tcPr>
          <w:p w14:paraId="05A62811" w14:textId="77777777" w:rsidR="00407828" w:rsidRPr="00FE00C8" w:rsidRDefault="00407828" w:rsidP="001C0071">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0.14</w:t>
            </w:r>
          </w:p>
        </w:tc>
      </w:tr>
      <w:tr w:rsidR="00FE00C8" w:rsidRPr="001C0071" w14:paraId="075D5FED"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261" w:type="dxa"/>
            <w:gridSpan w:val="2"/>
            <w:noWrap/>
            <w:hideMark/>
          </w:tcPr>
          <w:p w14:paraId="2A14EFA5"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 xml:space="preserve">Loss of axillary and pubic </w:t>
            </w:r>
            <w:proofErr w:type="gramStart"/>
            <w:r w:rsidRPr="00FE00C8">
              <w:rPr>
                <w:rFonts w:eastAsia="Arial" w:cs="Times New Roman"/>
                <w:color w:val="000000"/>
                <w:sz w:val="18"/>
                <w:szCs w:val="18"/>
                <w:lang w:eastAsia="en-ZA"/>
              </w:rPr>
              <w:t>hair, if</w:t>
            </w:r>
            <w:proofErr w:type="gramEnd"/>
            <w:r w:rsidRPr="00FE00C8">
              <w:rPr>
                <w:rFonts w:eastAsia="Arial" w:cs="Times New Roman"/>
                <w:color w:val="000000"/>
                <w:sz w:val="18"/>
                <w:szCs w:val="18"/>
                <w:lang w:eastAsia="en-ZA"/>
              </w:rPr>
              <w:t xml:space="preserve"> female</w:t>
            </w:r>
          </w:p>
        </w:tc>
        <w:tc>
          <w:tcPr>
            <w:tcW w:w="1134" w:type="dxa"/>
            <w:gridSpan w:val="2"/>
          </w:tcPr>
          <w:p w14:paraId="27BD4785" w14:textId="7ECBE719" w:rsidR="00FE00C8" w:rsidRPr="00FE00C8" w:rsidRDefault="00FE00C8" w:rsidP="00FE00C8">
            <w:pPr>
              <w:contextualSpacing/>
              <w:rPr>
                <w:rFonts w:eastAsia="Times New Roman" w:cs="Times New Roman"/>
                <w:color w:val="000000"/>
                <w:sz w:val="18"/>
                <w:szCs w:val="18"/>
                <w:lang w:val="en-ZA" w:eastAsia="en-ZA"/>
              </w:rPr>
            </w:pPr>
            <w:r w:rsidRPr="00D939A8">
              <w:rPr>
                <w:rFonts w:eastAsia="Arial" w:cs="Times New Roman"/>
                <w:color w:val="000000"/>
                <w:sz w:val="18"/>
                <w:szCs w:val="18"/>
                <w:lang w:eastAsia="en-ZA"/>
              </w:rPr>
              <w:t>95 (18.9%)</w:t>
            </w:r>
          </w:p>
        </w:tc>
        <w:tc>
          <w:tcPr>
            <w:tcW w:w="1543" w:type="dxa"/>
          </w:tcPr>
          <w:p w14:paraId="244F5721" w14:textId="6ED6FADA" w:rsidR="00FE00C8" w:rsidRPr="00FE00C8" w:rsidRDefault="00FE00C8" w:rsidP="00FE00C8">
            <w:pPr>
              <w:contextualSpacing/>
              <w:rPr>
                <w:rFonts w:eastAsia="Times New Roman" w:cs="Times New Roman"/>
                <w:color w:val="000000"/>
                <w:sz w:val="18"/>
                <w:szCs w:val="18"/>
                <w:lang w:val="en-ZA" w:eastAsia="en-ZA"/>
              </w:rPr>
            </w:pPr>
            <w:r w:rsidRPr="0072442E">
              <w:rPr>
                <w:rFonts w:eastAsia="Arial" w:cs="Times New Roman"/>
                <w:color w:val="000000"/>
                <w:sz w:val="18"/>
                <w:szCs w:val="18"/>
                <w:lang w:eastAsia="en-ZA"/>
              </w:rPr>
              <w:t>3 (11.1%)</w:t>
            </w:r>
          </w:p>
        </w:tc>
        <w:tc>
          <w:tcPr>
            <w:tcW w:w="752" w:type="dxa"/>
            <w:tcBorders>
              <w:left w:val="nil"/>
            </w:tcBorders>
            <w:noWrap/>
            <w:hideMark/>
          </w:tcPr>
          <w:p w14:paraId="12CE50BA"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0.5</w:t>
            </w:r>
          </w:p>
        </w:tc>
        <w:tc>
          <w:tcPr>
            <w:tcW w:w="1484" w:type="dxa"/>
            <w:noWrap/>
            <w:hideMark/>
          </w:tcPr>
          <w:p w14:paraId="0FFBAAD8" w14:textId="54580E2D" w:rsidR="00FE00C8" w:rsidRPr="00FE00C8" w:rsidRDefault="00FE00C8" w:rsidP="00FE00C8">
            <w:pPr>
              <w:contextualSpacing/>
              <w:rPr>
                <w:rFonts w:eastAsia="Times New Roman" w:cs="Times New Roman"/>
                <w:color w:val="000000"/>
                <w:sz w:val="18"/>
                <w:szCs w:val="18"/>
                <w:lang w:val="en-ZA" w:eastAsia="en-ZA"/>
              </w:rPr>
            </w:pPr>
            <w:r w:rsidRPr="00031023">
              <w:rPr>
                <w:rFonts w:eastAsia="Arial" w:cs="Times New Roman"/>
                <w:color w:val="000000"/>
                <w:sz w:val="18"/>
                <w:szCs w:val="18"/>
                <w:lang w:eastAsia="en-ZA"/>
              </w:rPr>
              <w:t>2 (10.0%)</w:t>
            </w:r>
          </w:p>
        </w:tc>
        <w:tc>
          <w:tcPr>
            <w:tcW w:w="1417" w:type="dxa"/>
            <w:noWrap/>
            <w:hideMark/>
          </w:tcPr>
          <w:p w14:paraId="44D5C795" w14:textId="5124C4E4" w:rsidR="00FE00C8" w:rsidRPr="00FE00C8" w:rsidRDefault="00FE00C8" w:rsidP="00FE00C8">
            <w:pPr>
              <w:contextualSpacing/>
              <w:rPr>
                <w:rFonts w:eastAsia="Times New Roman" w:cs="Times New Roman"/>
                <w:sz w:val="18"/>
                <w:szCs w:val="18"/>
                <w:lang w:val="en-ZA" w:eastAsia="en-ZA"/>
              </w:rPr>
            </w:pPr>
            <w:r w:rsidRPr="00031023">
              <w:rPr>
                <w:rFonts w:eastAsia="Arial" w:cs="Times New Roman"/>
                <w:color w:val="000000"/>
                <w:sz w:val="18"/>
                <w:szCs w:val="18"/>
                <w:lang w:eastAsia="en-ZA"/>
              </w:rPr>
              <w:t>1 (14.3%)</w:t>
            </w:r>
          </w:p>
        </w:tc>
        <w:tc>
          <w:tcPr>
            <w:tcW w:w="865" w:type="dxa"/>
            <w:noWrap/>
            <w:hideMark/>
          </w:tcPr>
          <w:p w14:paraId="585671EC"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0.8</w:t>
            </w:r>
          </w:p>
        </w:tc>
      </w:tr>
      <w:tr w:rsidR="00FE00C8" w:rsidRPr="001C0071" w14:paraId="12C58610" w14:textId="77777777" w:rsidTr="00FE00C8">
        <w:trPr>
          <w:trHeight w:val="300"/>
        </w:trPr>
        <w:tc>
          <w:tcPr>
            <w:tcW w:w="3119" w:type="dxa"/>
            <w:noWrap/>
            <w:hideMark/>
          </w:tcPr>
          <w:p w14:paraId="7DC4632E"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Any postural drop in blood pressure</w:t>
            </w:r>
          </w:p>
        </w:tc>
        <w:tc>
          <w:tcPr>
            <w:tcW w:w="1063" w:type="dxa"/>
            <w:gridSpan w:val="2"/>
            <w:noWrap/>
            <w:hideMark/>
          </w:tcPr>
          <w:p w14:paraId="721DD757"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21 (4.3%)</w:t>
            </w:r>
          </w:p>
        </w:tc>
        <w:tc>
          <w:tcPr>
            <w:tcW w:w="1756" w:type="dxa"/>
            <w:gridSpan w:val="2"/>
            <w:noWrap/>
            <w:hideMark/>
          </w:tcPr>
          <w:p w14:paraId="7DDB19B7"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(7.4%)</w:t>
            </w:r>
          </w:p>
        </w:tc>
        <w:tc>
          <w:tcPr>
            <w:tcW w:w="752" w:type="dxa"/>
            <w:noWrap/>
            <w:hideMark/>
          </w:tcPr>
          <w:p w14:paraId="59767E16"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0.3</w:t>
            </w:r>
          </w:p>
        </w:tc>
        <w:tc>
          <w:tcPr>
            <w:tcW w:w="1484" w:type="dxa"/>
            <w:noWrap/>
            <w:hideMark/>
          </w:tcPr>
          <w:p w14:paraId="31CFEE88"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(10.0%)</w:t>
            </w:r>
          </w:p>
        </w:tc>
        <w:tc>
          <w:tcPr>
            <w:tcW w:w="1417" w:type="dxa"/>
            <w:noWrap/>
            <w:hideMark/>
          </w:tcPr>
          <w:p w14:paraId="10FE9766"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 (0.0%)</w:t>
            </w:r>
          </w:p>
        </w:tc>
        <w:tc>
          <w:tcPr>
            <w:tcW w:w="865" w:type="dxa"/>
            <w:noWrap/>
            <w:hideMark/>
          </w:tcPr>
          <w:p w14:paraId="1202DC2E"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098DD7A3"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3EB4D3E0"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 xml:space="preserve">Presence of </w:t>
            </w:r>
            <w:proofErr w:type="spellStart"/>
            <w:r w:rsidRPr="00FE00C8">
              <w:rPr>
                <w:rFonts w:eastAsia="Arial" w:cs="Times New Roman"/>
                <w:color w:val="000000"/>
                <w:sz w:val="18"/>
                <w:szCs w:val="18"/>
                <w:lang w:eastAsia="en-ZA"/>
              </w:rPr>
              <w:t>anaemia</w:t>
            </w:r>
            <w:proofErr w:type="spellEnd"/>
          </w:p>
        </w:tc>
        <w:tc>
          <w:tcPr>
            <w:tcW w:w="1063" w:type="dxa"/>
            <w:gridSpan w:val="2"/>
            <w:noWrap/>
            <w:hideMark/>
          </w:tcPr>
          <w:p w14:paraId="3A311DD4"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290 (58.8%)</w:t>
            </w:r>
          </w:p>
        </w:tc>
        <w:tc>
          <w:tcPr>
            <w:tcW w:w="1756" w:type="dxa"/>
            <w:gridSpan w:val="2"/>
            <w:noWrap/>
            <w:hideMark/>
          </w:tcPr>
          <w:p w14:paraId="0952259C"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13 (50.0%)</w:t>
            </w:r>
          </w:p>
        </w:tc>
        <w:tc>
          <w:tcPr>
            <w:tcW w:w="752" w:type="dxa"/>
            <w:noWrap/>
            <w:hideMark/>
          </w:tcPr>
          <w:p w14:paraId="2F79921D"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0.4</w:t>
            </w:r>
          </w:p>
        </w:tc>
        <w:tc>
          <w:tcPr>
            <w:tcW w:w="1484" w:type="dxa"/>
            <w:noWrap/>
            <w:hideMark/>
          </w:tcPr>
          <w:p w14:paraId="65E71E1A"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9 (47.4%)</w:t>
            </w:r>
          </w:p>
        </w:tc>
        <w:tc>
          <w:tcPr>
            <w:tcW w:w="1417" w:type="dxa"/>
            <w:noWrap/>
            <w:hideMark/>
          </w:tcPr>
          <w:p w14:paraId="6E7AB4CB"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(57.1%)</w:t>
            </w:r>
          </w:p>
        </w:tc>
        <w:tc>
          <w:tcPr>
            <w:tcW w:w="865" w:type="dxa"/>
            <w:noWrap/>
            <w:hideMark/>
          </w:tcPr>
          <w:p w14:paraId="7476B86B"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001EEBC6" w14:textId="77777777" w:rsidTr="00FE00C8">
        <w:trPr>
          <w:trHeight w:val="300"/>
        </w:trPr>
        <w:tc>
          <w:tcPr>
            <w:tcW w:w="3119" w:type="dxa"/>
            <w:noWrap/>
            <w:hideMark/>
          </w:tcPr>
          <w:p w14:paraId="219637F2"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mortality</w:t>
            </w:r>
          </w:p>
        </w:tc>
        <w:tc>
          <w:tcPr>
            <w:tcW w:w="1063" w:type="dxa"/>
            <w:gridSpan w:val="2"/>
            <w:noWrap/>
            <w:hideMark/>
          </w:tcPr>
          <w:p w14:paraId="1AED0D71"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60 (43.5%)</w:t>
            </w:r>
          </w:p>
        </w:tc>
        <w:tc>
          <w:tcPr>
            <w:tcW w:w="1756" w:type="dxa"/>
            <w:gridSpan w:val="2"/>
            <w:noWrap/>
            <w:hideMark/>
          </w:tcPr>
          <w:p w14:paraId="13296951"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6 (50.0%)</w:t>
            </w:r>
          </w:p>
        </w:tc>
        <w:tc>
          <w:tcPr>
            <w:tcW w:w="752" w:type="dxa"/>
            <w:noWrap/>
            <w:hideMark/>
          </w:tcPr>
          <w:p w14:paraId="36BA03EB"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0.7</w:t>
            </w:r>
          </w:p>
        </w:tc>
        <w:tc>
          <w:tcPr>
            <w:tcW w:w="1484" w:type="dxa"/>
            <w:noWrap/>
            <w:hideMark/>
          </w:tcPr>
          <w:p w14:paraId="193530C1"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(44.4%)</w:t>
            </w:r>
          </w:p>
        </w:tc>
        <w:tc>
          <w:tcPr>
            <w:tcW w:w="1417" w:type="dxa"/>
            <w:noWrap/>
            <w:hideMark/>
          </w:tcPr>
          <w:p w14:paraId="289C228C"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(66.7%)</w:t>
            </w:r>
          </w:p>
        </w:tc>
        <w:tc>
          <w:tcPr>
            <w:tcW w:w="865" w:type="dxa"/>
            <w:noWrap/>
            <w:hideMark/>
          </w:tcPr>
          <w:p w14:paraId="08E624D0"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&gt;0.9</w:t>
            </w:r>
          </w:p>
        </w:tc>
      </w:tr>
      <w:tr w:rsidR="00FE00C8" w:rsidRPr="001C0071" w14:paraId="67FDA1A8" w14:textId="77777777" w:rsidTr="00FE00C8">
        <w:trPr>
          <w:cnfStyle w:val="000000100000" w:firstRow="0" w:lastRow="0" w:firstColumn="0" w:lastColumn="0" w:oddVBand="0" w:evenVBand="0" w:oddHBand="1" w:evenHBand="0" w:firstRowFirstColumn="0" w:firstRowLastColumn="0" w:lastRowFirstColumn="0" w:lastRowLastColumn="0"/>
          <w:trHeight w:val="300"/>
        </w:trPr>
        <w:tc>
          <w:tcPr>
            <w:tcW w:w="3119" w:type="dxa"/>
            <w:noWrap/>
            <w:hideMark/>
          </w:tcPr>
          <w:p w14:paraId="3D47C4DA"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ART exposure</w:t>
            </w:r>
          </w:p>
        </w:tc>
        <w:tc>
          <w:tcPr>
            <w:tcW w:w="1063" w:type="dxa"/>
            <w:gridSpan w:val="2"/>
            <w:noWrap/>
            <w:hideMark/>
          </w:tcPr>
          <w:p w14:paraId="0557A256"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201 (38.5%)</w:t>
            </w:r>
          </w:p>
        </w:tc>
        <w:tc>
          <w:tcPr>
            <w:tcW w:w="1756" w:type="dxa"/>
            <w:gridSpan w:val="2"/>
            <w:noWrap/>
            <w:hideMark/>
          </w:tcPr>
          <w:p w14:paraId="0DFB7584"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6 (22.2%)</w:t>
            </w:r>
          </w:p>
        </w:tc>
        <w:tc>
          <w:tcPr>
            <w:tcW w:w="752" w:type="dxa"/>
            <w:noWrap/>
            <w:hideMark/>
          </w:tcPr>
          <w:p w14:paraId="02D80C3E"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0.089</w:t>
            </w:r>
          </w:p>
        </w:tc>
        <w:tc>
          <w:tcPr>
            <w:tcW w:w="1484" w:type="dxa"/>
            <w:noWrap/>
            <w:hideMark/>
          </w:tcPr>
          <w:p w14:paraId="355A5E59"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 (20.0%)</w:t>
            </w:r>
          </w:p>
        </w:tc>
        <w:tc>
          <w:tcPr>
            <w:tcW w:w="1417" w:type="dxa"/>
            <w:noWrap/>
            <w:hideMark/>
          </w:tcPr>
          <w:p w14:paraId="66E23C2C"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(28.6%)</w:t>
            </w:r>
          </w:p>
        </w:tc>
        <w:tc>
          <w:tcPr>
            <w:tcW w:w="865" w:type="dxa"/>
            <w:noWrap/>
            <w:hideMark/>
          </w:tcPr>
          <w:p w14:paraId="102B4B8A"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r w:rsidR="00FE00C8" w:rsidRPr="001C0071" w14:paraId="6360F7B4" w14:textId="77777777" w:rsidTr="00FE00C8">
        <w:trPr>
          <w:trHeight w:val="300"/>
        </w:trPr>
        <w:tc>
          <w:tcPr>
            <w:tcW w:w="3119" w:type="dxa"/>
            <w:noWrap/>
            <w:hideMark/>
          </w:tcPr>
          <w:p w14:paraId="082F9089"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Kidney medication</w:t>
            </w:r>
          </w:p>
        </w:tc>
        <w:tc>
          <w:tcPr>
            <w:tcW w:w="1063" w:type="dxa"/>
            <w:gridSpan w:val="2"/>
            <w:noWrap/>
            <w:hideMark/>
          </w:tcPr>
          <w:p w14:paraId="23C89DD4"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47 (9.0%)</w:t>
            </w:r>
          </w:p>
        </w:tc>
        <w:tc>
          <w:tcPr>
            <w:tcW w:w="1756" w:type="dxa"/>
            <w:gridSpan w:val="2"/>
            <w:noWrap/>
            <w:hideMark/>
          </w:tcPr>
          <w:p w14:paraId="625BA17C"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5 (18.5%)</w:t>
            </w:r>
          </w:p>
        </w:tc>
        <w:tc>
          <w:tcPr>
            <w:tcW w:w="752" w:type="dxa"/>
            <w:noWrap/>
            <w:hideMark/>
          </w:tcPr>
          <w:p w14:paraId="704EF938"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0.2</w:t>
            </w:r>
          </w:p>
        </w:tc>
        <w:tc>
          <w:tcPr>
            <w:tcW w:w="1484" w:type="dxa"/>
            <w:noWrap/>
            <w:hideMark/>
          </w:tcPr>
          <w:p w14:paraId="20BBDE1E"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3 (15.0%)</w:t>
            </w:r>
          </w:p>
        </w:tc>
        <w:tc>
          <w:tcPr>
            <w:tcW w:w="1417" w:type="dxa"/>
            <w:noWrap/>
            <w:hideMark/>
          </w:tcPr>
          <w:p w14:paraId="6244F9A4"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2 (28.6%)</w:t>
            </w:r>
          </w:p>
        </w:tc>
        <w:tc>
          <w:tcPr>
            <w:tcW w:w="865" w:type="dxa"/>
            <w:noWrap/>
            <w:hideMark/>
          </w:tcPr>
          <w:p w14:paraId="0B29F321" w14:textId="77777777" w:rsidR="00FE00C8" w:rsidRPr="00FE00C8" w:rsidRDefault="00FE00C8" w:rsidP="00FE00C8">
            <w:pPr>
              <w:contextualSpacing/>
              <w:rPr>
                <w:rFonts w:eastAsia="Times New Roman" w:cs="Times New Roman"/>
                <w:color w:val="000000"/>
                <w:sz w:val="18"/>
                <w:szCs w:val="18"/>
                <w:lang w:val="en-ZA" w:eastAsia="en-ZA"/>
              </w:rPr>
            </w:pPr>
            <w:r w:rsidRPr="00FE00C8">
              <w:rPr>
                <w:rFonts w:eastAsia="Arial" w:cs="Times New Roman"/>
                <w:color w:val="000000"/>
                <w:sz w:val="18"/>
                <w:szCs w:val="18"/>
                <w:lang w:eastAsia="en-ZA"/>
              </w:rPr>
              <w:t>0.6</w:t>
            </w:r>
          </w:p>
        </w:tc>
      </w:tr>
    </w:tbl>
    <w:p w14:paraId="72A73D82" w14:textId="1C5A7028" w:rsidR="00407828" w:rsidRPr="00FE00C8" w:rsidRDefault="006A76F1" w:rsidP="001C0071">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Median (</w:t>
      </w:r>
      <w:proofErr w:type="spellStart"/>
      <w:r w:rsidRPr="00FE00C8">
        <w:rPr>
          <w:i w:val="0"/>
          <w:iCs/>
          <w:sz w:val="16"/>
          <w:szCs w:val="16"/>
        </w:rPr>
        <w:t>IQR</w:t>
      </w:r>
      <w:proofErr w:type="spellEnd"/>
      <w:r w:rsidRPr="00FE00C8">
        <w:rPr>
          <w:i w:val="0"/>
          <w:iCs/>
          <w:sz w:val="16"/>
          <w:szCs w:val="16"/>
        </w:rPr>
        <w:t xml:space="preserve">); n (%); </w:t>
      </w:r>
      <w:r w:rsidRPr="00FE00C8">
        <w:rPr>
          <w:i w:val="0"/>
          <w:iCs/>
          <w:sz w:val="16"/>
          <w:szCs w:val="16"/>
          <w:vertAlign w:val="superscript"/>
        </w:rPr>
        <w:t>2</w:t>
      </w:r>
      <w:r w:rsidRPr="00FE00C8">
        <w:rPr>
          <w:i w:val="0"/>
          <w:iCs/>
          <w:sz w:val="16"/>
          <w:szCs w:val="16"/>
        </w:rPr>
        <w:t>Wilcoxon rank sum test; Pearson's Chi-squared test; Fisher's exact test</w:t>
      </w:r>
      <w:r w:rsidR="004241DB" w:rsidRPr="00FE00C8">
        <w:rPr>
          <w:i w:val="0"/>
          <w:iCs/>
          <w:sz w:val="16"/>
          <w:szCs w:val="16"/>
        </w:rPr>
        <w:t>.</w:t>
      </w:r>
    </w:p>
    <w:p w14:paraId="3FF7E62E" w14:textId="77777777" w:rsidR="009D039A" w:rsidRPr="00A422BD" w:rsidRDefault="009D039A" w:rsidP="00D50028">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p>
    <w:p w14:paraId="118FDFED" w14:textId="77777777" w:rsidR="00D50028" w:rsidRDefault="00D50028" w:rsidP="00147D20">
      <w:pPr>
        <w:pStyle w:val="BodyText"/>
        <w:jc w:val="both"/>
        <w:rPr>
          <w:rFonts w:asciiTheme="majorHAnsi" w:hAnsiTheme="majorHAnsi" w:cstheme="majorHAnsi"/>
          <w:sz w:val="22"/>
          <w:szCs w:val="22"/>
        </w:rPr>
      </w:pPr>
    </w:p>
    <w:p w14:paraId="3603E8F4" w14:textId="77777777" w:rsidR="00D50028" w:rsidRPr="00156866" w:rsidRDefault="00D50028" w:rsidP="00147D20">
      <w:pPr>
        <w:pStyle w:val="BodyText"/>
        <w:jc w:val="both"/>
        <w:rPr>
          <w:rFonts w:asciiTheme="majorHAnsi" w:hAnsiTheme="majorHAnsi" w:cstheme="majorHAnsi"/>
          <w:b/>
          <w:bCs/>
          <w:sz w:val="22"/>
          <w:szCs w:val="22"/>
        </w:rPr>
      </w:pPr>
    </w:p>
    <w:p w14:paraId="01AC63E6" w14:textId="781391B8" w:rsidR="00267310" w:rsidRDefault="008E0BCD" w:rsidP="00147D20">
      <w:pPr>
        <w:pStyle w:val="BodyText"/>
        <w:jc w:val="both"/>
        <w:rPr>
          <w:rFonts w:asciiTheme="majorHAnsi" w:hAnsiTheme="majorHAnsi" w:cstheme="majorHAnsi"/>
          <w:sz w:val="22"/>
          <w:szCs w:val="22"/>
        </w:rPr>
      </w:pPr>
      <w:r w:rsidRPr="002544B7">
        <w:rPr>
          <w:noProof/>
        </w:rPr>
        <w:lastRenderedPageBreak/>
        <w:drawing>
          <wp:inline distT="0" distB="0" distL="0" distR="0" wp14:anchorId="21CA3376" wp14:editId="6A718E63">
            <wp:extent cx="5943600" cy="5349240"/>
            <wp:effectExtent l="0" t="0" r="0" b="0"/>
            <wp:docPr id="952226710" name="Picture 2" descr="A graph of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26710" name="Picture 2" descr="A graph of a number of different colored square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77777777" w:rsidR="00267310" w:rsidRDefault="00267310" w:rsidP="00147D20">
      <w:pPr>
        <w:pStyle w:val="BodyText"/>
        <w:jc w:val="both"/>
        <w:rPr>
          <w:rFonts w:asciiTheme="majorHAnsi" w:hAnsiTheme="majorHAnsi" w:cstheme="majorHAnsi"/>
          <w:sz w:val="22"/>
          <w:szCs w:val="22"/>
        </w:rPr>
      </w:pPr>
    </w:p>
    <w:p w14:paraId="3B89A41E" w14:textId="5E54681A" w:rsidR="0057729A" w:rsidRPr="007741DF" w:rsidRDefault="0057729A" w:rsidP="0057729A">
      <w:pPr>
        <w:tabs>
          <w:tab w:val="left" w:pos="2994"/>
        </w:tabs>
        <w:rPr>
          <w:b/>
          <w:bCs/>
        </w:rPr>
      </w:pPr>
      <w:r w:rsidRPr="007741DF">
        <w:rPr>
          <w:b/>
          <w:bCs/>
        </w:rPr>
        <w:t>Comparison of patients with adrenal insufficiency and those without</w:t>
      </w:r>
    </w:p>
    <w:p w14:paraId="50B20E7B" w14:textId="2271A786" w:rsidR="00470882" w:rsidRDefault="00320884" w:rsidP="00777873">
      <w:pPr>
        <w:tabs>
          <w:tab w:val="left" w:pos="2994"/>
        </w:tabs>
        <w:jc w:val="both"/>
      </w:pPr>
      <w:r>
        <w:t>T</w:t>
      </w:r>
      <w:r w:rsidR="005138A0" w:rsidRPr="005138A0">
        <w:t xml:space="preserve">here were no significant differences between the </w:t>
      </w:r>
      <w:r w:rsidR="00633443">
        <w:t>adrenal insufficiency (</w:t>
      </w:r>
      <w:r w:rsidR="005138A0" w:rsidRPr="005138A0">
        <w:t>AI</w:t>
      </w:r>
      <w:r w:rsidR="00633443">
        <w:t>)</w:t>
      </w:r>
      <w:r w:rsidR="005138A0" w:rsidRPr="005138A0">
        <w:t xml:space="preserve"> and the </w:t>
      </w:r>
      <w:r w:rsidR="00995F58" w:rsidRPr="005138A0">
        <w:t>non-AI</w:t>
      </w:r>
      <w:r w:rsidR="005138A0" w:rsidRPr="005138A0">
        <w:t xml:space="preserve"> groups in respect of age</w:t>
      </w:r>
      <w:r w:rsidR="006F5626">
        <w:t>,</w:t>
      </w:r>
      <w:r w:rsidR="005138A0" w:rsidRPr="005138A0">
        <w:t xml:space="preserve"> gender</w:t>
      </w:r>
      <w:r w:rsidR="006F5626">
        <w:t>,</w:t>
      </w:r>
      <w:r w:rsidR="005138A0" w:rsidRPr="005138A0">
        <w:t xml:space="preserve"> ethnicity</w:t>
      </w:r>
      <w:r w:rsidR="006F5626">
        <w:t xml:space="preserve">, duration </w:t>
      </w:r>
      <w:r w:rsidR="005138A0" w:rsidRPr="005138A0">
        <w:t xml:space="preserve">of </w:t>
      </w:r>
      <w:r w:rsidR="006F5626">
        <w:t xml:space="preserve">presenting </w:t>
      </w:r>
      <w:r w:rsidR="005138A0" w:rsidRPr="005138A0">
        <w:t>illness and clinical symptoms</w:t>
      </w:r>
      <w:r w:rsidR="005138A0">
        <w:t>.</w:t>
      </w:r>
      <w:r w:rsidR="005138A0" w:rsidRPr="005138A0">
        <w:t xml:space="preserve"> As expected</w:t>
      </w:r>
      <w:r w:rsidR="006F5626">
        <w:t>,</w:t>
      </w:r>
      <w:r w:rsidR="005138A0" w:rsidRPr="005138A0">
        <w:t xml:space="preserve"> there were differences in the random basal and stimulated cortisol between </w:t>
      </w:r>
      <w:r w:rsidR="006F5626">
        <w:t xml:space="preserve">the </w:t>
      </w:r>
      <w:r w:rsidR="005138A0" w:rsidRPr="005138A0">
        <w:t>AI</w:t>
      </w:r>
      <w:r w:rsidR="006F5626">
        <w:t xml:space="preserve"> and non-AI groups, with the former group demonstrating lower concentrations of all serum cortisol parameters; </w:t>
      </w:r>
      <w:r w:rsidR="005138A0" w:rsidRPr="00633443">
        <w:rPr>
          <w:i/>
          <w:iCs/>
        </w:rPr>
        <w:t>p</w:t>
      </w:r>
      <w:r w:rsidR="005138A0">
        <w:t>&lt;</w:t>
      </w:r>
      <w:r w:rsidR="005138A0" w:rsidRPr="005138A0">
        <w:t>0.</w:t>
      </w:r>
      <w:r w:rsidR="005138A0">
        <w:t>0</w:t>
      </w:r>
      <w:r w:rsidR="005138A0" w:rsidRPr="005138A0">
        <w:t>01</w:t>
      </w:r>
      <w:r w:rsidR="005138A0">
        <w:t xml:space="preserve">. </w:t>
      </w:r>
      <w:r w:rsidR="003304A4">
        <w:t>Patients with AI demonstrated lower potassium concentrations albeit that unexpectedly there was no difference between potassium of patients with primary versus secondary hypoadrenalism, and lower neutrophil counts that the non-AI group</w:t>
      </w:r>
      <w:r w:rsidR="00814A45">
        <w:t>.</w:t>
      </w:r>
      <w:r w:rsidR="003304A4">
        <w:t xml:space="preserve"> </w:t>
      </w:r>
    </w:p>
    <w:p w14:paraId="2DCAEF2B" w14:textId="77777777" w:rsidR="00C40AD8" w:rsidRDefault="00C40AD8" w:rsidP="00777873">
      <w:pPr>
        <w:tabs>
          <w:tab w:val="left" w:pos="2994"/>
        </w:tabs>
        <w:jc w:val="both"/>
      </w:pPr>
    </w:p>
    <w:p w14:paraId="45856DF9" w14:textId="184B2F44" w:rsidR="00470882" w:rsidRPr="00771D66" w:rsidRDefault="00470882" w:rsidP="00470882">
      <w:pPr>
        <w:rPr>
          <w:b/>
          <w:bCs/>
        </w:rPr>
      </w:pPr>
      <w:r w:rsidRPr="00957AC1">
        <w:rPr>
          <w:rFonts w:ascii="Arial" w:hAnsi="Arial" w:cs="Arial"/>
          <w:sz w:val="20"/>
          <w:szCs w:val="20"/>
        </w:rPr>
        <w:br w:type="page"/>
      </w:r>
      <w:r w:rsidR="007741DF" w:rsidRPr="00771D66">
        <w:rPr>
          <w:b/>
          <w:bCs/>
        </w:rPr>
        <w:lastRenderedPageBreak/>
        <w:t>Mortality analysis among the AI and Non-AI patients</w:t>
      </w:r>
    </w:p>
    <w:p w14:paraId="6B202832" w14:textId="59EF8A9A" w:rsidR="00C40AD8" w:rsidRDefault="003304A4" w:rsidP="00C40AD8">
      <w:commentRangeStart w:id="15"/>
      <w:r w:rsidRPr="003304A4">
        <w:t>Mortality at three months follow up was 5% versus 11.5% for the non-AI vectors to A</w:t>
      </w:r>
      <w:commentRangeEnd w:id="15"/>
      <w:r>
        <w:rPr>
          <w:rStyle w:val="CommentReference"/>
          <w:rFonts w:ascii="Arial" w:hAnsi="Arial"/>
        </w:rPr>
        <w:commentReference w:id="15"/>
      </w:r>
      <w:r w:rsidRPr="003304A4">
        <w:t xml:space="preserve">I. At six months </w:t>
      </w:r>
      <w:r>
        <w:t xml:space="preserve">of </w:t>
      </w:r>
      <w:r w:rsidRPr="003304A4">
        <w:t>follow</w:t>
      </w:r>
      <w:r>
        <w:t>-</w:t>
      </w:r>
      <w:r w:rsidRPr="003304A4">
        <w:t xml:space="preserve">up </w:t>
      </w:r>
      <w:r>
        <w:t xml:space="preserve">patients with AI demonstrated a higher mortality of 19.2% compared with 6.8% in the non-AI group; </w:t>
      </w:r>
      <w:r w:rsidRPr="003304A4">
        <w:rPr>
          <w:i/>
          <w:iCs/>
        </w:rPr>
        <w:t>p</w:t>
      </w:r>
      <w:r w:rsidRPr="003304A4">
        <w:t xml:space="preserve">=0.045. </w:t>
      </w:r>
      <w:r>
        <w:t xml:space="preserve">At </w:t>
      </w:r>
      <w:r w:rsidRPr="003304A4">
        <w:t>12 months of follow</w:t>
      </w:r>
      <w:r>
        <w:t>-</w:t>
      </w:r>
      <w:r w:rsidRPr="003304A4">
        <w:t xml:space="preserve">up </w:t>
      </w:r>
      <w:r>
        <w:t xml:space="preserve">the mortality was 19.2% for the AI versus </w:t>
      </w:r>
      <w:r w:rsidRPr="003304A4">
        <w:t>8.5% for non</w:t>
      </w:r>
      <w:r>
        <w:t>-</w:t>
      </w:r>
      <w:r w:rsidRPr="003304A4">
        <w:t>AI</w:t>
      </w:r>
      <w:r>
        <w:t xml:space="preserve"> groups; </w:t>
      </w:r>
      <w:commentRangeStart w:id="16"/>
      <w:r w:rsidRPr="00957AC1">
        <w:rPr>
          <w:i/>
          <w:iCs/>
        </w:rPr>
        <w:t>p</w:t>
      </w:r>
      <w:commentRangeEnd w:id="16"/>
      <w:r>
        <w:rPr>
          <w:rStyle w:val="CommentReference"/>
          <w:rFonts w:ascii="Arial" w:hAnsi="Arial"/>
        </w:rPr>
        <w:commentReference w:id="16"/>
      </w:r>
      <w:r>
        <w:t xml:space="preserve">-value </w:t>
      </w:r>
      <w:r w:rsidRPr="003304A4">
        <w:t xml:space="preserve">versus the overall 19.2% for the AI group. </w:t>
      </w:r>
      <w:proofErr w:type="gramStart"/>
      <w:r w:rsidRPr="003304A4">
        <w:t>The majority of</w:t>
      </w:r>
      <w:proofErr w:type="gramEnd"/>
      <w:r w:rsidRPr="003304A4">
        <w:t xml:space="preserve"> the mortality was</w:t>
      </w:r>
      <w:r>
        <w:t xml:space="preserve"> accounted for by </w:t>
      </w:r>
      <w:commentRangeStart w:id="17"/>
      <w:r w:rsidRPr="003304A4">
        <w:t>tuberculosis</w:t>
      </w:r>
      <w:commentRangeEnd w:id="17"/>
      <w:r w:rsidR="000204B6">
        <w:rPr>
          <w:rStyle w:val="CommentReference"/>
          <w:rFonts w:ascii="Arial" w:hAnsi="Arial"/>
        </w:rPr>
        <w:commentReference w:id="17"/>
      </w:r>
      <w:r w:rsidRPr="003304A4">
        <w:t xml:space="preserve"> in both groups</w:t>
      </w:r>
      <w:r w:rsidR="000204B6">
        <w:t xml:space="preserve"> of </w:t>
      </w:r>
      <w:r w:rsidRPr="003304A4">
        <w:t>83%</w:t>
      </w:r>
      <w:r w:rsidR="000204B6">
        <w:t xml:space="preserve"> and </w:t>
      </w:r>
      <w:r w:rsidRPr="003304A4">
        <w:t>80% for the AI</w:t>
      </w:r>
      <w:r w:rsidR="000204B6">
        <w:t xml:space="preserve"> and </w:t>
      </w:r>
      <w:r w:rsidRPr="003304A4">
        <w:t>non-AI</w:t>
      </w:r>
      <w:r w:rsidR="000204B6">
        <w:t xml:space="preserve"> groups, respectively</w:t>
      </w:r>
      <w:r w:rsidRPr="003304A4">
        <w:t>.</w:t>
      </w:r>
      <w:r w:rsidR="000204B6">
        <w:t xml:space="preserve"> Cryptococcal infection appeared to contribute to a higher </w:t>
      </w:r>
      <w:r w:rsidRPr="003304A4">
        <w:t>mortality</w:t>
      </w:r>
      <w:r w:rsidR="000204B6">
        <w:t xml:space="preserve"> in the </w:t>
      </w:r>
      <w:r w:rsidRPr="003304A4">
        <w:t>AI</w:t>
      </w:r>
      <w:r w:rsidR="000204B6">
        <w:t xml:space="preserve"> compared with the non-AI groups </w:t>
      </w:r>
      <w:r w:rsidRPr="003304A4">
        <w:t xml:space="preserve">50% versus 5.2% </w:t>
      </w:r>
      <w:proofErr w:type="gramStart"/>
      <w:r w:rsidRPr="003304A4">
        <w:t>Non-AI</w:t>
      </w:r>
      <w:proofErr w:type="gramEnd"/>
      <w:r w:rsidR="000204B6">
        <w:t>, respectively;</w:t>
      </w:r>
      <w:r w:rsidRPr="003304A4">
        <w:t xml:space="preserve"> </w:t>
      </w:r>
      <w:r w:rsidRPr="003304A4">
        <w:rPr>
          <w:i/>
          <w:iCs/>
        </w:rPr>
        <w:t>p</w:t>
      </w:r>
      <w:r w:rsidRPr="003304A4">
        <w:t>=0.009.</w:t>
      </w:r>
    </w:p>
    <w:p w14:paraId="323B0D3F" w14:textId="77777777" w:rsidR="00C40AD8" w:rsidRPr="00C40AD8" w:rsidRDefault="00C40AD8" w:rsidP="00C40AD8">
      <w:pPr>
        <w:rPr>
          <w:b/>
          <w:bCs/>
          <w:sz w:val="18"/>
          <w:szCs w:val="18"/>
        </w:rPr>
      </w:pPr>
    </w:p>
    <w:p w14:paraId="4BB30265" w14:textId="274F597D" w:rsidR="00C40AD8" w:rsidRPr="000F43EF" w:rsidRDefault="00C40AD8" w:rsidP="00C40AD8">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sz w:val="18"/>
          <w:szCs w:val="18"/>
          <w:highlight w:val="yellow"/>
        </w:rPr>
      </w:pPr>
      <w:r w:rsidRPr="000F43EF">
        <w:rPr>
          <w:b/>
          <w:bCs/>
          <w:sz w:val="18"/>
          <w:szCs w:val="18"/>
          <w:highlight w:val="yellow"/>
        </w:rPr>
        <w:t>Table 3a: Comparison of Mortality among Non-AI vs AI patients</w:t>
      </w:r>
    </w:p>
    <w:tbl>
      <w:tblPr>
        <w:tblStyle w:val="PlainTable5"/>
        <w:tblW w:w="5000" w:type="pct"/>
        <w:tblLook w:val="0420" w:firstRow="1" w:lastRow="0" w:firstColumn="0" w:lastColumn="0" w:noHBand="0" w:noVBand="1"/>
      </w:tblPr>
      <w:tblGrid>
        <w:gridCol w:w="4101"/>
        <w:gridCol w:w="1865"/>
        <w:gridCol w:w="1865"/>
        <w:gridCol w:w="1529"/>
      </w:tblGrid>
      <w:tr w:rsidR="00C40AD8" w:rsidRPr="00C40AD8" w14:paraId="2CBFB6BB" w14:textId="77777777" w:rsidTr="001C0071">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0F43EF"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rPr>
                <w:sz w:val="18"/>
                <w:szCs w:val="18"/>
                <w:highlight w:val="yellow"/>
              </w:rPr>
            </w:pPr>
            <w:r w:rsidRPr="000F43EF">
              <w:rPr>
                <w:rFonts w:ascii="Arial" w:eastAsia="Arial" w:hAnsi="Arial" w:cs="Arial"/>
                <w:i w:val="0"/>
                <w:color w:val="000000"/>
                <w:sz w:val="18"/>
                <w:szCs w:val="18"/>
                <w:highlight w:val="yellow"/>
              </w:rPr>
              <w:t>Variable</w:t>
            </w:r>
          </w:p>
        </w:tc>
        <w:tc>
          <w:tcPr>
            <w:tcW w:w="996" w:type="pct"/>
          </w:tcPr>
          <w:p w14:paraId="32ABC637" w14:textId="77777777" w:rsidR="00C40AD8" w:rsidRPr="000F43EF"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highlight w:val="yellow"/>
              </w:rPr>
            </w:pPr>
            <w:r w:rsidRPr="000F43EF">
              <w:rPr>
                <w:rFonts w:ascii="Arial" w:eastAsia="Arial" w:hAnsi="Arial" w:cs="Arial"/>
                <w:b/>
                <w:i w:val="0"/>
                <w:color w:val="000000"/>
                <w:sz w:val="18"/>
                <w:szCs w:val="18"/>
                <w:highlight w:val="yellow"/>
              </w:rPr>
              <w:t>1</w:t>
            </w:r>
            <w:r w:rsidRPr="000F43EF">
              <w:rPr>
                <w:rFonts w:ascii="Arial" w:eastAsia="Arial" w:hAnsi="Arial" w:cs="Arial"/>
                <w:i w:val="0"/>
                <w:color w:val="000000"/>
                <w:sz w:val="18"/>
                <w:szCs w:val="18"/>
                <w:highlight w:val="yellow"/>
              </w:rPr>
              <w:t>, N = 60</w:t>
            </w:r>
            <w:r w:rsidRPr="000F43EF">
              <w:rPr>
                <w:rFonts w:ascii="Arial" w:eastAsia="Arial" w:hAnsi="Arial" w:cs="Arial"/>
                <w:i w:val="0"/>
                <w:color w:val="000000"/>
                <w:sz w:val="18"/>
                <w:szCs w:val="18"/>
                <w:highlight w:val="yellow"/>
                <w:vertAlign w:val="superscript"/>
              </w:rPr>
              <w:t>1</w:t>
            </w:r>
          </w:p>
        </w:tc>
        <w:tc>
          <w:tcPr>
            <w:tcW w:w="996" w:type="pct"/>
          </w:tcPr>
          <w:p w14:paraId="02E0047A" w14:textId="77777777" w:rsidR="00C40AD8" w:rsidRPr="000F43EF"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highlight w:val="yellow"/>
              </w:rPr>
            </w:pPr>
            <w:r w:rsidRPr="000F43EF">
              <w:rPr>
                <w:rFonts w:ascii="Arial" w:eastAsia="Arial" w:hAnsi="Arial" w:cs="Arial"/>
                <w:b/>
                <w:i w:val="0"/>
                <w:color w:val="000000"/>
                <w:sz w:val="18"/>
                <w:szCs w:val="18"/>
                <w:highlight w:val="yellow"/>
              </w:rPr>
              <w:t>2</w:t>
            </w:r>
            <w:r w:rsidRPr="000F43EF">
              <w:rPr>
                <w:rFonts w:ascii="Arial" w:eastAsia="Arial" w:hAnsi="Arial" w:cs="Arial"/>
                <w:i w:val="0"/>
                <w:color w:val="000000"/>
                <w:sz w:val="18"/>
                <w:szCs w:val="18"/>
                <w:highlight w:val="yellow"/>
              </w:rPr>
              <w:t>, N = 6</w:t>
            </w:r>
            <w:r w:rsidRPr="000F43EF">
              <w:rPr>
                <w:rFonts w:ascii="Arial" w:eastAsia="Arial" w:hAnsi="Arial" w:cs="Arial"/>
                <w:i w:val="0"/>
                <w:color w:val="000000"/>
                <w:sz w:val="18"/>
                <w:szCs w:val="18"/>
                <w:highlight w:val="yellow"/>
                <w:vertAlign w:val="superscript"/>
              </w:rPr>
              <w:t>1</w:t>
            </w:r>
          </w:p>
        </w:tc>
        <w:tc>
          <w:tcPr>
            <w:tcW w:w="817" w:type="pct"/>
          </w:tcPr>
          <w:p w14:paraId="67185D49"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40" w:after="40"/>
              <w:ind w:left="100" w:right="100"/>
              <w:contextualSpacing/>
              <w:jc w:val="center"/>
              <w:rPr>
                <w:sz w:val="18"/>
                <w:szCs w:val="18"/>
              </w:rPr>
            </w:pPr>
            <w:r w:rsidRPr="000F43EF">
              <w:rPr>
                <w:rFonts w:ascii="Arial" w:eastAsia="Arial" w:hAnsi="Arial" w:cs="Arial"/>
                <w:b/>
                <w:i w:val="0"/>
                <w:color w:val="000000"/>
                <w:sz w:val="18"/>
                <w:szCs w:val="18"/>
                <w:highlight w:val="yellow"/>
              </w:rPr>
              <w:t>p-value</w:t>
            </w:r>
            <w:r w:rsidRPr="000F43EF">
              <w:rPr>
                <w:rFonts w:ascii="Arial" w:eastAsia="Arial" w:hAnsi="Arial" w:cs="Arial"/>
                <w:i w:val="0"/>
                <w:color w:val="000000"/>
                <w:sz w:val="18"/>
                <w:szCs w:val="18"/>
                <w:highlight w:val="yellow"/>
                <w:vertAlign w:val="superscript"/>
              </w:rPr>
              <w:t>2</w:t>
            </w:r>
          </w:p>
        </w:tc>
      </w:tr>
      <w:tr w:rsidR="00C40AD8" w:rsidRPr="00C40AD8" w14:paraId="6EE7733E"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Age at enrolment, median (</w:t>
            </w:r>
            <w:proofErr w:type="spellStart"/>
            <w:r w:rsidRPr="00C40AD8">
              <w:rPr>
                <w:rFonts w:eastAsia="Arial" w:cs="Arial"/>
                <w:b/>
                <w:color w:val="000000"/>
                <w:sz w:val="18"/>
                <w:szCs w:val="18"/>
              </w:rPr>
              <w:t>IQR</w:t>
            </w:r>
            <w:proofErr w:type="spellEnd"/>
            <w:r w:rsidRPr="00C40AD8">
              <w:rPr>
                <w:rFonts w:eastAsia="Arial" w:cs="Arial"/>
                <w:b/>
                <w:color w:val="000000"/>
                <w:sz w:val="18"/>
                <w:szCs w:val="18"/>
              </w:rPr>
              <w:t>) (years)</w:t>
            </w:r>
          </w:p>
        </w:tc>
        <w:tc>
          <w:tcPr>
            <w:tcW w:w="996" w:type="pct"/>
          </w:tcPr>
          <w:p w14:paraId="7AF3E0CB"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(33, 44)</w:t>
            </w:r>
          </w:p>
        </w:tc>
        <w:tc>
          <w:tcPr>
            <w:tcW w:w="996" w:type="pct"/>
          </w:tcPr>
          <w:p w14:paraId="7903D888"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41 (33, 46)</w:t>
            </w:r>
          </w:p>
        </w:tc>
        <w:tc>
          <w:tcPr>
            <w:tcW w:w="817" w:type="pct"/>
          </w:tcPr>
          <w:p w14:paraId="2396E54D" w14:textId="77777777" w:rsidR="00C40AD8" w:rsidRPr="00C40AD8" w:rsidRDefault="00C40AD8"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0.6</w:t>
            </w:r>
          </w:p>
        </w:tc>
      </w:tr>
      <w:tr w:rsidR="00593F13" w:rsidRPr="00C40AD8" w14:paraId="6412C3A0" w14:textId="77777777" w:rsidTr="001C0071">
        <w:tc>
          <w:tcPr>
            <w:tcW w:w="2191" w:type="pct"/>
          </w:tcPr>
          <w:p w14:paraId="403CFB2C" w14:textId="548D5F4F"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Female g</w:t>
            </w:r>
            <w:r w:rsidRPr="00C40AD8">
              <w:rPr>
                <w:rFonts w:eastAsia="Arial" w:cs="Arial"/>
                <w:b/>
                <w:color w:val="000000"/>
                <w:sz w:val="18"/>
                <w:szCs w:val="18"/>
              </w:rPr>
              <w:t xml:space="preserve">ender, </w:t>
            </w:r>
            <w:proofErr w:type="gramStart"/>
            <w:r w:rsidRPr="00C40AD8">
              <w:rPr>
                <w:rFonts w:eastAsia="Arial" w:cs="Arial"/>
                <w:b/>
                <w:color w:val="000000"/>
                <w:sz w:val="18"/>
                <w:szCs w:val="18"/>
              </w:rPr>
              <w:t>n(</w:t>
            </w:r>
            <w:proofErr w:type="gramEnd"/>
            <w:r w:rsidRPr="00C40AD8">
              <w:rPr>
                <w:rFonts w:eastAsia="Arial" w:cs="Arial"/>
                <w:b/>
                <w:color w:val="000000"/>
                <w:sz w:val="18"/>
                <w:szCs w:val="18"/>
              </w:rPr>
              <w:t>%)</w:t>
            </w:r>
          </w:p>
        </w:tc>
        <w:tc>
          <w:tcPr>
            <w:tcW w:w="996" w:type="pct"/>
          </w:tcPr>
          <w:p w14:paraId="7E7CA551" w14:textId="1C17298B"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32 (53.3%)</w:t>
            </w:r>
          </w:p>
        </w:tc>
        <w:tc>
          <w:tcPr>
            <w:tcW w:w="996" w:type="pct"/>
          </w:tcPr>
          <w:p w14:paraId="0EDF0891" w14:textId="3FA18CBE"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1D586B2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3821334F"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35D3437" w14:textId="4E8E3D0E"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Pr>
                <w:rFonts w:eastAsia="Arial" w:cs="Arial"/>
                <w:b/>
                <w:color w:val="000000"/>
                <w:sz w:val="18"/>
                <w:szCs w:val="18"/>
              </w:rPr>
              <w:t>Black African e</w:t>
            </w:r>
            <w:r w:rsidRPr="00C40AD8">
              <w:rPr>
                <w:rFonts w:eastAsia="Arial" w:cs="Arial"/>
                <w:b/>
                <w:color w:val="000000"/>
                <w:sz w:val="18"/>
                <w:szCs w:val="18"/>
              </w:rPr>
              <w:t>thnicity, n</w:t>
            </w:r>
            <w:r>
              <w:rPr>
                <w:rFonts w:eastAsia="Arial" w:cs="Arial"/>
                <w:b/>
                <w:color w:val="000000"/>
                <w:sz w:val="18"/>
                <w:szCs w:val="18"/>
              </w:rPr>
              <w:t xml:space="preserve"> </w:t>
            </w:r>
            <w:r w:rsidRPr="00C40AD8">
              <w:rPr>
                <w:rFonts w:eastAsia="Arial" w:cs="Arial"/>
                <w:b/>
                <w:color w:val="000000"/>
                <w:sz w:val="18"/>
                <w:szCs w:val="18"/>
              </w:rPr>
              <w:t>(%)</w:t>
            </w:r>
          </w:p>
        </w:tc>
        <w:tc>
          <w:tcPr>
            <w:tcW w:w="996" w:type="pct"/>
          </w:tcPr>
          <w:p w14:paraId="29A8CB45" w14:textId="0B12020F"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52 (86.7%)</w:t>
            </w:r>
          </w:p>
        </w:tc>
        <w:tc>
          <w:tcPr>
            <w:tcW w:w="996" w:type="pct"/>
          </w:tcPr>
          <w:p w14:paraId="4B8ACCC4" w14:textId="4CE5AD39"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26DE459C"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593F13" w:rsidRPr="00C40AD8" w14:paraId="097D39EA" w14:textId="77777777" w:rsidTr="001C0071">
        <w:tc>
          <w:tcPr>
            <w:tcW w:w="2191" w:type="pct"/>
          </w:tcPr>
          <w:p w14:paraId="00D4FB5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Duration of current illness, median (</w:t>
            </w:r>
            <w:proofErr w:type="spellStart"/>
            <w:r w:rsidRPr="00C40AD8">
              <w:rPr>
                <w:rFonts w:eastAsia="Arial" w:cs="Arial"/>
                <w:b/>
                <w:color w:val="000000"/>
                <w:sz w:val="18"/>
                <w:szCs w:val="18"/>
              </w:rPr>
              <w:t>IQR</w:t>
            </w:r>
            <w:proofErr w:type="spellEnd"/>
            <w:r w:rsidRPr="00C40AD8">
              <w:rPr>
                <w:rFonts w:eastAsia="Arial" w:cs="Arial"/>
                <w:b/>
                <w:color w:val="000000"/>
                <w:sz w:val="18"/>
                <w:szCs w:val="18"/>
              </w:rPr>
              <w:t>) (days)</w:t>
            </w:r>
          </w:p>
        </w:tc>
        <w:tc>
          <w:tcPr>
            <w:tcW w:w="996" w:type="pct"/>
          </w:tcPr>
          <w:p w14:paraId="05B9E07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14 (14, 21)</w:t>
            </w:r>
          </w:p>
        </w:tc>
        <w:tc>
          <w:tcPr>
            <w:tcW w:w="996" w:type="pct"/>
          </w:tcPr>
          <w:p w14:paraId="46E4014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14 (11, 14)</w:t>
            </w:r>
          </w:p>
        </w:tc>
        <w:tc>
          <w:tcPr>
            <w:tcW w:w="817" w:type="pct"/>
          </w:tcPr>
          <w:p w14:paraId="3410F469"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C40AD8">
              <w:rPr>
                <w:rFonts w:eastAsia="Arial" w:cs="Arial"/>
                <w:b/>
                <w:bCs/>
                <w:color w:val="000000"/>
                <w:sz w:val="18"/>
                <w:szCs w:val="18"/>
              </w:rPr>
              <w:t>0.079</w:t>
            </w:r>
          </w:p>
        </w:tc>
      </w:tr>
      <w:tr w:rsidR="00593F13" w:rsidRPr="00C40AD8" w14:paraId="20576546"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C16440C" w14:textId="57EAB2AB" w:rsidR="00593F13" w:rsidRPr="00EA3C63"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Random cortisol</w:t>
            </w:r>
          </w:p>
        </w:tc>
        <w:tc>
          <w:tcPr>
            <w:tcW w:w="996" w:type="pct"/>
          </w:tcPr>
          <w:p w14:paraId="3D3D5F98" w14:textId="41C91661"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477 (368, 615)</w:t>
            </w:r>
          </w:p>
        </w:tc>
        <w:tc>
          <w:tcPr>
            <w:tcW w:w="996" w:type="pct"/>
          </w:tcPr>
          <w:p w14:paraId="76891EE2" w14:textId="5A6C6E5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307 (262, 336)</w:t>
            </w:r>
          </w:p>
        </w:tc>
        <w:tc>
          <w:tcPr>
            <w:tcW w:w="817" w:type="pct"/>
          </w:tcPr>
          <w:p w14:paraId="0572CE0C" w14:textId="0CD1D70D" w:rsidR="00593F13" w:rsidRPr="001C0071"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0.004</w:t>
            </w:r>
          </w:p>
        </w:tc>
      </w:tr>
      <w:tr w:rsidR="00593F13" w:rsidRPr="00C40AD8" w14:paraId="5F87EEF7" w14:textId="77777777" w:rsidTr="001C0071">
        <w:tc>
          <w:tcPr>
            <w:tcW w:w="2191" w:type="pct"/>
          </w:tcPr>
          <w:p w14:paraId="314B28A5" w14:textId="093D2FB4" w:rsidR="00593F13" w:rsidRPr="00EA3C63"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Basal cortisol</w:t>
            </w:r>
          </w:p>
        </w:tc>
        <w:tc>
          <w:tcPr>
            <w:tcW w:w="996" w:type="pct"/>
          </w:tcPr>
          <w:p w14:paraId="2B630D2C" w14:textId="6933C039"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500 (433, 636)</w:t>
            </w:r>
          </w:p>
        </w:tc>
        <w:tc>
          <w:tcPr>
            <w:tcW w:w="996" w:type="pct"/>
          </w:tcPr>
          <w:p w14:paraId="11FD128D" w14:textId="016234E2"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308 (246, 365)</w:t>
            </w:r>
          </w:p>
        </w:tc>
        <w:tc>
          <w:tcPr>
            <w:tcW w:w="817" w:type="pct"/>
          </w:tcPr>
          <w:p w14:paraId="34BD5C3A" w14:textId="2F938457" w:rsidR="00593F13" w:rsidRPr="001C0071"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&lt;0.001</w:t>
            </w:r>
          </w:p>
        </w:tc>
      </w:tr>
      <w:tr w:rsidR="00593F13" w:rsidRPr="00C40AD8" w14:paraId="4E5B6149"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0058E4A" w14:textId="23C48823" w:rsidR="00593F13" w:rsidRPr="00EA3C63"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rFonts w:eastAsia="Arial" w:cs="Arial"/>
                <w:b/>
                <w:color w:val="000000"/>
                <w:sz w:val="18"/>
                <w:szCs w:val="18"/>
              </w:rPr>
            </w:pPr>
            <w:r w:rsidRPr="001C0071">
              <w:rPr>
                <w:b/>
                <w:bCs/>
                <w:sz w:val="18"/>
                <w:szCs w:val="18"/>
              </w:rPr>
              <w:t>Stimulated cortisol</w:t>
            </w:r>
          </w:p>
        </w:tc>
        <w:tc>
          <w:tcPr>
            <w:tcW w:w="996" w:type="pct"/>
          </w:tcPr>
          <w:p w14:paraId="70305EDB" w14:textId="4948C6F6"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795 (662, 890)</w:t>
            </w:r>
          </w:p>
        </w:tc>
        <w:tc>
          <w:tcPr>
            <w:tcW w:w="996" w:type="pct"/>
          </w:tcPr>
          <w:p w14:paraId="0AB3FDAF" w14:textId="0805AA0B"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375 (338, 424)</w:t>
            </w:r>
          </w:p>
        </w:tc>
        <w:tc>
          <w:tcPr>
            <w:tcW w:w="817" w:type="pct"/>
          </w:tcPr>
          <w:p w14:paraId="3617E93C" w14:textId="5C591B8C" w:rsidR="00593F13" w:rsidRPr="001C0071"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eastAsia="Arial" w:cs="Arial"/>
                <w:color w:val="000000"/>
                <w:sz w:val="18"/>
                <w:szCs w:val="18"/>
              </w:rPr>
            </w:pPr>
            <w:r w:rsidRPr="001C0071">
              <w:rPr>
                <w:rFonts w:eastAsia="Arial" w:cs="Arial"/>
                <w:color w:val="000000"/>
                <w:sz w:val="18"/>
                <w:szCs w:val="18"/>
              </w:rPr>
              <w:t>&lt;0.001</w:t>
            </w:r>
          </w:p>
        </w:tc>
      </w:tr>
      <w:tr w:rsidR="00593F13" w:rsidRPr="00C40AD8" w14:paraId="39C45057" w14:textId="77777777" w:rsidTr="001C0071">
        <w:tc>
          <w:tcPr>
            <w:tcW w:w="2191" w:type="pct"/>
          </w:tcPr>
          <w:p w14:paraId="24236A5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Weight loss</w:t>
            </w:r>
          </w:p>
        </w:tc>
        <w:tc>
          <w:tcPr>
            <w:tcW w:w="996" w:type="pct"/>
          </w:tcPr>
          <w:p w14:paraId="7DB3B5D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51 (87.9%)</w:t>
            </w:r>
          </w:p>
        </w:tc>
        <w:tc>
          <w:tcPr>
            <w:tcW w:w="996" w:type="pct"/>
          </w:tcPr>
          <w:p w14:paraId="7253ED5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18C4322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593F13" w:rsidRPr="00C40AD8" w14:paraId="4CF1F140"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B4AFB7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Viral load (log10 Copies/mL)</w:t>
            </w:r>
          </w:p>
        </w:tc>
        <w:tc>
          <w:tcPr>
            <w:tcW w:w="996" w:type="pct"/>
          </w:tcPr>
          <w:p w14:paraId="469DC03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11.74 (9.55, 13.08)</w:t>
            </w:r>
          </w:p>
        </w:tc>
        <w:tc>
          <w:tcPr>
            <w:tcW w:w="996" w:type="pct"/>
          </w:tcPr>
          <w:p w14:paraId="2CE51DA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w:t>
            </w:r>
          </w:p>
        </w:tc>
        <w:tc>
          <w:tcPr>
            <w:tcW w:w="817" w:type="pct"/>
          </w:tcPr>
          <w:p w14:paraId="6CB0928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593F13" w:rsidRPr="00C40AD8" w14:paraId="7655DCBA" w14:textId="77777777" w:rsidTr="001C0071">
        <w:tc>
          <w:tcPr>
            <w:tcW w:w="2191" w:type="pct"/>
          </w:tcPr>
          <w:p w14:paraId="78C104A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Tuberculosis</w:t>
            </w:r>
          </w:p>
        </w:tc>
        <w:tc>
          <w:tcPr>
            <w:tcW w:w="996" w:type="pct"/>
          </w:tcPr>
          <w:p w14:paraId="1FDD7EA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49 (81.7%)</w:t>
            </w:r>
          </w:p>
        </w:tc>
        <w:tc>
          <w:tcPr>
            <w:tcW w:w="996" w:type="pct"/>
          </w:tcPr>
          <w:p w14:paraId="0F506E7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 (83.3%)</w:t>
            </w:r>
          </w:p>
        </w:tc>
        <w:tc>
          <w:tcPr>
            <w:tcW w:w="817" w:type="pct"/>
          </w:tcPr>
          <w:p w14:paraId="1BAA7BA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4028715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5701B47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Cryptococcus neoformans</w:t>
            </w:r>
          </w:p>
        </w:tc>
        <w:tc>
          <w:tcPr>
            <w:tcW w:w="996" w:type="pct"/>
          </w:tcPr>
          <w:p w14:paraId="777544D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w:t>
            </w:r>
          </w:p>
        </w:tc>
        <w:tc>
          <w:tcPr>
            <w:tcW w:w="996" w:type="pct"/>
          </w:tcPr>
          <w:p w14:paraId="68DE155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2AE5778F" w14:textId="77777777" w:rsidR="00593F13" w:rsidRPr="00BB5E1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BB5E1E">
              <w:rPr>
                <w:rFonts w:eastAsia="Arial" w:cs="Arial"/>
                <w:b/>
                <w:bCs/>
                <w:color w:val="000000"/>
                <w:sz w:val="18"/>
                <w:szCs w:val="18"/>
              </w:rPr>
              <w:t>0.008</w:t>
            </w:r>
          </w:p>
        </w:tc>
      </w:tr>
      <w:tr w:rsidR="00593F13" w:rsidRPr="00C40AD8" w14:paraId="4D227CD0" w14:textId="77777777" w:rsidTr="001C0071">
        <w:tc>
          <w:tcPr>
            <w:tcW w:w="2191" w:type="pct"/>
          </w:tcPr>
          <w:p w14:paraId="6A908F2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Pneumonia</w:t>
            </w:r>
          </w:p>
        </w:tc>
        <w:tc>
          <w:tcPr>
            <w:tcW w:w="996" w:type="pct"/>
          </w:tcPr>
          <w:p w14:paraId="46D1FEF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 (11.7%)</w:t>
            </w:r>
          </w:p>
        </w:tc>
        <w:tc>
          <w:tcPr>
            <w:tcW w:w="996" w:type="pct"/>
          </w:tcPr>
          <w:p w14:paraId="012E9A4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3E256A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142F9FA1"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24F967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HSV</w:t>
            </w:r>
          </w:p>
        </w:tc>
        <w:tc>
          <w:tcPr>
            <w:tcW w:w="996" w:type="pct"/>
          </w:tcPr>
          <w:p w14:paraId="224CBBF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74D3869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1DF078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25536CF2" w14:textId="77777777" w:rsidTr="001C0071">
        <w:tc>
          <w:tcPr>
            <w:tcW w:w="2191" w:type="pct"/>
          </w:tcPr>
          <w:p w14:paraId="020BAD2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HepB</w:t>
            </w:r>
            <w:proofErr w:type="spellEnd"/>
          </w:p>
        </w:tc>
        <w:tc>
          <w:tcPr>
            <w:tcW w:w="996" w:type="pct"/>
          </w:tcPr>
          <w:p w14:paraId="14FE2D2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7615DF7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4029F972" w14:textId="77777777" w:rsidR="00593F13" w:rsidRPr="00BB5E1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BB5E1E">
              <w:rPr>
                <w:rFonts w:eastAsia="Arial" w:cs="Arial"/>
                <w:b/>
                <w:bCs/>
                <w:color w:val="000000"/>
                <w:sz w:val="18"/>
                <w:szCs w:val="18"/>
              </w:rPr>
              <w:t>0.091</w:t>
            </w:r>
          </w:p>
        </w:tc>
      </w:tr>
      <w:tr w:rsidR="00593F13" w:rsidRPr="00C40AD8" w14:paraId="1CB3D254"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C875449"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Candida</w:t>
            </w:r>
          </w:p>
        </w:tc>
        <w:tc>
          <w:tcPr>
            <w:tcW w:w="996" w:type="pct"/>
          </w:tcPr>
          <w:p w14:paraId="3EB93C3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(6.7%)</w:t>
            </w:r>
          </w:p>
        </w:tc>
        <w:tc>
          <w:tcPr>
            <w:tcW w:w="996" w:type="pct"/>
          </w:tcPr>
          <w:p w14:paraId="6348506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840E59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3A5F262F" w14:textId="77777777" w:rsidTr="001C0071">
        <w:tc>
          <w:tcPr>
            <w:tcW w:w="2191" w:type="pct"/>
          </w:tcPr>
          <w:p w14:paraId="368EFCA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Syphilis</w:t>
            </w:r>
          </w:p>
        </w:tc>
        <w:tc>
          <w:tcPr>
            <w:tcW w:w="996" w:type="pct"/>
          </w:tcPr>
          <w:p w14:paraId="26808CC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w:t>
            </w:r>
          </w:p>
        </w:tc>
        <w:tc>
          <w:tcPr>
            <w:tcW w:w="996" w:type="pct"/>
          </w:tcPr>
          <w:p w14:paraId="2CA4B76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461BFA5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29355C53"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F489F5B"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B </w:t>
            </w:r>
            <w:proofErr w:type="spellStart"/>
            <w:r w:rsidRPr="00C40AD8">
              <w:rPr>
                <w:rFonts w:eastAsia="Arial" w:cs="Arial"/>
                <w:b/>
                <w:color w:val="000000"/>
                <w:sz w:val="18"/>
                <w:szCs w:val="18"/>
              </w:rPr>
              <w:t>menigitis</w:t>
            </w:r>
            <w:proofErr w:type="spellEnd"/>
          </w:p>
        </w:tc>
        <w:tc>
          <w:tcPr>
            <w:tcW w:w="996" w:type="pct"/>
          </w:tcPr>
          <w:p w14:paraId="50164E6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02CBD33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072A51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57411C0E" w14:textId="77777777" w:rsidTr="001C0071">
        <w:tc>
          <w:tcPr>
            <w:tcW w:w="2191" w:type="pct"/>
          </w:tcPr>
          <w:p w14:paraId="7F23A04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UTI / Leptospirosis</w:t>
            </w:r>
          </w:p>
        </w:tc>
        <w:tc>
          <w:tcPr>
            <w:tcW w:w="996" w:type="pct"/>
          </w:tcPr>
          <w:p w14:paraId="14C8087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(1.7%)</w:t>
            </w:r>
          </w:p>
        </w:tc>
        <w:tc>
          <w:tcPr>
            <w:tcW w:w="996" w:type="pct"/>
          </w:tcPr>
          <w:p w14:paraId="58F9030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3F55EC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244FC9DF"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7DE2E4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PCP</w:t>
            </w:r>
          </w:p>
        </w:tc>
        <w:tc>
          <w:tcPr>
            <w:tcW w:w="996" w:type="pct"/>
          </w:tcPr>
          <w:p w14:paraId="21A2814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w:t>
            </w:r>
          </w:p>
        </w:tc>
        <w:tc>
          <w:tcPr>
            <w:tcW w:w="996" w:type="pct"/>
          </w:tcPr>
          <w:p w14:paraId="7245999D"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732317A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7C5EEDF6" w14:textId="77777777" w:rsidTr="001C0071">
        <w:tc>
          <w:tcPr>
            <w:tcW w:w="2191" w:type="pct"/>
          </w:tcPr>
          <w:p w14:paraId="2400464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COVID-19</w:t>
            </w:r>
          </w:p>
        </w:tc>
        <w:tc>
          <w:tcPr>
            <w:tcW w:w="996" w:type="pct"/>
          </w:tcPr>
          <w:p w14:paraId="3994081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7F06A04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C3FF32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593F13" w:rsidRPr="00C40AD8" w14:paraId="5561DD73"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0DBE05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Neurocysticercosis</w:t>
            </w:r>
          </w:p>
        </w:tc>
        <w:tc>
          <w:tcPr>
            <w:tcW w:w="996" w:type="pct"/>
          </w:tcPr>
          <w:p w14:paraId="6E39574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996" w:type="pct"/>
          </w:tcPr>
          <w:p w14:paraId="28D5D5B9"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2E74E42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p>
        </w:tc>
      </w:tr>
      <w:tr w:rsidR="00593F13" w:rsidRPr="00C40AD8" w14:paraId="28957CAD" w14:textId="77777777" w:rsidTr="001C0071">
        <w:tc>
          <w:tcPr>
            <w:tcW w:w="2191" w:type="pct"/>
          </w:tcPr>
          <w:p w14:paraId="2679557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Total CD4 count</w:t>
            </w:r>
          </w:p>
        </w:tc>
        <w:tc>
          <w:tcPr>
            <w:tcW w:w="996" w:type="pct"/>
          </w:tcPr>
          <w:p w14:paraId="17D0F4D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28 (14, 55)</w:t>
            </w:r>
          </w:p>
        </w:tc>
        <w:tc>
          <w:tcPr>
            <w:tcW w:w="996" w:type="pct"/>
          </w:tcPr>
          <w:p w14:paraId="464E064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30 (16, 45)</w:t>
            </w:r>
          </w:p>
        </w:tc>
        <w:tc>
          <w:tcPr>
            <w:tcW w:w="817" w:type="pct"/>
          </w:tcPr>
          <w:p w14:paraId="3A534BF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593F13" w:rsidRPr="00C40AD8" w14:paraId="261FA591"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9DCB2B2" w14:textId="6182A27F"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White </w:t>
            </w:r>
            <w:proofErr w:type="gramStart"/>
            <w:r w:rsidRPr="00C40AD8">
              <w:rPr>
                <w:rFonts w:eastAsia="Arial" w:cs="Arial"/>
                <w:b/>
                <w:color w:val="000000"/>
                <w:sz w:val="18"/>
                <w:szCs w:val="18"/>
              </w:rPr>
              <w:t>cell</w:t>
            </w:r>
            <w:proofErr w:type="gramEnd"/>
            <w:r w:rsidRPr="00C40AD8">
              <w:rPr>
                <w:rFonts w:eastAsia="Arial" w:cs="Arial"/>
                <w:b/>
                <w:color w:val="000000"/>
                <w:sz w:val="18"/>
                <w:szCs w:val="18"/>
              </w:rPr>
              <w:t xml:space="preserve"> count </w:t>
            </w:r>
            <w:r>
              <w:rPr>
                <w:rFonts w:eastAsia="Arial" w:cs="Arial"/>
                <w:b/>
                <w:color w:val="000000"/>
                <w:sz w:val="18"/>
                <w:szCs w:val="18"/>
              </w:rPr>
              <w:t>x</w:t>
            </w:r>
            <w:r w:rsidRPr="00C40AD8">
              <w:rPr>
                <w:rFonts w:eastAsia="Arial" w:cs="Arial"/>
                <w:b/>
                <w:color w:val="000000"/>
                <w:sz w:val="18"/>
                <w:szCs w:val="18"/>
              </w:rPr>
              <w:t>10</w:t>
            </w:r>
            <w:r w:rsidRPr="001C0071">
              <w:rPr>
                <w:rFonts w:eastAsia="Arial" w:cs="Arial"/>
                <w:b/>
                <w:color w:val="000000"/>
                <w:sz w:val="18"/>
                <w:szCs w:val="18"/>
                <w:vertAlign w:val="superscript"/>
              </w:rPr>
              <w:t>9</w:t>
            </w:r>
          </w:p>
        </w:tc>
        <w:tc>
          <w:tcPr>
            <w:tcW w:w="996" w:type="pct"/>
          </w:tcPr>
          <w:p w14:paraId="72C012D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5.2 (3.4, 7.4)</w:t>
            </w:r>
          </w:p>
        </w:tc>
        <w:tc>
          <w:tcPr>
            <w:tcW w:w="996" w:type="pct"/>
          </w:tcPr>
          <w:p w14:paraId="4D9F49B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8.3 (4.3, 27.5)</w:t>
            </w:r>
          </w:p>
        </w:tc>
        <w:tc>
          <w:tcPr>
            <w:tcW w:w="817" w:type="pct"/>
          </w:tcPr>
          <w:p w14:paraId="72DD129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593F13" w:rsidRPr="00C40AD8" w14:paraId="357450AC" w14:textId="77777777" w:rsidTr="001C0071">
        <w:tc>
          <w:tcPr>
            <w:tcW w:w="2191" w:type="pct"/>
          </w:tcPr>
          <w:p w14:paraId="7E78B22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Sodium mmol/L</w:t>
            </w:r>
          </w:p>
        </w:tc>
        <w:tc>
          <w:tcPr>
            <w:tcW w:w="996" w:type="pct"/>
          </w:tcPr>
          <w:p w14:paraId="7758B89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133.0 (128.0, 136.0)</w:t>
            </w:r>
          </w:p>
        </w:tc>
        <w:tc>
          <w:tcPr>
            <w:tcW w:w="996" w:type="pct"/>
          </w:tcPr>
          <w:p w14:paraId="21ADB0D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136.5 (133.3, 139.0)</w:t>
            </w:r>
          </w:p>
        </w:tc>
        <w:tc>
          <w:tcPr>
            <w:tcW w:w="817" w:type="pct"/>
          </w:tcPr>
          <w:p w14:paraId="1F665FC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0.15</w:t>
            </w:r>
          </w:p>
        </w:tc>
      </w:tr>
      <w:tr w:rsidR="00593F13" w:rsidRPr="00C40AD8" w14:paraId="6A939A42"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A479CF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Potassium mmol/L</w:t>
            </w:r>
          </w:p>
        </w:tc>
        <w:tc>
          <w:tcPr>
            <w:tcW w:w="996" w:type="pct"/>
          </w:tcPr>
          <w:p w14:paraId="385E933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3.95 (3.60, 4.57)</w:t>
            </w:r>
          </w:p>
        </w:tc>
        <w:tc>
          <w:tcPr>
            <w:tcW w:w="996" w:type="pct"/>
          </w:tcPr>
          <w:p w14:paraId="1F418D4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3.70 (3.37, 3.88)</w:t>
            </w:r>
          </w:p>
        </w:tc>
        <w:tc>
          <w:tcPr>
            <w:tcW w:w="817" w:type="pct"/>
          </w:tcPr>
          <w:p w14:paraId="30D4B0E9" w14:textId="77777777" w:rsidR="00593F13" w:rsidRPr="00BB5E1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BB5E1E">
              <w:rPr>
                <w:rFonts w:eastAsia="Arial" w:cs="Arial"/>
                <w:b/>
                <w:bCs/>
                <w:color w:val="000000"/>
                <w:sz w:val="18"/>
                <w:szCs w:val="18"/>
              </w:rPr>
              <w:t>0.077</w:t>
            </w:r>
          </w:p>
        </w:tc>
      </w:tr>
      <w:tr w:rsidR="00593F13" w:rsidRPr="00C40AD8" w14:paraId="2D1DA28C" w14:textId="77777777" w:rsidTr="001C0071">
        <w:tc>
          <w:tcPr>
            <w:tcW w:w="2191" w:type="pct"/>
          </w:tcPr>
          <w:p w14:paraId="3B91B7FC"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Haemoglobin</w:t>
            </w:r>
            <w:proofErr w:type="spellEnd"/>
            <w:r w:rsidRPr="00C40AD8">
              <w:rPr>
                <w:rFonts w:eastAsia="Arial" w:cs="Arial"/>
                <w:b/>
                <w:color w:val="000000"/>
                <w:sz w:val="18"/>
                <w:szCs w:val="18"/>
              </w:rPr>
              <w:t xml:space="preserve"> g/dL</w:t>
            </w:r>
          </w:p>
        </w:tc>
        <w:tc>
          <w:tcPr>
            <w:tcW w:w="996" w:type="pct"/>
          </w:tcPr>
          <w:p w14:paraId="604C088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8.20 (7.00, 9.63)</w:t>
            </w:r>
          </w:p>
        </w:tc>
        <w:tc>
          <w:tcPr>
            <w:tcW w:w="996" w:type="pct"/>
          </w:tcPr>
          <w:p w14:paraId="5FEEFB0D"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9.60 (8.25, 10.95)</w:t>
            </w:r>
          </w:p>
        </w:tc>
        <w:tc>
          <w:tcPr>
            <w:tcW w:w="817" w:type="pct"/>
          </w:tcPr>
          <w:p w14:paraId="6E2218C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0.3</w:t>
            </w:r>
          </w:p>
        </w:tc>
      </w:tr>
      <w:tr w:rsidR="00593F13" w:rsidRPr="00C40AD8" w14:paraId="7CF6558B"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64F1B24B"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BP (systolic)</w:t>
            </w:r>
          </w:p>
        </w:tc>
        <w:tc>
          <w:tcPr>
            <w:tcW w:w="996" w:type="pct"/>
          </w:tcPr>
          <w:p w14:paraId="2751D47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110 (102, 120)</w:t>
            </w:r>
          </w:p>
        </w:tc>
        <w:tc>
          <w:tcPr>
            <w:tcW w:w="996" w:type="pct"/>
          </w:tcPr>
          <w:p w14:paraId="0951B92C"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128 (122, 130)</w:t>
            </w:r>
          </w:p>
        </w:tc>
        <w:tc>
          <w:tcPr>
            <w:tcW w:w="817" w:type="pct"/>
          </w:tcPr>
          <w:p w14:paraId="1F3986D5" w14:textId="77777777" w:rsidR="00593F13" w:rsidRPr="00BB5E1E"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BB5E1E">
              <w:rPr>
                <w:rFonts w:eastAsia="Arial" w:cs="Arial"/>
                <w:b/>
                <w:bCs/>
                <w:color w:val="000000"/>
                <w:sz w:val="18"/>
                <w:szCs w:val="18"/>
              </w:rPr>
              <w:t>0.059</w:t>
            </w:r>
          </w:p>
        </w:tc>
      </w:tr>
      <w:tr w:rsidR="00593F13" w:rsidRPr="00C40AD8" w14:paraId="1A9AE14E" w14:textId="77777777" w:rsidTr="001C0071">
        <w:tc>
          <w:tcPr>
            <w:tcW w:w="2191" w:type="pct"/>
          </w:tcPr>
          <w:p w14:paraId="113CB03B"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BP (diastolic)</w:t>
            </w:r>
          </w:p>
        </w:tc>
        <w:tc>
          <w:tcPr>
            <w:tcW w:w="996" w:type="pct"/>
          </w:tcPr>
          <w:p w14:paraId="60418F4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71 (67, 80)</w:t>
            </w:r>
          </w:p>
        </w:tc>
        <w:tc>
          <w:tcPr>
            <w:tcW w:w="996" w:type="pct"/>
          </w:tcPr>
          <w:p w14:paraId="4E22EB2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74 (65, 78)</w:t>
            </w:r>
          </w:p>
        </w:tc>
        <w:tc>
          <w:tcPr>
            <w:tcW w:w="817" w:type="pct"/>
          </w:tcPr>
          <w:p w14:paraId="2CA3951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0.8</w:t>
            </w:r>
          </w:p>
        </w:tc>
      </w:tr>
      <w:tr w:rsidR="00593F13" w:rsidRPr="00C40AD8" w14:paraId="0BA2D1F9"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2C23A4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Heart rate</w:t>
            </w:r>
          </w:p>
        </w:tc>
        <w:tc>
          <w:tcPr>
            <w:tcW w:w="996" w:type="pct"/>
          </w:tcPr>
          <w:p w14:paraId="3042F14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91 (82, 108)</w:t>
            </w:r>
          </w:p>
        </w:tc>
        <w:tc>
          <w:tcPr>
            <w:tcW w:w="996" w:type="pct"/>
          </w:tcPr>
          <w:p w14:paraId="132E830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87 (72, 98)</w:t>
            </w:r>
          </w:p>
        </w:tc>
        <w:tc>
          <w:tcPr>
            <w:tcW w:w="817" w:type="pct"/>
          </w:tcPr>
          <w:p w14:paraId="7A64E49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0.3</w:t>
            </w:r>
          </w:p>
        </w:tc>
      </w:tr>
      <w:tr w:rsidR="00593F13" w:rsidRPr="00C40AD8" w14:paraId="08082A6C" w14:textId="77777777" w:rsidTr="001C0071">
        <w:tc>
          <w:tcPr>
            <w:tcW w:w="2191" w:type="pct"/>
          </w:tcPr>
          <w:p w14:paraId="005DF1D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Hypotension</w:t>
            </w:r>
          </w:p>
        </w:tc>
        <w:tc>
          <w:tcPr>
            <w:tcW w:w="996" w:type="pct"/>
          </w:tcPr>
          <w:p w14:paraId="2F1350F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7 (12.1%)</w:t>
            </w:r>
          </w:p>
        </w:tc>
        <w:tc>
          <w:tcPr>
            <w:tcW w:w="996" w:type="pct"/>
          </w:tcPr>
          <w:p w14:paraId="1315223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2CCE791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656D94B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C50142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Weakness</w:t>
            </w:r>
          </w:p>
        </w:tc>
        <w:tc>
          <w:tcPr>
            <w:tcW w:w="996" w:type="pct"/>
          </w:tcPr>
          <w:p w14:paraId="6721E85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54 (93.1%)</w:t>
            </w:r>
          </w:p>
        </w:tc>
        <w:tc>
          <w:tcPr>
            <w:tcW w:w="996" w:type="pct"/>
          </w:tcPr>
          <w:p w14:paraId="1ADC53F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118CE659" w14:textId="77777777" w:rsidR="00593F13" w:rsidRPr="00A422BD"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A422BD">
              <w:rPr>
                <w:rFonts w:eastAsia="Arial" w:cs="Arial"/>
                <w:b/>
                <w:bCs/>
                <w:color w:val="000000"/>
                <w:sz w:val="18"/>
                <w:szCs w:val="18"/>
              </w:rPr>
              <w:t>0.093</w:t>
            </w:r>
          </w:p>
        </w:tc>
      </w:tr>
      <w:tr w:rsidR="00593F13" w:rsidRPr="00C40AD8" w14:paraId="649ECC7A" w14:textId="77777777" w:rsidTr="001C0071">
        <w:tc>
          <w:tcPr>
            <w:tcW w:w="2191" w:type="pct"/>
          </w:tcPr>
          <w:p w14:paraId="37EFD72D"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Tiredness</w:t>
            </w:r>
          </w:p>
        </w:tc>
        <w:tc>
          <w:tcPr>
            <w:tcW w:w="996" w:type="pct"/>
          </w:tcPr>
          <w:p w14:paraId="071E9BE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53 (93.0%)</w:t>
            </w:r>
          </w:p>
        </w:tc>
        <w:tc>
          <w:tcPr>
            <w:tcW w:w="996" w:type="pct"/>
          </w:tcPr>
          <w:p w14:paraId="3C4F125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6 (100.0%)</w:t>
            </w:r>
          </w:p>
        </w:tc>
        <w:tc>
          <w:tcPr>
            <w:tcW w:w="817" w:type="pct"/>
          </w:tcPr>
          <w:p w14:paraId="407F099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525ECA7C"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3B174521"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Poor appetite</w:t>
            </w:r>
          </w:p>
        </w:tc>
        <w:tc>
          <w:tcPr>
            <w:tcW w:w="996" w:type="pct"/>
          </w:tcPr>
          <w:p w14:paraId="06C3D08B"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51 (87.9%)</w:t>
            </w:r>
          </w:p>
        </w:tc>
        <w:tc>
          <w:tcPr>
            <w:tcW w:w="996" w:type="pct"/>
          </w:tcPr>
          <w:p w14:paraId="212417E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6 (100.0%)</w:t>
            </w:r>
          </w:p>
        </w:tc>
        <w:tc>
          <w:tcPr>
            <w:tcW w:w="817" w:type="pct"/>
          </w:tcPr>
          <w:p w14:paraId="00B59D4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40584965" w14:textId="77777777" w:rsidTr="001C0071">
        <w:tc>
          <w:tcPr>
            <w:tcW w:w="2191" w:type="pct"/>
          </w:tcPr>
          <w:p w14:paraId="198AEB4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Increased pigmentation of the skin</w:t>
            </w:r>
          </w:p>
        </w:tc>
        <w:tc>
          <w:tcPr>
            <w:tcW w:w="996" w:type="pct"/>
          </w:tcPr>
          <w:p w14:paraId="0170441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36 (63.2%)</w:t>
            </w:r>
          </w:p>
        </w:tc>
        <w:tc>
          <w:tcPr>
            <w:tcW w:w="996" w:type="pct"/>
          </w:tcPr>
          <w:p w14:paraId="4AF08BD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(40.0%)</w:t>
            </w:r>
          </w:p>
        </w:tc>
        <w:tc>
          <w:tcPr>
            <w:tcW w:w="817" w:type="pct"/>
          </w:tcPr>
          <w:p w14:paraId="093138A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0.4</w:t>
            </w:r>
          </w:p>
        </w:tc>
      </w:tr>
      <w:tr w:rsidR="00593F13" w:rsidRPr="00C40AD8" w14:paraId="64CA969D"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16048DE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Nausea</w:t>
            </w:r>
          </w:p>
        </w:tc>
        <w:tc>
          <w:tcPr>
            <w:tcW w:w="996" w:type="pct"/>
          </w:tcPr>
          <w:p w14:paraId="47C45ABD"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37 (63.8%)</w:t>
            </w:r>
          </w:p>
        </w:tc>
        <w:tc>
          <w:tcPr>
            <w:tcW w:w="996" w:type="pct"/>
          </w:tcPr>
          <w:p w14:paraId="52D9E89D"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5 (83.3%)</w:t>
            </w:r>
          </w:p>
        </w:tc>
        <w:tc>
          <w:tcPr>
            <w:tcW w:w="817" w:type="pct"/>
          </w:tcPr>
          <w:p w14:paraId="0CBDB4B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593F13" w:rsidRPr="00C40AD8" w14:paraId="36BFFE79" w14:textId="77777777" w:rsidTr="001C0071">
        <w:tc>
          <w:tcPr>
            <w:tcW w:w="2191" w:type="pct"/>
          </w:tcPr>
          <w:p w14:paraId="4B00DF79"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Vomiting</w:t>
            </w:r>
          </w:p>
        </w:tc>
        <w:tc>
          <w:tcPr>
            <w:tcW w:w="996" w:type="pct"/>
          </w:tcPr>
          <w:p w14:paraId="7B8A080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15 (25.9%)</w:t>
            </w:r>
          </w:p>
        </w:tc>
        <w:tc>
          <w:tcPr>
            <w:tcW w:w="996" w:type="pct"/>
          </w:tcPr>
          <w:p w14:paraId="796239D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(33.3%)</w:t>
            </w:r>
          </w:p>
        </w:tc>
        <w:tc>
          <w:tcPr>
            <w:tcW w:w="817" w:type="pct"/>
          </w:tcPr>
          <w:p w14:paraId="485317AC"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593F13" w:rsidRPr="00C40AD8" w14:paraId="3E1FF8F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E922B6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Liking for salt</w:t>
            </w:r>
          </w:p>
        </w:tc>
        <w:tc>
          <w:tcPr>
            <w:tcW w:w="996" w:type="pct"/>
          </w:tcPr>
          <w:p w14:paraId="4897877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(65.5%)</w:t>
            </w:r>
          </w:p>
        </w:tc>
        <w:tc>
          <w:tcPr>
            <w:tcW w:w="996" w:type="pct"/>
          </w:tcPr>
          <w:p w14:paraId="783424C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(66.7%)</w:t>
            </w:r>
          </w:p>
        </w:tc>
        <w:tc>
          <w:tcPr>
            <w:tcW w:w="817" w:type="pct"/>
          </w:tcPr>
          <w:p w14:paraId="037517D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53C85FC3" w14:textId="77777777" w:rsidTr="001C0071">
        <w:tc>
          <w:tcPr>
            <w:tcW w:w="2191" w:type="pct"/>
          </w:tcPr>
          <w:p w14:paraId="6B9E99C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Hypoglycaemia</w:t>
            </w:r>
            <w:proofErr w:type="spellEnd"/>
          </w:p>
        </w:tc>
        <w:tc>
          <w:tcPr>
            <w:tcW w:w="996" w:type="pct"/>
          </w:tcPr>
          <w:p w14:paraId="3E7E722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13ED728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174F2EF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0D9B2784"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490EACFB"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Loss of consciousness</w:t>
            </w:r>
          </w:p>
        </w:tc>
        <w:tc>
          <w:tcPr>
            <w:tcW w:w="996" w:type="pct"/>
          </w:tcPr>
          <w:p w14:paraId="530EFDA9"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01262C7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085870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7B8D4597" w14:textId="77777777" w:rsidTr="001C0071">
        <w:tc>
          <w:tcPr>
            <w:tcW w:w="2191" w:type="pct"/>
          </w:tcPr>
          <w:p w14:paraId="1447A28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proofErr w:type="spellStart"/>
            <w:r w:rsidRPr="00C40AD8">
              <w:rPr>
                <w:rFonts w:eastAsia="Arial" w:cs="Arial"/>
                <w:b/>
                <w:color w:val="000000"/>
                <w:sz w:val="18"/>
                <w:szCs w:val="18"/>
              </w:rPr>
              <w:t>Diarrhoea</w:t>
            </w:r>
            <w:proofErr w:type="spellEnd"/>
          </w:p>
        </w:tc>
        <w:tc>
          <w:tcPr>
            <w:tcW w:w="996" w:type="pct"/>
          </w:tcPr>
          <w:p w14:paraId="1B31B26D"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33 (56.9%)</w:t>
            </w:r>
          </w:p>
        </w:tc>
        <w:tc>
          <w:tcPr>
            <w:tcW w:w="996" w:type="pct"/>
          </w:tcPr>
          <w:p w14:paraId="5C96B7FB"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1D1CF91B" w14:textId="77777777" w:rsidR="00593F13" w:rsidRPr="00A422BD"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b/>
                <w:bCs/>
                <w:sz w:val="18"/>
                <w:szCs w:val="18"/>
              </w:rPr>
            </w:pPr>
            <w:r w:rsidRPr="00A422BD">
              <w:rPr>
                <w:rFonts w:eastAsia="Arial" w:cs="Arial"/>
                <w:b/>
                <w:bCs/>
                <w:color w:val="000000"/>
                <w:sz w:val="18"/>
                <w:szCs w:val="18"/>
              </w:rPr>
              <w:t>0.090</w:t>
            </w:r>
          </w:p>
        </w:tc>
      </w:tr>
      <w:tr w:rsidR="00593F13" w:rsidRPr="00C40AD8" w14:paraId="49F21211"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5B3A85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lastRenderedPageBreak/>
              <w:t>Dizziness</w:t>
            </w:r>
          </w:p>
        </w:tc>
        <w:tc>
          <w:tcPr>
            <w:tcW w:w="996" w:type="pct"/>
          </w:tcPr>
          <w:p w14:paraId="084D0C0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34 (59.6%)</w:t>
            </w:r>
          </w:p>
        </w:tc>
        <w:tc>
          <w:tcPr>
            <w:tcW w:w="996" w:type="pct"/>
          </w:tcPr>
          <w:p w14:paraId="0ED287D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3DB0FD4C"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r w:rsidR="00593F13" w:rsidRPr="00C40AD8" w14:paraId="0F48EAEC" w14:textId="77777777" w:rsidTr="001C0071">
        <w:tc>
          <w:tcPr>
            <w:tcW w:w="2191" w:type="pct"/>
          </w:tcPr>
          <w:p w14:paraId="66ABFEA0"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Shock</w:t>
            </w:r>
          </w:p>
        </w:tc>
        <w:tc>
          <w:tcPr>
            <w:tcW w:w="996" w:type="pct"/>
          </w:tcPr>
          <w:p w14:paraId="6F5421E7"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(3.4%)</w:t>
            </w:r>
          </w:p>
        </w:tc>
        <w:tc>
          <w:tcPr>
            <w:tcW w:w="996" w:type="pct"/>
          </w:tcPr>
          <w:p w14:paraId="09A59CB3"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31792338"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6E2DA755"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7B690F7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Anorexia</w:t>
            </w:r>
          </w:p>
        </w:tc>
        <w:tc>
          <w:tcPr>
            <w:tcW w:w="996" w:type="pct"/>
          </w:tcPr>
          <w:p w14:paraId="088316C2"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35 (60.3%)</w:t>
            </w:r>
          </w:p>
        </w:tc>
        <w:tc>
          <w:tcPr>
            <w:tcW w:w="996" w:type="pct"/>
          </w:tcPr>
          <w:p w14:paraId="280CD1BE"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2 (33.3%)</w:t>
            </w:r>
          </w:p>
        </w:tc>
        <w:tc>
          <w:tcPr>
            <w:tcW w:w="817" w:type="pct"/>
          </w:tcPr>
          <w:p w14:paraId="0ED7218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0.2</w:t>
            </w:r>
          </w:p>
        </w:tc>
      </w:tr>
      <w:tr w:rsidR="00593F13" w:rsidRPr="00C40AD8" w14:paraId="14B8D65A" w14:textId="77777777" w:rsidTr="001C0071">
        <w:tc>
          <w:tcPr>
            <w:tcW w:w="2191" w:type="pct"/>
          </w:tcPr>
          <w:p w14:paraId="687954AC"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Loss of axillary and pubic </w:t>
            </w:r>
            <w:proofErr w:type="gramStart"/>
            <w:r w:rsidRPr="00C40AD8">
              <w:rPr>
                <w:rFonts w:eastAsia="Arial" w:cs="Arial"/>
                <w:b/>
                <w:color w:val="000000"/>
                <w:sz w:val="18"/>
                <w:szCs w:val="18"/>
              </w:rPr>
              <w:t>hair, if</w:t>
            </w:r>
            <w:proofErr w:type="gramEnd"/>
            <w:r w:rsidRPr="00C40AD8">
              <w:rPr>
                <w:rFonts w:eastAsia="Arial" w:cs="Arial"/>
                <w:b/>
                <w:color w:val="000000"/>
                <w:sz w:val="18"/>
                <w:szCs w:val="18"/>
              </w:rPr>
              <w:t xml:space="preserve"> female</w:t>
            </w:r>
          </w:p>
        </w:tc>
        <w:tc>
          <w:tcPr>
            <w:tcW w:w="996" w:type="pct"/>
          </w:tcPr>
          <w:p w14:paraId="11B240CD" w14:textId="784337BC"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19 (33.3%)</w:t>
            </w:r>
          </w:p>
        </w:tc>
        <w:tc>
          <w:tcPr>
            <w:tcW w:w="996" w:type="pct"/>
          </w:tcPr>
          <w:p w14:paraId="7E6CA4AD" w14:textId="45BE2D1E"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1 (16.7%)</w:t>
            </w:r>
          </w:p>
        </w:tc>
        <w:tc>
          <w:tcPr>
            <w:tcW w:w="817" w:type="pct"/>
          </w:tcPr>
          <w:p w14:paraId="28F6877F"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0.8</w:t>
            </w:r>
          </w:p>
        </w:tc>
      </w:tr>
      <w:tr w:rsidR="00593F13" w:rsidRPr="00C40AD8" w14:paraId="06642D97" w14:textId="77777777" w:rsidTr="001C0071">
        <w:trPr>
          <w:cnfStyle w:val="000000100000" w:firstRow="0" w:lastRow="0" w:firstColumn="0" w:lastColumn="0" w:oddVBand="0" w:evenVBand="0" w:oddHBand="1" w:evenHBand="0" w:firstRowFirstColumn="0" w:firstRowLastColumn="0" w:lastRowFirstColumn="0" w:lastRowLastColumn="0"/>
        </w:trPr>
        <w:tc>
          <w:tcPr>
            <w:tcW w:w="2191" w:type="pct"/>
          </w:tcPr>
          <w:p w14:paraId="0BB1E6E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Any postural drop in blood pressure</w:t>
            </w:r>
          </w:p>
        </w:tc>
        <w:tc>
          <w:tcPr>
            <w:tcW w:w="996" w:type="pct"/>
          </w:tcPr>
          <w:p w14:paraId="42F36DF4"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4 (7.0%)</w:t>
            </w:r>
          </w:p>
        </w:tc>
        <w:tc>
          <w:tcPr>
            <w:tcW w:w="996" w:type="pct"/>
          </w:tcPr>
          <w:p w14:paraId="0FCDFB2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 (0.0%)</w:t>
            </w:r>
          </w:p>
        </w:tc>
        <w:tc>
          <w:tcPr>
            <w:tcW w:w="817" w:type="pct"/>
          </w:tcPr>
          <w:p w14:paraId="6C2945B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&gt;0.9</w:t>
            </w:r>
          </w:p>
        </w:tc>
      </w:tr>
      <w:tr w:rsidR="00593F13" w:rsidRPr="00C40AD8" w14:paraId="2ADF1FC5" w14:textId="77777777" w:rsidTr="001C0071">
        <w:tc>
          <w:tcPr>
            <w:tcW w:w="2191" w:type="pct"/>
          </w:tcPr>
          <w:p w14:paraId="4C359EA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rPr>
                <w:sz w:val="18"/>
                <w:szCs w:val="18"/>
              </w:rPr>
            </w:pPr>
            <w:r w:rsidRPr="00C40AD8">
              <w:rPr>
                <w:rFonts w:eastAsia="Arial" w:cs="Arial"/>
                <w:b/>
                <w:color w:val="000000"/>
                <w:sz w:val="18"/>
                <w:szCs w:val="18"/>
              </w:rPr>
              <w:t xml:space="preserve">Presence of </w:t>
            </w:r>
            <w:proofErr w:type="spellStart"/>
            <w:r w:rsidRPr="00C40AD8">
              <w:rPr>
                <w:rFonts w:eastAsia="Arial" w:cs="Arial"/>
                <w:b/>
                <w:color w:val="000000"/>
                <w:sz w:val="18"/>
                <w:szCs w:val="18"/>
              </w:rPr>
              <w:t>anaemia</w:t>
            </w:r>
            <w:proofErr w:type="spellEnd"/>
          </w:p>
        </w:tc>
        <w:tc>
          <w:tcPr>
            <w:tcW w:w="996" w:type="pct"/>
          </w:tcPr>
          <w:p w14:paraId="401400E6"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38 (65.5%)</w:t>
            </w:r>
          </w:p>
        </w:tc>
        <w:tc>
          <w:tcPr>
            <w:tcW w:w="996" w:type="pct"/>
          </w:tcPr>
          <w:p w14:paraId="5A73530A"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3 (50.0%)</w:t>
            </w:r>
          </w:p>
        </w:tc>
        <w:tc>
          <w:tcPr>
            <w:tcW w:w="817" w:type="pct"/>
          </w:tcPr>
          <w:p w14:paraId="15459E85" w14:textId="77777777" w:rsidR="00593F13" w:rsidRPr="00C40AD8" w:rsidRDefault="00593F13" w:rsidP="001C0071">
            <w:pPr>
              <w:pBdr>
                <w:top w:val="none" w:sz="0" w:space="0" w:color="000000"/>
                <w:left w:val="none" w:sz="0" w:space="0" w:color="000000"/>
                <w:bottom w:val="none" w:sz="0" w:space="0" w:color="000000"/>
                <w:right w:val="none" w:sz="0" w:space="0" w:color="000000"/>
              </w:pBdr>
              <w:spacing w:before="100" w:after="100"/>
              <w:ind w:left="100" w:right="100"/>
              <w:contextualSpacing/>
              <w:jc w:val="center"/>
              <w:rPr>
                <w:sz w:val="18"/>
                <w:szCs w:val="18"/>
              </w:rPr>
            </w:pPr>
            <w:r w:rsidRPr="00C40AD8">
              <w:rPr>
                <w:rFonts w:eastAsia="Arial" w:cs="Arial"/>
                <w:color w:val="000000"/>
                <w:sz w:val="18"/>
                <w:szCs w:val="18"/>
              </w:rPr>
              <w:t>0.7</w:t>
            </w:r>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w:t>
      </w:r>
      <w:proofErr w:type="spellStart"/>
      <w:r w:rsidRPr="00C40AD8">
        <w:rPr>
          <w:rFonts w:eastAsia="Arial" w:cs="Arial"/>
          <w:color w:val="000000"/>
          <w:sz w:val="18"/>
          <w:szCs w:val="18"/>
        </w:rPr>
        <w:t>IQR</w:t>
      </w:r>
      <w:proofErr w:type="spellEnd"/>
      <w:r w:rsidRPr="00C40AD8">
        <w:rPr>
          <w:rFonts w:eastAsia="Arial" w:cs="Arial"/>
          <w:color w:val="000000"/>
          <w:sz w:val="18"/>
          <w:szCs w:val="18"/>
        </w:rPr>
        <w:t>);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tbl>
      <w:tblPr>
        <w:tblStyle w:val="PlainTable5"/>
        <w:tblW w:w="4543" w:type="pct"/>
        <w:tblLook w:val="0420" w:firstRow="1" w:lastRow="0" w:firstColumn="0" w:lastColumn="0" w:noHBand="0" w:noVBand="1"/>
      </w:tblPr>
      <w:tblGrid>
        <w:gridCol w:w="2716"/>
        <w:gridCol w:w="2104"/>
        <w:gridCol w:w="1983"/>
        <w:gridCol w:w="1701"/>
      </w:tblGrid>
      <w:tr w:rsidR="002F685D" w:rsidRPr="00190AF8" w14:paraId="0A6CFFA3" w14:textId="77777777" w:rsidTr="002F685D">
        <w:trPr>
          <w:cnfStyle w:val="100000000000" w:firstRow="1" w:lastRow="0" w:firstColumn="0" w:lastColumn="0" w:oddVBand="0" w:evenVBand="0" w:oddHBand="0" w:evenHBand="0" w:firstRowFirstColumn="0" w:firstRowLastColumn="0" w:lastRowFirstColumn="0" w:lastRowLastColumn="0"/>
        </w:trPr>
        <w:tc>
          <w:tcPr>
            <w:tcW w:w="4000" w:type="pct"/>
            <w:gridSpan w:val="3"/>
          </w:tcPr>
          <w:p w14:paraId="337DE2A6" w14:textId="01FAEC39" w:rsidR="002F685D" w:rsidRPr="009F15CD" w:rsidRDefault="002F685D" w:rsidP="009F15CD">
            <w:pPr>
              <w:pStyle w:val="Compact"/>
              <w:rPr>
                <w:b/>
                <w:bCs/>
                <w:sz w:val="22"/>
                <w:lang w:val="en-ZA"/>
              </w:rPr>
            </w:pPr>
            <w:commentRangeStart w:id="18"/>
            <w:r w:rsidRPr="009F15CD">
              <w:rPr>
                <w:b/>
                <w:bCs/>
                <w:sz w:val="22"/>
                <w:lang w:val="en-ZA"/>
              </w:rPr>
              <w:t xml:space="preserve">Table </w:t>
            </w:r>
            <w:r w:rsidR="00CD7128">
              <w:rPr>
                <w:b/>
                <w:bCs/>
                <w:sz w:val="22"/>
                <w:lang w:val="en-ZA"/>
              </w:rPr>
              <w:t>4</w:t>
            </w:r>
            <w:r w:rsidRPr="009F15CD">
              <w:rPr>
                <w:b/>
                <w:bCs/>
                <w:sz w:val="22"/>
                <w:lang w:val="en-ZA"/>
              </w:rPr>
              <w:t xml:space="preserve">: Comparison of mortality among </w:t>
            </w:r>
            <w:proofErr w:type="gramStart"/>
            <w:r w:rsidRPr="009F15CD">
              <w:rPr>
                <w:b/>
                <w:bCs/>
                <w:sz w:val="22"/>
                <w:lang w:val="en-ZA"/>
              </w:rPr>
              <w:t>the  Non</w:t>
            </w:r>
            <w:proofErr w:type="gramEnd"/>
            <w:r w:rsidRPr="009F15CD">
              <w:rPr>
                <w:b/>
                <w:bCs/>
                <w:sz w:val="22"/>
                <w:lang w:val="en-ZA"/>
              </w:rPr>
              <w:t>-AI vs AI patients.</w:t>
            </w:r>
          </w:p>
        </w:tc>
        <w:tc>
          <w:tcPr>
            <w:tcW w:w="1000" w:type="pct"/>
          </w:tcPr>
          <w:p w14:paraId="7F6CC275" w14:textId="77777777" w:rsidR="002F685D" w:rsidRPr="00190AF8" w:rsidRDefault="002F685D" w:rsidP="00E92353">
            <w:pPr>
              <w:pStyle w:val="Compact"/>
              <w:jc w:val="center"/>
              <w:rPr>
                <w:b/>
                <w:bCs/>
                <w:sz w:val="18"/>
                <w:szCs w:val="18"/>
                <w:lang w:val="en-ZA"/>
              </w:rPr>
            </w:pPr>
          </w:p>
        </w:tc>
      </w:tr>
      <w:tr w:rsidR="002831B9" w:rsidRPr="00190AF8" w14:paraId="45E9AB68" w14:textId="77777777" w:rsidTr="00771D66">
        <w:trPr>
          <w:cnfStyle w:val="000000100000" w:firstRow="0" w:lastRow="0" w:firstColumn="0" w:lastColumn="0" w:oddVBand="0" w:evenVBand="0" w:oddHBand="1" w:evenHBand="0" w:firstRowFirstColumn="0" w:firstRowLastColumn="0" w:lastRowFirstColumn="0" w:lastRowLastColumn="0"/>
        </w:trPr>
        <w:tc>
          <w:tcPr>
            <w:tcW w:w="1597" w:type="pct"/>
          </w:tcPr>
          <w:p w14:paraId="1297D0BB" w14:textId="77777777" w:rsidR="002831B9" w:rsidRPr="00190AF8" w:rsidRDefault="002831B9" w:rsidP="00E92353">
            <w:pPr>
              <w:pStyle w:val="Compact"/>
              <w:rPr>
                <w:sz w:val="18"/>
                <w:szCs w:val="18"/>
                <w:lang w:val="en-ZA"/>
              </w:rPr>
            </w:pPr>
          </w:p>
        </w:tc>
        <w:tc>
          <w:tcPr>
            <w:tcW w:w="1237" w:type="pct"/>
          </w:tcPr>
          <w:p w14:paraId="652F5878" w14:textId="77777777" w:rsidR="002831B9" w:rsidRPr="00190AF8" w:rsidRDefault="002831B9" w:rsidP="00E92353">
            <w:pPr>
              <w:pStyle w:val="Compact"/>
              <w:jc w:val="center"/>
              <w:rPr>
                <w:b/>
                <w:bCs/>
                <w:sz w:val="18"/>
                <w:szCs w:val="18"/>
                <w:lang w:val="en-ZA"/>
              </w:rPr>
            </w:pPr>
          </w:p>
        </w:tc>
        <w:tc>
          <w:tcPr>
            <w:tcW w:w="1166" w:type="pct"/>
          </w:tcPr>
          <w:p w14:paraId="6461D8D2" w14:textId="77777777" w:rsidR="002831B9" w:rsidRPr="00190AF8" w:rsidRDefault="002831B9" w:rsidP="00E92353">
            <w:pPr>
              <w:pStyle w:val="Compact"/>
              <w:jc w:val="center"/>
              <w:rPr>
                <w:b/>
                <w:bCs/>
                <w:sz w:val="18"/>
                <w:szCs w:val="18"/>
                <w:lang w:val="en-ZA"/>
              </w:rPr>
            </w:pPr>
          </w:p>
        </w:tc>
        <w:tc>
          <w:tcPr>
            <w:tcW w:w="1000" w:type="pct"/>
          </w:tcPr>
          <w:p w14:paraId="18C7D957" w14:textId="77777777" w:rsidR="002831B9" w:rsidRPr="00190AF8" w:rsidRDefault="002831B9" w:rsidP="00E92353">
            <w:pPr>
              <w:pStyle w:val="Compact"/>
              <w:jc w:val="center"/>
              <w:rPr>
                <w:b/>
                <w:bCs/>
                <w:sz w:val="18"/>
                <w:szCs w:val="18"/>
                <w:lang w:val="en-ZA"/>
              </w:rPr>
            </w:pPr>
          </w:p>
        </w:tc>
      </w:tr>
      <w:tr w:rsidR="00771D66" w:rsidRPr="00036590" w14:paraId="2C31B4D3" w14:textId="77777777" w:rsidTr="00190AF8">
        <w:tc>
          <w:tcPr>
            <w:tcW w:w="1597" w:type="pct"/>
          </w:tcPr>
          <w:p w14:paraId="550CB9B9" w14:textId="77777777" w:rsidR="00771D66" w:rsidRPr="00771D66" w:rsidRDefault="00771D66" w:rsidP="00E92353">
            <w:pPr>
              <w:pStyle w:val="Compact"/>
              <w:rPr>
                <w:sz w:val="18"/>
                <w:szCs w:val="18"/>
              </w:rPr>
            </w:pPr>
            <w:r w:rsidRPr="00771D66">
              <w:rPr>
                <w:sz w:val="18"/>
                <w:szCs w:val="18"/>
              </w:rPr>
              <w:t>Variable</w:t>
            </w:r>
          </w:p>
        </w:tc>
        <w:tc>
          <w:tcPr>
            <w:tcW w:w="1237" w:type="pct"/>
          </w:tcPr>
          <w:p w14:paraId="643DD3A8" w14:textId="77777777" w:rsidR="00771D66" w:rsidRPr="00771D66" w:rsidRDefault="00771D66" w:rsidP="00E92353">
            <w:pPr>
              <w:pStyle w:val="Compact"/>
              <w:jc w:val="center"/>
              <w:rPr>
                <w:sz w:val="18"/>
                <w:szCs w:val="18"/>
              </w:rPr>
            </w:pPr>
            <w:r w:rsidRPr="00771D66">
              <w:rPr>
                <w:b/>
                <w:bCs/>
                <w:sz w:val="18"/>
                <w:szCs w:val="18"/>
              </w:rPr>
              <w:t>Died without AI</w:t>
            </w:r>
            <w:r w:rsidRPr="00771D66">
              <w:rPr>
                <w:sz w:val="18"/>
                <w:szCs w:val="18"/>
              </w:rPr>
              <w:t>, N = 58</w:t>
            </w:r>
          </w:p>
        </w:tc>
        <w:tc>
          <w:tcPr>
            <w:tcW w:w="1166" w:type="pct"/>
          </w:tcPr>
          <w:p w14:paraId="32EDD1FD" w14:textId="77777777" w:rsidR="00771D66" w:rsidRPr="00771D66" w:rsidRDefault="00771D66" w:rsidP="00E92353">
            <w:pPr>
              <w:pStyle w:val="Compact"/>
              <w:jc w:val="center"/>
              <w:rPr>
                <w:sz w:val="18"/>
                <w:szCs w:val="18"/>
              </w:rPr>
            </w:pPr>
            <w:r w:rsidRPr="00771D66">
              <w:rPr>
                <w:b/>
                <w:bCs/>
                <w:sz w:val="18"/>
                <w:szCs w:val="18"/>
              </w:rPr>
              <w:t>Died with AI</w:t>
            </w:r>
            <w:r w:rsidRPr="00771D66">
              <w:rPr>
                <w:sz w:val="18"/>
                <w:szCs w:val="18"/>
              </w:rPr>
              <w:t>, N = 6</w:t>
            </w:r>
          </w:p>
        </w:tc>
        <w:tc>
          <w:tcPr>
            <w:tcW w:w="1000" w:type="pct"/>
          </w:tcPr>
          <w:p w14:paraId="689D9759" w14:textId="77777777" w:rsidR="00771D66" w:rsidRPr="00771D66" w:rsidRDefault="00771D66" w:rsidP="00E92353">
            <w:pPr>
              <w:pStyle w:val="Compact"/>
              <w:jc w:val="center"/>
              <w:rPr>
                <w:sz w:val="18"/>
                <w:szCs w:val="18"/>
              </w:rPr>
            </w:pPr>
            <w:r w:rsidRPr="00977025">
              <w:rPr>
                <w:b/>
                <w:bCs/>
                <w:i/>
                <w:iCs/>
                <w:sz w:val="18"/>
                <w:szCs w:val="18"/>
              </w:rPr>
              <w:t>p</w:t>
            </w:r>
            <w:r w:rsidRPr="00771D66">
              <w:rPr>
                <w:b/>
                <w:bCs/>
                <w:sz w:val="18"/>
                <w:szCs w:val="18"/>
              </w:rPr>
              <w:t>-value</w:t>
            </w:r>
          </w:p>
        </w:tc>
      </w:tr>
      <w:tr w:rsidR="00771D66" w:rsidRPr="00036590" w14:paraId="71889A0A"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09F2C9B0" w14:textId="77777777" w:rsidR="00771D66" w:rsidRPr="00771D66" w:rsidRDefault="00771D66" w:rsidP="00E92353">
            <w:pPr>
              <w:pStyle w:val="Compact"/>
              <w:rPr>
                <w:sz w:val="18"/>
                <w:szCs w:val="18"/>
              </w:rPr>
            </w:pPr>
            <w:r w:rsidRPr="00771D66">
              <w:rPr>
                <w:b/>
                <w:bCs/>
                <w:sz w:val="18"/>
                <w:szCs w:val="18"/>
              </w:rPr>
              <w:t>Age at enrolment median (</w:t>
            </w:r>
            <w:proofErr w:type="spellStart"/>
            <w:r w:rsidRPr="00771D66">
              <w:rPr>
                <w:b/>
                <w:bCs/>
                <w:sz w:val="18"/>
                <w:szCs w:val="18"/>
              </w:rPr>
              <w:t>IQR</w:t>
            </w:r>
            <w:proofErr w:type="spellEnd"/>
            <w:r w:rsidRPr="00771D66">
              <w:rPr>
                <w:b/>
                <w:bCs/>
                <w:sz w:val="18"/>
                <w:szCs w:val="18"/>
              </w:rPr>
              <w:t>) (years)</w:t>
            </w:r>
          </w:p>
        </w:tc>
        <w:tc>
          <w:tcPr>
            <w:tcW w:w="1237" w:type="pct"/>
          </w:tcPr>
          <w:p w14:paraId="42301FE8" w14:textId="77777777" w:rsidR="00771D66" w:rsidRPr="00771D66" w:rsidRDefault="00771D66" w:rsidP="00E92353">
            <w:pPr>
              <w:pStyle w:val="Compact"/>
              <w:jc w:val="center"/>
              <w:rPr>
                <w:sz w:val="18"/>
                <w:szCs w:val="18"/>
              </w:rPr>
            </w:pPr>
            <w:r w:rsidRPr="00771D66">
              <w:rPr>
                <w:sz w:val="18"/>
                <w:szCs w:val="18"/>
              </w:rPr>
              <w:t>39 (33, 45)</w:t>
            </w:r>
          </w:p>
        </w:tc>
        <w:tc>
          <w:tcPr>
            <w:tcW w:w="1166" w:type="pct"/>
          </w:tcPr>
          <w:p w14:paraId="4B44DF3F" w14:textId="77777777" w:rsidR="00771D66" w:rsidRPr="00771D66" w:rsidRDefault="00771D66" w:rsidP="00E92353">
            <w:pPr>
              <w:pStyle w:val="Compact"/>
              <w:jc w:val="center"/>
              <w:rPr>
                <w:sz w:val="18"/>
                <w:szCs w:val="18"/>
              </w:rPr>
            </w:pPr>
            <w:r w:rsidRPr="00771D66">
              <w:rPr>
                <w:sz w:val="18"/>
                <w:szCs w:val="18"/>
              </w:rPr>
              <w:t>41 (33, 46)</w:t>
            </w:r>
          </w:p>
        </w:tc>
        <w:tc>
          <w:tcPr>
            <w:tcW w:w="1000" w:type="pct"/>
          </w:tcPr>
          <w:p w14:paraId="2C35572B" w14:textId="77777777" w:rsidR="00771D66" w:rsidRPr="00771D66" w:rsidRDefault="00771D66" w:rsidP="00E92353">
            <w:pPr>
              <w:pStyle w:val="Compact"/>
              <w:jc w:val="center"/>
              <w:rPr>
                <w:sz w:val="18"/>
                <w:szCs w:val="18"/>
              </w:rPr>
            </w:pPr>
            <w:r w:rsidRPr="00771D66">
              <w:rPr>
                <w:sz w:val="18"/>
                <w:szCs w:val="18"/>
              </w:rPr>
              <w:t>0.7</w:t>
            </w:r>
          </w:p>
        </w:tc>
      </w:tr>
      <w:tr w:rsidR="00771D66" w:rsidRPr="00036590" w14:paraId="5D42B86C" w14:textId="77777777" w:rsidTr="00190AF8">
        <w:tc>
          <w:tcPr>
            <w:tcW w:w="1597" w:type="pct"/>
          </w:tcPr>
          <w:p w14:paraId="208A706A" w14:textId="77777777" w:rsidR="00771D66" w:rsidRPr="00771D66" w:rsidRDefault="00771D66" w:rsidP="00E92353">
            <w:pPr>
              <w:pStyle w:val="Compact"/>
              <w:rPr>
                <w:sz w:val="18"/>
                <w:szCs w:val="18"/>
              </w:rPr>
            </w:pPr>
            <w:r w:rsidRPr="00771D66">
              <w:rPr>
                <w:b/>
                <w:bCs/>
                <w:sz w:val="18"/>
                <w:szCs w:val="18"/>
              </w:rPr>
              <w:t xml:space="preserve">Gender, </w:t>
            </w:r>
            <w:proofErr w:type="gramStart"/>
            <w:r w:rsidRPr="00771D66">
              <w:rPr>
                <w:b/>
                <w:bCs/>
                <w:sz w:val="18"/>
                <w:szCs w:val="18"/>
              </w:rPr>
              <w:t>n(</w:t>
            </w:r>
            <w:proofErr w:type="gramEnd"/>
            <w:r w:rsidRPr="00771D66">
              <w:rPr>
                <w:b/>
                <w:bCs/>
                <w:sz w:val="18"/>
                <w:szCs w:val="18"/>
              </w:rPr>
              <w:t>%)</w:t>
            </w:r>
          </w:p>
        </w:tc>
        <w:tc>
          <w:tcPr>
            <w:tcW w:w="1237" w:type="pct"/>
          </w:tcPr>
          <w:p w14:paraId="7A0752DE" w14:textId="77777777" w:rsidR="00771D66" w:rsidRPr="00771D66" w:rsidRDefault="00771D66" w:rsidP="00E92353">
            <w:pPr>
              <w:pStyle w:val="Compact"/>
              <w:rPr>
                <w:sz w:val="18"/>
                <w:szCs w:val="18"/>
              </w:rPr>
            </w:pPr>
          </w:p>
        </w:tc>
        <w:tc>
          <w:tcPr>
            <w:tcW w:w="1166" w:type="pct"/>
          </w:tcPr>
          <w:p w14:paraId="06030FFB" w14:textId="77777777" w:rsidR="00771D66" w:rsidRPr="00771D66" w:rsidRDefault="00771D66" w:rsidP="00E92353">
            <w:pPr>
              <w:pStyle w:val="Compact"/>
              <w:rPr>
                <w:sz w:val="18"/>
                <w:szCs w:val="18"/>
              </w:rPr>
            </w:pPr>
          </w:p>
        </w:tc>
        <w:tc>
          <w:tcPr>
            <w:tcW w:w="1000" w:type="pct"/>
          </w:tcPr>
          <w:p w14:paraId="3E88B0ED"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6C327545"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63A9DDDA" w14:textId="77777777" w:rsidR="00771D66" w:rsidRPr="00771D66" w:rsidRDefault="00771D66" w:rsidP="00E92353">
            <w:pPr>
              <w:pStyle w:val="Compact"/>
              <w:rPr>
                <w:sz w:val="18"/>
                <w:szCs w:val="18"/>
              </w:rPr>
            </w:pPr>
            <w:r w:rsidRPr="00771D66">
              <w:rPr>
                <w:sz w:val="18"/>
                <w:szCs w:val="18"/>
              </w:rPr>
              <w:t>Female</w:t>
            </w:r>
          </w:p>
        </w:tc>
        <w:tc>
          <w:tcPr>
            <w:tcW w:w="1237" w:type="pct"/>
          </w:tcPr>
          <w:p w14:paraId="06B0CD24" w14:textId="77777777" w:rsidR="00771D66" w:rsidRPr="00771D66" w:rsidRDefault="00771D66" w:rsidP="00E92353">
            <w:pPr>
              <w:pStyle w:val="Compact"/>
              <w:jc w:val="center"/>
              <w:rPr>
                <w:sz w:val="18"/>
                <w:szCs w:val="18"/>
              </w:rPr>
            </w:pPr>
            <w:r w:rsidRPr="00771D66">
              <w:rPr>
                <w:sz w:val="18"/>
                <w:szCs w:val="18"/>
              </w:rPr>
              <w:t>32 (55.2%)</w:t>
            </w:r>
          </w:p>
        </w:tc>
        <w:tc>
          <w:tcPr>
            <w:tcW w:w="1166" w:type="pct"/>
          </w:tcPr>
          <w:p w14:paraId="47BA827E" w14:textId="77777777" w:rsidR="00771D66" w:rsidRPr="00771D66" w:rsidRDefault="00771D66" w:rsidP="00E92353">
            <w:pPr>
              <w:pStyle w:val="Compact"/>
              <w:jc w:val="center"/>
              <w:rPr>
                <w:sz w:val="18"/>
                <w:szCs w:val="18"/>
              </w:rPr>
            </w:pPr>
            <w:r w:rsidRPr="00771D66">
              <w:rPr>
                <w:sz w:val="18"/>
                <w:szCs w:val="18"/>
              </w:rPr>
              <w:t>3 (50.0%)</w:t>
            </w:r>
          </w:p>
        </w:tc>
        <w:tc>
          <w:tcPr>
            <w:tcW w:w="1000" w:type="pct"/>
          </w:tcPr>
          <w:p w14:paraId="592D0040" w14:textId="77777777" w:rsidR="00771D66" w:rsidRPr="00771D66" w:rsidRDefault="00771D66" w:rsidP="00E92353">
            <w:pPr>
              <w:pStyle w:val="Compact"/>
              <w:rPr>
                <w:sz w:val="18"/>
                <w:szCs w:val="18"/>
              </w:rPr>
            </w:pPr>
          </w:p>
        </w:tc>
      </w:tr>
      <w:tr w:rsidR="00771D66" w:rsidRPr="00036590" w14:paraId="0CF507E8" w14:textId="77777777" w:rsidTr="00190AF8">
        <w:tc>
          <w:tcPr>
            <w:tcW w:w="1597" w:type="pct"/>
          </w:tcPr>
          <w:p w14:paraId="66C9C011" w14:textId="77777777" w:rsidR="00771D66" w:rsidRPr="00771D66" w:rsidRDefault="00771D66" w:rsidP="00E92353">
            <w:pPr>
              <w:pStyle w:val="Compact"/>
              <w:rPr>
                <w:sz w:val="18"/>
                <w:szCs w:val="18"/>
              </w:rPr>
            </w:pPr>
            <w:r w:rsidRPr="00771D66">
              <w:rPr>
                <w:sz w:val="18"/>
                <w:szCs w:val="18"/>
              </w:rPr>
              <w:t>Male</w:t>
            </w:r>
          </w:p>
        </w:tc>
        <w:tc>
          <w:tcPr>
            <w:tcW w:w="1237" w:type="pct"/>
          </w:tcPr>
          <w:p w14:paraId="64DA2A82" w14:textId="77777777" w:rsidR="00771D66" w:rsidRPr="00771D66" w:rsidRDefault="00771D66" w:rsidP="00E92353">
            <w:pPr>
              <w:pStyle w:val="Compact"/>
              <w:jc w:val="center"/>
              <w:rPr>
                <w:sz w:val="18"/>
                <w:szCs w:val="18"/>
              </w:rPr>
            </w:pPr>
            <w:r w:rsidRPr="00771D66">
              <w:rPr>
                <w:sz w:val="18"/>
                <w:szCs w:val="18"/>
              </w:rPr>
              <w:t>26 (44.8%)</w:t>
            </w:r>
          </w:p>
        </w:tc>
        <w:tc>
          <w:tcPr>
            <w:tcW w:w="1166" w:type="pct"/>
          </w:tcPr>
          <w:p w14:paraId="209DB15E" w14:textId="77777777" w:rsidR="00771D66" w:rsidRPr="00771D66" w:rsidRDefault="00771D66" w:rsidP="00E92353">
            <w:pPr>
              <w:pStyle w:val="Compact"/>
              <w:jc w:val="center"/>
              <w:rPr>
                <w:sz w:val="18"/>
                <w:szCs w:val="18"/>
              </w:rPr>
            </w:pPr>
            <w:r w:rsidRPr="00771D66">
              <w:rPr>
                <w:sz w:val="18"/>
                <w:szCs w:val="18"/>
              </w:rPr>
              <w:t>3 (50.0%)</w:t>
            </w:r>
          </w:p>
        </w:tc>
        <w:tc>
          <w:tcPr>
            <w:tcW w:w="1000" w:type="pct"/>
          </w:tcPr>
          <w:p w14:paraId="5CAA2B74" w14:textId="77777777" w:rsidR="00771D66" w:rsidRPr="00771D66" w:rsidRDefault="00771D66" w:rsidP="00E92353">
            <w:pPr>
              <w:pStyle w:val="Compact"/>
              <w:rPr>
                <w:sz w:val="18"/>
                <w:szCs w:val="18"/>
              </w:rPr>
            </w:pPr>
          </w:p>
        </w:tc>
      </w:tr>
      <w:tr w:rsidR="00771D66" w:rsidRPr="00036590" w14:paraId="61E89980"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2F3D0F1F" w14:textId="77777777" w:rsidR="00771D66" w:rsidRPr="00771D66" w:rsidRDefault="00771D66" w:rsidP="00E92353">
            <w:pPr>
              <w:pStyle w:val="Compact"/>
              <w:rPr>
                <w:sz w:val="18"/>
                <w:szCs w:val="18"/>
              </w:rPr>
            </w:pPr>
            <w:r w:rsidRPr="00771D66">
              <w:rPr>
                <w:sz w:val="18"/>
                <w:szCs w:val="18"/>
              </w:rPr>
              <w:t>Unknown</w:t>
            </w:r>
          </w:p>
        </w:tc>
        <w:tc>
          <w:tcPr>
            <w:tcW w:w="1237" w:type="pct"/>
          </w:tcPr>
          <w:p w14:paraId="5479E8CF"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63E53127"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6A9B8AD8" w14:textId="77777777" w:rsidR="00771D66" w:rsidRPr="00771D66" w:rsidRDefault="00771D66" w:rsidP="00E92353">
            <w:pPr>
              <w:pStyle w:val="Compact"/>
              <w:rPr>
                <w:sz w:val="18"/>
                <w:szCs w:val="18"/>
              </w:rPr>
            </w:pPr>
          </w:p>
        </w:tc>
      </w:tr>
      <w:tr w:rsidR="00771D66" w:rsidRPr="00036590" w14:paraId="6395C99C" w14:textId="77777777" w:rsidTr="00190AF8">
        <w:tc>
          <w:tcPr>
            <w:tcW w:w="1597" w:type="pct"/>
          </w:tcPr>
          <w:p w14:paraId="3355B6F7" w14:textId="77777777" w:rsidR="00771D66" w:rsidRPr="00771D66" w:rsidRDefault="00771D66" w:rsidP="00E92353">
            <w:pPr>
              <w:pStyle w:val="Compact"/>
              <w:rPr>
                <w:sz w:val="18"/>
                <w:szCs w:val="18"/>
              </w:rPr>
            </w:pPr>
            <w:r w:rsidRPr="00771D66">
              <w:rPr>
                <w:b/>
                <w:bCs/>
                <w:sz w:val="18"/>
                <w:szCs w:val="18"/>
              </w:rPr>
              <w:t xml:space="preserve">Ethnicity, </w:t>
            </w:r>
            <w:proofErr w:type="gramStart"/>
            <w:r w:rsidRPr="00771D66">
              <w:rPr>
                <w:b/>
                <w:bCs/>
                <w:sz w:val="18"/>
                <w:szCs w:val="18"/>
              </w:rPr>
              <w:t>n(</w:t>
            </w:r>
            <w:proofErr w:type="gramEnd"/>
            <w:r w:rsidRPr="00771D66">
              <w:rPr>
                <w:b/>
                <w:bCs/>
                <w:sz w:val="18"/>
                <w:szCs w:val="18"/>
              </w:rPr>
              <w:t>%)</w:t>
            </w:r>
          </w:p>
        </w:tc>
        <w:tc>
          <w:tcPr>
            <w:tcW w:w="1237" w:type="pct"/>
          </w:tcPr>
          <w:p w14:paraId="7A58F80B" w14:textId="77777777" w:rsidR="00771D66" w:rsidRPr="00771D66" w:rsidRDefault="00771D66" w:rsidP="00E92353">
            <w:pPr>
              <w:pStyle w:val="Compact"/>
              <w:rPr>
                <w:sz w:val="18"/>
                <w:szCs w:val="18"/>
              </w:rPr>
            </w:pPr>
          </w:p>
        </w:tc>
        <w:tc>
          <w:tcPr>
            <w:tcW w:w="1166" w:type="pct"/>
          </w:tcPr>
          <w:p w14:paraId="4230C7CA" w14:textId="77777777" w:rsidR="00771D66" w:rsidRPr="00771D66" w:rsidRDefault="00771D66" w:rsidP="00E92353">
            <w:pPr>
              <w:pStyle w:val="Compact"/>
              <w:rPr>
                <w:sz w:val="18"/>
                <w:szCs w:val="18"/>
              </w:rPr>
            </w:pPr>
          </w:p>
        </w:tc>
        <w:tc>
          <w:tcPr>
            <w:tcW w:w="1000" w:type="pct"/>
          </w:tcPr>
          <w:p w14:paraId="646D6BB8"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7AAA2C0E"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046461E8" w14:textId="77777777" w:rsidR="00771D66" w:rsidRPr="00771D66" w:rsidRDefault="00771D66" w:rsidP="00E92353">
            <w:pPr>
              <w:pStyle w:val="Compact"/>
              <w:rPr>
                <w:sz w:val="18"/>
                <w:szCs w:val="18"/>
              </w:rPr>
            </w:pPr>
            <w:r w:rsidRPr="00771D66">
              <w:rPr>
                <w:sz w:val="18"/>
                <w:szCs w:val="18"/>
              </w:rPr>
              <w:t>Black African</w:t>
            </w:r>
          </w:p>
        </w:tc>
        <w:tc>
          <w:tcPr>
            <w:tcW w:w="1237" w:type="pct"/>
          </w:tcPr>
          <w:p w14:paraId="1A0CBAE7" w14:textId="77777777" w:rsidR="00771D66" w:rsidRPr="00771D66" w:rsidRDefault="00771D66" w:rsidP="00E92353">
            <w:pPr>
              <w:pStyle w:val="Compact"/>
              <w:jc w:val="center"/>
              <w:rPr>
                <w:sz w:val="18"/>
                <w:szCs w:val="18"/>
              </w:rPr>
            </w:pPr>
            <w:r w:rsidRPr="00771D66">
              <w:rPr>
                <w:sz w:val="18"/>
                <w:szCs w:val="18"/>
              </w:rPr>
              <w:t>50 (86.2%)</w:t>
            </w:r>
          </w:p>
        </w:tc>
        <w:tc>
          <w:tcPr>
            <w:tcW w:w="1166" w:type="pct"/>
          </w:tcPr>
          <w:p w14:paraId="756AFD8A" w14:textId="77777777" w:rsidR="00771D66" w:rsidRPr="00771D66" w:rsidRDefault="00771D66" w:rsidP="00E92353">
            <w:pPr>
              <w:pStyle w:val="Compact"/>
              <w:jc w:val="center"/>
              <w:rPr>
                <w:sz w:val="18"/>
                <w:szCs w:val="18"/>
              </w:rPr>
            </w:pPr>
            <w:r w:rsidRPr="00771D66">
              <w:rPr>
                <w:sz w:val="18"/>
                <w:szCs w:val="18"/>
              </w:rPr>
              <w:t>4 (66.7%)</w:t>
            </w:r>
          </w:p>
        </w:tc>
        <w:tc>
          <w:tcPr>
            <w:tcW w:w="1000" w:type="pct"/>
          </w:tcPr>
          <w:p w14:paraId="248D9E3B" w14:textId="77777777" w:rsidR="00771D66" w:rsidRPr="00771D66" w:rsidRDefault="00771D66" w:rsidP="00E92353">
            <w:pPr>
              <w:pStyle w:val="Compact"/>
              <w:rPr>
                <w:sz w:val="18"/>
                <w:szCs w:val="18"/>
              </w:rPr>
            </w:pPr>
          </w:p>
        </w:tc>
      </w:tr>
      <w:tr w:rsidR="00771D66" w:rsidRPr="00036590" w14:paraId="7DB2DBE0" w14:textId="77777777" w:rsidTr="00190AF8">
        <w:tc>
          <w:tcPr>
            <w:tcW w:w="1597" w:type="pct"/>
          </w:tcPr>
          <w:p w14:paraId="6D691A62" w14:textId="77777777" w:rsidR="00771D66" w:rsidRPr="00771D66" w:rsidRDefault="00771D66" w:rsidP="00E92353">
            <w:pPr>
              <w:pStyle w:val="Compact"/>
              <w:rPr>
                <w:sz w:val="18"/>
                <w:szCs w:val="18"/>
              </w:rPr>
            </w:pPr>
            <w:r w:rsidRPr="00771D66">
              <w:rPr>
                <w:sz w:val="18"/>
                <w:szCs w:val="18"/>
              </w:rPr>
              <w:t>Other</w:t>
            </w:r>
          </w:p>
        </w:tc>
        <w:tc>
          <w:tcPr>
            <w:tcW w:w="1237" w:type="pct"/>
          </w:tcPr>
          <w:p w14:paraId="742600D5" w14:textId="77777777" w:rsidR="00771D66" w:rsidRPr="00771D66" w:rsidRDefault="00771D66" w:rsidP="00E92353">
            <w:pPr>
              <w:pStyle w:val="Compact"/>
              <w:jc w:val="center"/>
              <w:rPr>
                <w:sz w:val="18"/>
                <w:szCs w:val="18"/>
              </w:rPr>
            </w:pPr>
            <w:r w:rsidRPr="00771D66">
              <w:rPr>
                <w:sz w:val="18"/>
                <w:szCs w:val="18"/>
              </w:rPr>
              <w:t>8 (13.8%)</w:t>
            </w:r>
          </w:p>
        </w:tc>
        <w:tc>
          <w:tcPr>
            <w:tcW w:w="1166" w:type="pct"/>
          </w:tcPr>
          <w:p w14:paraId="70FAE67C" w14:textId="77777777" w:rsidR="00771D66" w:rsidRPr="00771D66" w:rsidRDefault="00771D66" w:rsidP="00E92353">
            <w:pPr>
              <w:pStyle w:val="Compact"/>
              <w:jc w:val="center"/>
              <w:rPr>
                <w:sz w:val="18"/>
                <w:szCs w:val="18"/>
              </w:rPr>
            </w:pPr>
            <w:r w:rsidRPr="00771D66">
              <w:rPr>
                <w:sz w:val="18"/>
                <w:szCs w:val="18"/>
              </w:rPr>
              <w:t>2 (33.3%)</w:t>
            </w:r>
          </w:p>
        </w:tc>
        <w:tc>
          <w:tcPr>
            <w:tcW w:w="1000" w:type="pct"/>
          </w:tcPr>
          <w:p w14:paraId="64690DAB" w14:textId="77777777" w:rsidR="00771D66" w:rsidRPr="00771D66" w:rsidRDefault="00771D66" w:rsidP="00E92353">
            <w:pPr>
              <w:pStyle w:val="Compact"/>
              <w:rPr>
                <w:sz w:val="18"/>
                <w:szCs w:val="18"/>
              </w:rPr>
            </w:pPr>
          </w:p>
        </w:tc>
      </w:tr>
      <w:tr w:rsidR="00771D66" w:rsidRPr="00036590" w14:paraId="38ACA4AD"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51AA2991" w14:textId="77777777" w:rsidR="00771D66" w:rsidRPr="00771D66" w:rsidRDefault="00771D66" w:rsidP="00E92353">
            <w:pPr>
              <w:pStyle w:val="Compact"/>
              <w:rPr>
                <w:sz w:val="18"/>
                <w:szCs w:val="18"/>
              </w:rPr>
            </w:pPr>
            <w:r w:rsidRPr="00771D66">
              <w:rPr>
                <w:b/>
                <w:bCs/>
                <w:sz w:val="18"/>
                <w:szCs w:val="18"/>
              </w:rPr>
              <w:t>Duration of current illness, median (</w:t>
            </w:r>
            <w:proofErr w:type="spellStart"/>
            <w:r w:rsidRPr="00771D66">
              <w:rPr>
                <w:b/>
                <w:bCs/>
                <w:sz w:val="18"/>
                <w:szCs w:val="18"/>
              </w:rPr>
              <w:t>IQR</w:t>
            </w:r>
            <w:proofErr w:type="spellEnd"/>
            <w:r w:rsidRPr="00771D66">
              <w:rPr>
                <w:b/>
                <w:bCs/>
                <w:sz w:val="18"/>
                <w:szCs w:val="18"/>
              </w:rPr>
              <w:t>) (days)</w:t>
            </w:r>
          </w:p>
        </w:tc>
        <w:tc>
          <w:tcPr>
            <w:tcW w:w="1237" w:type="pct"/>
          </w:tcPr>
          <w:p w14:paraId="08098FFF" w14:textId="77777777" w:rsidR="00771D66" w:rsidRPr="00771D66" w:rsidRDefault="00771D66" w:rsidP="00E92353">
            <w:pPr>
              <w:pStyle w:val="Compact"/>
              <w:jc w:val="center"/>
              <w:rPr>
                <w:sz w:val="18"/>
                <w:szCs w:val="18"/>
              </w:rPr>
            </w:pPr>
            <w:r w:rsidRPr="00771D66">
              <w:rPr>
                <w:sz w:val="18"/>
                <w:szCs w:val="18"/>
              </w:rPr>
              <w:t>NA (NA, NA)</w:t>
            </w:r>
          </w:p>
        </w:tc>
        <w:tc>
          <w:tcPr>
            <w:tcW w:w="1166" w:type="pct"/>
          </w:tcPr>
          <w:p w14:paraId="71E5E7D3" w14:textId="77777777" w:rsidR="00771D66" w:rsidRPr="00771D66" w:rsidRDefault="00771D66" w:rsidP="00E92353">
            <w:pPr>
              <w:pStyle w:val="Compact"/>
              <w:jc w:val="center"/>
              <w:rPr>
                <w:sz w:val="18"/>
                <w:szCs w:val="18"/>
              </w:rPr>
            </w:pPr>
            <w:r w:rsidRPr="00771D66">
              <w:rPr>
                <w:sz w:val="18"/>
                <w:szCs w:val="18"/>
              </w:rPr>
              <w:t>NA (NA, NA)</w:t>
            </w:r>
          </w:p>
        </w:tc>
        <w:tc>
          <w:tcPr>
            <w:tcW w:w="1000" w:type="pct"/>
          </w:tcPr>
          <w:p w14:paraId="1BFB80B7" w14:textId="77777777" w:rsidR="00771D66" w:rsidRPr="00771D66" w:rsidRDefault="00771D66" w:rsidP="00E92353">
            <w:pPr>
              <w:pStyle w:val="Compact"/>
              <w:rPr>
                <w:sz w:val="18"/>
                <w:szCs w:val="18"/>
              </w:rPr>
            </w:pPr>
          </w:p>
        </w:tc>
      </w:tr>
      <w:tr w:rsidR="00771D66" w:rsidRPr="00036590" w14:paraId="0AB59900" w14:textId="77777777" w:rsidTr="00190AF8">
        <w:tc>
          <w:tcPr>
            <w:tcW w:w="1597" w:type="pct"/>
          </w:tcPr>
          <w:p w14:paraId="52365D88" w14:textId="77777777" w:rsidR="00771D66" w:rsidRPr="000F43EF" w:rsidRDefault="00771D66" w:rsidP="00E92353">
            <w:pPr>
              <w:pStyle w:val="Compact"/>
              <w:rPr>
                <w:sz w:val="18"/>
                <w:szCs w:val="18"/>
                <w:highlight w:val="yellow"/>
              </w:rPr>
            </w:pPr>
            <w:bookmarkStart w:id="19" w:name="_Hlk168415838"/>
            <w:r w:rsidRPr="000F43EF">
              <w:rPr>
                <w:b/>
                <w:bCs/>
                <w:sz w:val="18"/>
                <w:szCs w:val="18"/>
                <w:highlight w:val="yellow"/>
              </w:rPr>
              <w:t>Random cortisol</w:t>
            </w:r>
          </w:p>
        </w:tc>
        <w:tc>
          <w:tcPr>
            <w:tcW w:w="1237" w:type="pct"/>
          </w:tcPr>
          <w:p w14:paraId="0AAF1EB3" w14:textId="77777777" w:rsidR="00771D66" w:rsidRPr="000F43EF" w:rsidRDefault="00771D66" w:rsidP="00E92353">
            <w:pPr>
              <w:pStyle w:val="Compact"/>
              <w:jc w:val="center"/>
              <w:rPr>
                <w:sz w:val="18"/>
                <w:szCs w:val="18"/>
                <w:highlight w:val="yellow"/>
              </w:rPr>
            </w:pPr>
            <w:r w:rsidRPr="000F43EF">
              <w:rPr>
                <w:sz w:val="18"/>
                <w:szCs w:val="18"/>
                <w:highlight w:val="yellow"/>
              </w:rPr>
              <w:t>481 (369, 616)</w:t>
            </w:r>
          </w:p>
        </w:tc>
        <w:tc>
          <w:tcPr>
            <w:tcW w:w="1166" w:type="pct"/>
          </w:tcPr>
          <w:p w14:paraId="7B3968E7" w14:textId="77777777" w:rsidR="00771D66" w:rsidRPr="000F43EF" w:rsidRDefault="00771D66" w:rsidP="00E92353">
            <w:pPr>
              <w:pStyle w:val="Compact"/>
              <w:jc w:val="center"/>
              <w:rPr>
                <w:sz w:val="18"/>
                <w:szCs w:val="18"/>
                <w:highlight w:val="yellow"/>
              </w:rPr>
            </w:pPr>
            <w:r w:rsidRPr="000F43EF">
              <w:rPr>
                <w:sz w:val="18"/>
                <w:szCs w:val="18"/>
                <w:highlight w:val="yellow"/>
              </w:rPr>
              <w:t>307 (262, 336)</w:t>
            </w:r>
          </w:p>
        </w:tc>
        <w:tc>
          <w:tcPr>
            <w:tcW w:w="1000" w:type="pct"/>
          </w:tcPr>
          <w:p w14:paraId="647A68BE" w14:textId="77777777" w:rsidR="00771D66" w:rsidRPr="000F43EF" w:rsidRDefault="00771D66" w:rsidP="00E92353">
            <w:pPr>
              <w:pStyle w:val="Compact"/>
              <w:jc w:val="center"/>
              <w:rPr>
                <w:b/>
                <w:bCs/>
                <w:sz w:val="18"/>
                <w:szCs w:val="18"/>
                <w:highlight w:val="yellow"/>
              </w:rPr>
            </w:pPr>
            <w:r w:rsidRPr="000F43EF">
              <w:rPr>
                <w:b/>
                <w:bCs/>
                <w:sz w:val="18"/>
                <w:szCs w:val="18"/>
                <w:highlight w:val="yellow"/>
              </w:rPr>
              <w:t>0.003</w:t>
            </w:r>
          </w:p>
        </w:tc>
      </w:tr>
      <w:tr w:rsidR="00771D66" w:rsidRPr="00036590" w14:paraId="7607CEDC"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73BB495F" w14:textId="77777777" w:rsidR="00771D66" w:rsidRPr="000F43EF" w:rsidRDefault="00771D66" w:rsidP="00E92353">
            <w:pPr>
              <w:pStyle w:val="Compact"/>
              <w:rPr>
                <w:sz w:val="18"/>
                <w:szCs w:val="18"/>
                <w:highlight w:val="yellow"/>
              </w:rPr>
            </w:pPr>
            <w:r w:rsidRPr="000F43EF">
              <w:rPr>
                <w:b/>
                <w:bCs/>
                <w:sz w:val="18"/>
                <w:szCs w:val="18"/>
                <w:highlight w:val="yellow"/>
              </w:rPr>
              <w:t>Basal cortisol</w:t>
            </w:r>
          </w:p>
        </w:tc>
        <w:tc>
          <w:tcPr>
            <w:tcW w:w="1237" w:type="pct"/>
          </w:tcPr>
          <w:p w14:paraId="72FAC070" w14:textId="77777777" w:rsidR="00771D66" w:rsidRPr="000F43EF" w:rsidRDefault="00771D66" w:rsidP="00E92353">
            <w:pPr>
              <w:pStyle w:val="Compact"/>
              <w:jc w:val="center"/>
              <w:rPr>
                <w:sz w:val="18"/>
                <w:szCs w:val="18"/>
                <w:highlight w:val="yellow"/>
              </w:rPr>
            </w:pPr>
            <w:r w:rsidRPr="000F43EF">
              <w:rPr>
                <w:sz w:val="18"/>
                <w:szCs w:val="18"/>
                <w:highlight w:val="yellow"/>
              </w:rPr>
              <w:t>500 (433, 636)</w:t>
            </w:r>
          </w:p>
        </w:tc>
        <w:tc>
          <w:tcPr>
            <w:tcW w:w="1166" w:type="pct"/>
          </w:tcPr>
          <w:p w14:paraId="18B57D5B" w14:textId="77777777" w:rsidR="00771D66" w:rsidRPr="000F43EF" w:rsidRDefault="00771D66" w:rsidP="00E92353">
            <w:pPr>
              <w:pStyle w:val="Compact"/>
              <w:jc w:val="center"/>
              <w:rPr>
                <w:sz w:val="18"/>
                <w:szCs w:val="18"/>
                <w:highlight w:val="yellow"/>
              </w:rPr>
            </w:pPr>
            <w:r w:rsidRPr="000F43EF">
              <w:rPr>
                <w:sz w:val="18"/>
                <w:szCs w:val="18"/>
                <w:highlight w:val="yellow"/>
              </w:rPr>
              <w:t>308 (246, 365)</w:t>
            </w:r>
          </w:p>
        </w:tc>
        <w:tc>
          <w:tcPr>
            <w:tcW w:w="1000" w:type="pct"/>
          </w:tcPr>
          <w:p w14:paraId="0596B87F" w14:textId="77777777" w:rsidR="00771D66" w:rsidRPr="000F43EF" w:rsidRDefault="00771D66" w:rsidP="00E92353">
            <w:pPr>
              <w:pStyle w:val="Compact"/>
              <w:jc w:val="center"/>
              <w:rPr>
                <w:b/>
                <w:bCs/>
                <w:sz w:val="18"/>
                <w:szCs w:val="18"/>
                <w:highlight w:val="yellow"/>
              </w:rPr>
            </w:pPr>
            <w:r w:rsidRPr="000F43EF">
              <w:rPr>
                <w:b/>
                <w:bCs/>
                <w:sz w:val="18"/>
                <w:szCs w:val="18"/>
                <w:highlight w:val="yellow"/>
              </w:rPr>
              <w:t>&lt;0.001</w:t>
            </w:r>
          </w:p>
        </w:tc>
      </w:tr>
      <w:tr w:rsidR="00771D66" w:rsidRPr="00036590" w14:paraId="75F332B1" w14:textId="77777777" w:rsidTr="00190AF8">
        <w:tc>
          <w:tcPr>
            <w:tcW w:w="1597" w:type="pct"/>
          </w:tcPr>
          <w:p w14:paraId="2497C9EE" w14:textId="77777777" w:rsidR="00771D66" w:rsidRPr="000F43EF" w:rsidRDefault="00771D66" w:rsidP="00E92353">
            <w:pPr>
              <w:pStyle w:val="Compact"/>
              <w:rPr>
                <w:sz w:val="18"/>
                <w:szCs w:val="18"/>
                <w:highlight w:val="yellow"/>
              </w:rPr>
            </w:pPr>
            <w:r w:rsidRPr="000F43EF">
              <w:rPr>
                <w:b/>
                <w:bCs/>
                <w:sz w:val="18"/>
                <w:szCs w:val="18"/>
                <w:highlight w:val="yellow"/>
              </w:rPr>
              <w:t>Stimulated cortisol</w:t>
            </w:r>
          </w:p>
        </w:tc>
        <w:tc>
          <w:tcPr>
            <w:tcW w:w="1237" w:type="pct"/>
          </w:tcPr>
          <w:p w14:paraId="6E2A7A9D" w14:textId="77777777" w:rsidR="00771D66" w:rsidRPr="000F43EF" w:rsidRDefault="00771D66" w:rsidP="00E92353">
            <w:pPr>
              <w:pStyle w:val="Compact"/>
              <w:jc w:val="center"/>
              <w:rPr>
                <w:sz w:val="18"/>
                <w:szCs w:val="18"/>
                <w:highlight w:val="yellow"/>
              </w:rPr>
            </w:pPr>
            <w:r w:rsidRPr="000F43EF">
              <w:rPr>
                <w:sz w:val="18"/>
                <w:szCs w:val="18"/>
                <w:highlight w:val="yellow"/>
              </w:rPr>
              <w:t>795 (662, 890)</w:t>
            </w:r>
          </w:p>
        </w:tc>
        <w:tc>
          <w:tcPr>
            <w:tcW w:w="1166" w:type="pct"/>
          </w:tcPr>
          <w:p w14:paraId="6EAEB9FD" w14:textId="77777777" w:rsidR="00771D66" w:rsidRPr="000F43EF" w:rsidRDefault="00771D66" w:rsidP="00E92353">
            <w:pPr>
              <w:pStyle w:val="Compact"/>
              <w:jc w:val="center"/>
              <w:rPr>
                <w:sz w:val="18"/>
                <w:szCs w:val="18"/>
                <w:highlight w:val="yellow"/>
              </w:rPr>
            </w:pPr>
            <w:r w:rsidRPr="000F43EF">
              <w:rPr>
                <w:sz w:val="18"/>
                <w:szCs w:val="18"/>
                <w:highlight w:val="yellow"/>
              </w:rPr>
              <w:t>375 (338, 424)</w:t>
            </w:r>
          </w:p>
        </w:tc>
        <w:tc>
          <w:tcPr>
            <w:tcW w:w="1000" w:type="pct"/>
          </w:tcPr>
          <w:p w14:paraId="402220C3" w14:textId="77777777" w:rsidR="00771D66" w:rsidRPr="000F43EF" w:rsidRDefault="00771D66" w:rsidP="00E92353">
            <w:pPr>
              <w:pStyle w:val="Compact"/>
              <w:jc w:val="center"/>
              <w:rPr>
                <w:b/>
                <w:bCs/>
                <w:sz w:val="18"/>
                <w:szCs w:val="18"/>
                <w:highlight w:val="yellow"/>
              </w:rPr>
            </w:pPr>
            <w:r w:rsidRPr="000F43EF">
              <w:rPr>
                <w:b/>
                <w:bCs/>
                <w:sz w:val="18"/>
                <w:szCs w:val="18"/>
                <w:highlight w:val="yellow"/>
              </w:rPr>
              <w:t>&lt;0.001</w:t>
            </w:r>
          </w:p>
        </w:tc>
      </w:tr>
      <w:bookmarkEnd w:id="19"/>
      <w:tr w:rsidR="00771D66" w:rsidRPr="00036590" w14:paraId="76F3FFC0"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0DECA62B" w14:textId="77777777" w:rsidR="00771D66" w:rsidRPr="00771D66" w:rsidRDefault="00771D66" w:rsidP="00E92353">
            <w:pPr>
              <w:pStyle w:val="Compact"/>
              <w:rPr>
                <w:sz w:val="18"/>
                <w:szCs w:val="18"/>
              </w:rPr>
            </w:pPr>
            <w:r w:rsidRPr="00771D66">
              <w:rPr>
                <w:b/>
                <w:bCs/>
                <w:sz w:val="18"/>
                <w:szCs w:val="18"/>
              </w:rPr>
              <w:t>ACTH</w:t>
            </w:r>
          </w:p>
        </w:tc>
        <w:tc>
          <w:tcPr>
            <w:tcW w:w="1237" w:type="pct"/>
          </w:tcPr>
          <w:p w14:paraId="4AAF6875" w14:textId="77777777" w:rsidR="00771D66" w:rsidRPr="00771D66" w:rsidRDefault="00771D66" w:rsidP="00E92353">
            <w:pPr>
              <w:pStyle w:val="Compact"/>
              <w:jc w:val="center"/>
              <w:rPr>
                <w:sz w:val="18"/>
                <w:szCs w:val="18"/>
              </w:rPr>
            </w:pPr>
            <w:r w:rsidRPr="00771D66">
              <w:rPr>
                <w:sz w:val="18"/>
                <w:szCs w:val="18"/>
              </w:rPr>
              <w:t>40 (25, 59)</w:t>
            </w:r>
          </w:p>
        </w:tc>
        <w:tc>
          <w:tcPr>
            <w:tcW w:w="1166" w:type="pct"/>
          </w:tcPr>
          <w:p w14:paraId="46472A1E" w14:textId="77777777" w:rsidR="00771D66" w:rsidRPr="00771D66" w:rsidRDefault="00771D66" w:rsidP="00E92353">
            <w:pPr>
              <w:pStyle w:val="Compact"/>
              <w:jc w:val="center"/>
              <w:rPr>
                <w:sz w:val="18"/>
                <w:szCs w:val="18"/>
              </w:rPr>
            </w:pPr>
            <w:r w:rsidRPr="00771D66">
              <w:rPr>
                <w:sz w:val="18"/>
                <w:szCs w:val="18"/>
              </w:rPr>
              <w:t>42 (26, 78)</w:t>
            </w:r>
          </w:p>
        </w:tc>
        <w:tc>
          <w:tcPr>
            <w:tcW w:w="1000" w:type="pct"/>
          </w:tcPr>
          <w:p w14:paraId="3327A408" w14:textId="77777777" w:rsidR="00771D66" w:rsidRPr="00771D66" w:rsidRDefault="00771D66" w:rsidP="00E92353">
            <w:pPr>
              <w:pStyle w:val="Compact"/>
              <w:jc w:val="center"/>
              <w:rPr>
                <w:sz w:val="18"/>
                <w:szCs w:val="18"/>
              </w:rPr>
            </w:pPr>
            <w:r w:rsidRPr="00771D66">
              <w:rPr>
                <w:sz w:val="18"/>
                <w:szCs w:val="18"/>
              </w:rPr>
              <w:t>0.8</w:t>
            </w:r>
          </w:p>
        </w:tc>
      </w:tr>
      <w:tr w:rsidR="00771D66" w:rsidRPr="00036590" w14:paraId="7060D221" w14:textId="77777777" w:rsidTr="00190AF8">
        <w:tc>
          <w:tcPr>
            <w:tcW w:w="1597" w:type="pct"/>
          </w:tcPr>
          <w:p w14:paraId="09A76A61" w14:textId="77777777" w:rsidR="00771D66" w:rsidRPr="00771D66" w:rsidRDefault="00771D66" w:rsidP="00E92353">
            <w:pPr>
              <w:pStyle w:val="Compact"/>
              <w:rPr>
                <w:sz w:val="18"/>
                <w:szCs w:val="18"/>
              </w:rPr>
            </w:pPr>
            <w:r w:rsidRPr="00771D66">
              <w:rPr>
                <w:b/>
                <w:bCs/>
                <w:sz w:val="18"/>
                <w:szCs w:val="18"/>
              </w:rPr>
              <w:t>BP (systolic)</w:t>
            </w:r>
          </w:p>
        </w:tc>
        <w:tc>
          <w:tcPr>
            <w:tcW w:w="1237" w:type="pct"/>
          </w:tcPr>
          <w:p w14:paraId="76A8C7DA" w14:textId="77777777" w:rsidR="00771D66" w:rsidRPr="00771D66" w:rsidRDefault="00771D66" w:rsidP="00E92353">
            <w:pPr>
              <w:pStyle w:val="Compact"/>
              <w:jc w:val="center"/>
              <w:rPr>
                <w:sz w:val="18"/>
                <w:szCs w:val="18"/>
              </w:rPr>
            </w:pPr>
            <w:r w:rsidRPr="00771D66">
              <w:rPr>
                <w:sz w:val="18"/>
                <w:szCs w:val="18"/>
              </w:rPr>
              <w:t>110 (102, 120)</w:t>
            </w:r>
          </w:p>
        </w:tc>
        <w:tc>
          <w:tcPr>
            <w:tcW w:w="1166" w:type="pct"/>
          </w:tcPr>
          <w:p w14:paraId="4407F460" w14:textId="77777777" w:rsidR="00771D66" w:rsidRPr="00771D66" w:rsidRDefault="00771D66" w:rsidP="00E92353">
            <w:pPr>
              <w:pStyle w:val="Compact"/>
              <w:jc w:val="center"/>
              <w:rPr>
                <w:sz w:val="18"/>
                <w:szCs w:val="18"/>
              </w:rPr>
            </w:pPr>
            <w:r w:rsidRPr="00771D66">
              <w:rPr>
                <w:sz w:val="18"/>
                <w:szCs w:val="18"/>
              </w:rPr>
              <w:t>128 (122, 130)</w:t>
            </w:r>
          </w:p>
        </w:tc>
        <w:tc>
          <w:tcPr>
            <w:tcW w:w="1000" w:type="pct"/>
          </w:tcPr>
          <w:p w14:paraId="0036DC39" w14:textId="77777777" w:rsidR="00771D66" w:rsidRPr="00190AF8" w:rsidRDefault="00771D66" w:rsidP="00E92353">
            <w:pPr>
              <w:pStyle w:val="Compact"/>
              <w:jc w:val="center"/>
              <w:rPr>
                <w:b/>
                <w:bCs/>
                <w:sz w:val="18"/>
                <w:szCs w:val="18"/>
              </w:rPr>
            </w:pPr>
            <w:r w:rsidRPr="00190AF8">
              <w:rPr>
                <w:b/>
                <w:bCs/>
                <w:sz w:val="18"/>
                <w:szCs w:val="18"/>
              </w:rPr>
              <w:t>0.051</w:t>
            </w:r>
          </w:p>
        </w:tc>
      </w:tr>
      <w:tr w:rsidR="00771D66" w:rsidRPr="00036590" w14:paraId="5EE87956"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4D6A1F0B" w14:textId="77777777" w:rsidR="00771D66" w:rsidRPr="00771D66" w:rsidRDefault="00771D66" w:rsidP="00E92353">
            <w:pPr>
              <w:pStyle w:val="Compact"/>
              <w:rPr>
                <w:sz w:val="18"/>
                <w:szCs w:val="18"/>
              </w:rPr>
            </w:pPr>
            <w:r w:rsidRPr="00771D66">
              <w:rPr>
                <w:b/>
                <w:bCs/>
                <w:sz w:val="18"/>
                <w:szCs w:val="18"/>
              </w:rPr>
              <w:t>BP (diastolic)</w:t>
            </w:r>
          </w:p>
        </w:tc>
        <w:tc>
          <w:tcPr>
            <w:tcW w:w="1237" w:type="pct"/>
          </w:tcPr>
          <w:p w14:paraId="7B35C7C7" w14:textId="77777777" w:rsidR="00771D66" w:rsidRPr="00771D66" w:rsidRDefault="00771D66" w:rsidP="00E92353">
            <w:pPr>
              <w:pStyle w:val="Compact"/>
              <w:jc w:val="center"/>
              <w:rPr>
                <w:sz w:val="18"/>
                <w:szCs w:val="18"/>
              </w:rPr>
            </w:pPr>
            <w:r w:rsidRPr="00771D66">
              <w:rPr>
                <w:sz w:val="18"/>
                <w:szCs w:val="18"/>
              </w:rPr>
              <w:t>70 (66, 80)</w:t>
            </w:r>
          </w:p>
        </w:tc>
        <w:tc>
          <w:tcPr>
            <w:tcW w:w="1166" w:type="pct"/>
          </w:tcPr>
          <w:p w14:paraId="593E14E1" w14:textId="77777777" w:rsidR="00771D66" w:rsidRPr="00771D66" w:rsidRDefault="00771D66" w:rsidP="00E92353">
            <w:pPr>
              <w:pStyle w:val="Compact"/>
              <w:jc w:val="center"/>
              <w:rPr>
                <w:sz w:val="18"/>
                <w:szCs w:val="18"/>
              </w:rPr>
            </w:pPr>
            <w:r w:rsidRPr="00771D66">
              <w:rPr>
                <w:sz w:val="18"/>
                <w:szCs w:val="18"/>
              </w:rPr>
              <w:t>74 (65, 78)</w:t>
            </w:r>
          </w:p>
        </w:tc>
        <w:tc>
          <w:tcPr>
            <w:tcW w:w="1000" w:type="pct"/>
          </w:tcPr>
          <w:p w14:paraId="3DB3D1AE"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2603D4C1" w14:textId="77777777" w:rsidTr="00190AF8">
        <w:tc>
          <w:tcPr>
            <w:tcW w:w="1597" w:type="pct"/>
          </w:tcPr>
          <w:p w14:paraId="1783C7E3" w14:textId="77777777" w:rsidR="00771D66" w:rsidRPr="00771D66" w:rsidRDefault="00771D66" w:rsidP="00E92353">
            <w:pPr>
              <w:pStyle w:val="Compact"/>
              <w:rPr>
                <w:sz w:val="18"/>
                <w:szCs w:val="18"/>
              </w:rPr>
            </w:pPr>
            <w:r w:rsidRPr="00771D66">
              <w:rPr>
                <w:b/>
                <w:bCs/>
                <w:sz w:val="18"/>
                <w:szCs w:val="18"/>
              </w:rPr>
              <w:t>Heart rate</w:t>
            </w:r>
          </w:p>
        </w:tc>
        <w:tc>
          <w:tcPr>
            <w:tcW w:w="1237" w:type="pct"/>
          </w:tcPr>
          <w:p w14:paraId="35981BAB" w14:textId="77777777" w:rsidR="00771D66" w:rsidRPr="00771D66" w:rsidRDefault="00771D66" w:rsidP="00E92353">
            <w:pPr>
              <w:pStyle w:val="Compact"/>
              <w:jc w:val="center"/>
              <w:rPr>
                <w:sz w:val="18"/>
                <w:szCs w:val="18"/>
              </w:rPr>
            </w:pPr>
            <w:r w:rsidRPr="00771D66">
              <w:rPr>
                <w:sz w:val="18"/>
                <w:szCs w:val="18"/>
              </w:rPr>
              <w:t>93 (82, 109)</w:t>
            </w:r>
          </w:p>
        </w:tc>
        <w:tc>
          <w:tcPr>
            <w:tcW w:w="1166" w:type="pct"/>
          </w:tcPr>
          <w:p w14:paraId="276A3E8C" w14:textId="77777777" w:rsidR="00771D66" w:rsidRPr="00771D66" w:rsidRDefault="00771D66" w:rsidP="00E92353">
            <w:pPr>
              <w:pStyle w:val="Compact"/>
              <w:jc w:val="center"/>
              <w:rPr>
                <w:sz w:val="18"/>
                <w:szCs w:val="18"/>
              </w:rPr>
            </w:pPr>
            <w:r w:rsidRPr="00771D66">
              <w:rPr>
                <w:sz w:val="18"/>
                <w:szCs w:val="18"/>
              </w:rPr>
              <w:t>87 (72, 98)</w:t>
            </w:r>
          </w:p>
        </w:tc>
        <w:tc>
          <w:tcPr>
            <w:tcW w:w="1000" w:type="pct"/>
          </w:tcPr>
          <w:p w14:paraId="31EE4904"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04D2831E"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7C05B2CC" w14:textId="77777777" w:rsidR="00771D66" w:rsidRPr="00771D66" w:rsidRDefault="00771D66" w:rsidP="00E92353">
            <w:pPr>
              <w:pStyle w:val="Compact"/>
              <w:rPr>
                <w:sz w:val="18"/>
                <w:szCs w:val="18"/>
              </w:rPr>
            </w:pPr>
            <w:r w:rsidRPr="00771D66">
              <w:rPr>
                <w:b/>
                <w:bCs/>
                <w:sz w:val="18"/>
                <w:szCs w:val="18"/>
              </w:rPr>
              <w:t>Hypotension</w:t>
            </w:r>
          </w:p>
        </w:tc>
        <w:tc>
          <w:tcPr>
            <w:tcW w:w="1237" w:type="pct"/>
          </w:tcPr>
          <w:p w14:paraId="01A92F47" w14:textId="77777777" w:rsidR="00771D66" w:rsidRPr="00771D66" w:rsidRDefault="00771D66" w:rsidP="00E92353">
            <w:pPr>
              <w:pStyle w:val="Compact"/>
              <w:jc w:val="center"/>
              <w:rPr>
                <w:sz w:val="18"/>
                <w:szCs w:val="18"/>
              </w:rPr>
            </w:pPr>
            <w:r w:rsidRPr="00771D66">
              <w:rPr>
                <w:sz w:val="18"/>
                <w:szCs w:val="18"/>
              </w:rPr>
              <w:t>7 (12.1%)</w:t>
            </w:r>
          </w:p>
        </w:tc>
        <w:tc>
          <w:tcPr>
            <w:tcW w:w="1166" w:type="pct"/>
          </w:tcPr>
          <w:p w14:paraId="52877150"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3112DE96"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614E6DF8" w14:textId="77777777" w:rsidTr="00190AF8">
        <w:tc>
          <w:tcPr>
            <w:tcW w:w="1597" w:type="pct"/>
          </w:tcPr>
          <w:p w14:paraId="1AFCBEF6" w14:textId="77777777" w:rsidR="00771D66" w:rsidRPr="00771D66" w:rsidRDefault="00771D66" w:rsidP="00E92353">
            <w:pPr>
              <w:pStyle w:val="Compact"/>
              <w:rPr>
                <w:sz w:val="18"/>
                <w:szCs w:val="18"/>
              </w:rPr>
            </w:pPr>
            <w:r w:rsidRPr="00771D66">
              <w:rPr>
                <w:b/>
                <w:bCs/>
                <w:sz w:val="18"/>
                <w:szCs w:val="18"/>
              </w:rPr>
              <w:t>Weakness</w:t>
            </w:r>
          </w:p>
        </w:tc>
        <w:tc>
          <w:tcPr>
            <w:tcW w:w="1237" w:type="pct"/>
          </w:tcPr>
          <w:p w14:paraId="6D36AB85" w14:textId="77777777" w:rsidR="00771D66" w:rsidRPr="00771D66" w:rsidRDefault="00771D66" w:rsidP="00E92353">
            <w:pPr>
              <w:pStyle w:val="Compact"/>
              <w:jc w:val="center"/>
              <w:rPr>
                <w:sz w:val="18"/>
                <w:szCs w:val="18"/>
              </w:rPr>
            </w:pPr>
            <w:r w:rsidRPr="00771D66">
              <w:rPr>
                <w:sz w:val="18"/>
                <w:szCs w:val="18"/>
              </w:rPr>
              <w:t>52 (89.7%)</w:t>
            </w:r>
          </w:p>
        </w:tc>
        <w:tc>
          <w:tcPr>
            <w:tcW w:w="1166" w:type="pct"/>
          </w:tcPr>
          <w:p w14:paraId="655F0A72" w14:textId="77777777" w:rsidR="00771D66" w:rsidRPr="00771D66" w:rsidRDefault="00771D66" w:rsidP="00E92353">
            <w:pPr>
              <w:pStyle w:val="Compact"/>
              <w:jc w:val="center"/>
              <w:rPr>
                <w:sz w:val="18"/>
                <w:szCs w:val="18"/>
              </w:rPr>
            </w:pPr>
            <w:r w:rsidRPr="00771D66">
              <w:rPr>
                <w:sz w:val="18"/>
                <w:szCs w:val="18"/>
              </w:rPr>
              <w:t>4 (66.7%)</w:t>
            </w:r>
          </w:p>
        </w:tc>
        <w:tc>
          <w:tcPr>
            <w:tcW w:w="1000" w:type="pct"/>
          </w:tcPr>
          <w:p w14:paraId="0A209E4B"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15CD4CC9"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18DDA3FB" w14:textId="77777777" w:rsidR="00771D66" w:rsidRPr="00771D66" w:rsidRDefault="00771D66" w:rsidP="00E92353">
            <w:pPr>
              <w:pStyle w:val="Compact"/>
              <w:rPr>
                <w:sz w:val="18"/>
                <w:szCs w:val="18"/>
              </w:rPr>
            </w:pPr>
            <w:r w:rsidRPr="00771D66">
              <w:rPr>
                <w:b/>
                <w:bCs/>
                <w:sz w:val="18"/>
                <w:szCs w:val="18"/>
              </w:rPr>
              <w:t>Tiredness</w:t>
            </w:r>
          </w:p>
        </w:tc>
        <w:tc>
          <w:tcPr>
            <w:tcW w:w="1237" w:type="pct"/>
          </w:tcPr>
          <w:p w14:paraId="09E88258" w14:textId="77777777" w:rsidR="00771D66" w:rsidRPr="00771D66" w:rsidRDefault="00771D66" w:rsidP="00E92353">
            <w:pPr>
              <w:pStyle w:val="Compact"/>
              <w:jc w:val="center"/>
              <w:rPr>
                <w:sz w:val="18"/>
                <w:szCs w:val="18"/>
              </w:rPr>
            </w:pPr>
            <w:r w:rsidRPr="00771D66">
              <w:rPr>
                <w:sz w:val="18"/>
                <w:szCs w:val="18"/>
              </w:rPr>
              <w:t>50 (86.2%)</w:t>
            </w:r>
          </w:p>
        </w:tc>
        <w:tc>
          <w:tcPr>
            <w:tcW w:w="1166" w:type="pct"/>
          </w:tcPr>
          <w:p w14:paraId="37DD1940" w14:textId="77777777" w:rsidR="00771D66" w:rsidRPr="00771D66" w:rsidRDefault="00771D66" w:rsidP="00E92353">
            <w:pPr>
              <w:pStyle w:val="Compact"/>
              <w:jc w:val="center"/>
              <w:rPr>
                <w:sz w:val="18"/>
                <w:szCs w:val="18"/>
              </w:rPr>
            </w:pPr>
            <w:r w:rsidRPr="00771D66">
              <w:rPr>
                <w:sz w:val="18"/>
                <w:szCs w:val="18"/>
              </w:rPr>
              <w:t>6 (100.0%)</w:t>
            </w:r>
          </w:p>
        </w:tc>
        <w:tc>
          <w:tcPr>
            <w:tcW w:w="1000" w:type="pct"/>
          </w:tcPr>
          <w:p w14:paraId="381E7754"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6293E84B" w14:textId="77777777" w:rsidTr="00190AF8">
        <w:tc>
          <w:tcPr>
            <w:tcW w:w="1597" w:type="pct"/>
          </w:tcPr>
          <w:p w14:paraId="00077FBC" w14:textId="77777777" w:rsidR="00771D66" w:rsidRPr="00771D66" w:rsidRDefault="00771D66" w:rsidP="00E92353">
            <w:pPr>
              <w:pStyle w:val="Compact"/>
              <w:rPr>
                <w:sz w:val="18"/>
                <w:szCs w:val="18"/>
              </w:rPr>
            </w:pPr>
            <w:r w:rsidRPr="00771D66">
              <w:rPr>
                <w:b/>
                <w:bCs/>
                <w:sz w:val="18"/>
                <w:szCs w:val="18"/>
              </w:rPr>
              <w:t>Poor appetite</w:t>
            </w:r>
          </w:p>
        </w:tc>
        <w:tc>
          <w:tcPr>
            <w:tcW w:w="1237" w:type="pct"/>
          </w:tcPr>
          <w:p w14:paraId="3ABBF210" w14:textId="77777777" w:rsidR="00771D66" w:rsidRPr="00771D66" w:rsidRDefault="00771D66" w:rsidP="00E92353">
            <w:pPr>
              <w:pStyle w:val="Compact"/>
              <w:jc w:val="center"/>
              <w:rPr>
                <w:sz w:val="18"/>
                <w:szCs w:val="18"/>
              </w:rPr>
            </w:pPr>
            <w:r w:rsidRPr="00771D66">
              <w:rPr>
                <w:sz w:val="18"/>
                <w:szCs w:val="18"/>
              </w:rPr>
              <w:t>49 (84.5%)</w:t>
            </w:r>
          </w:p>
        </w:tc>
        <w:tc>
          <w:tcPr>
            <w:tcW w:w="1166" w:type="pct"/>
          </w:tcPr>
          <w:p w14:paraId="57423471" w14:textId="77777777" w:rsidR="00771D66" w:rsidRPr="00771D66" w:rsidRDefault="00771D66" w:rsidP="00E92353">
            <w:pPr>
              <w:pStyle w:val="Compact"/>
              <w:jc w:val="center"/>
              <w:rPr>
                <w:sz w:val="18"/>
                <w:szCs w:val="18"/>
              </w:rPr>
            </w:pPr>
            <w:r w:rsidRPr="00771D66">
              <w:rPr>
                <w:sz w:val="18"/>
                <w:szCs w:val="18"/>
              </w:rPr>
              <w:t>6 (100.0%)</w:t>
            </w:r>
          </w:p>
        </w:tc>
        <w:tc>
          <w:tcPr>
            <w:tcW w:w="1000" w:type="pct"/>
          </w:tcPr>
          <w:p w14:paraId="21E2B85B" w14:textId="77777777" w:rsidR="00771D66" w:rsidRPr="00771D66" w:rsidRDefault="00771D66" w:rsidP="00E92353">
            <w:pPr>
              <w:pStyle w:val="Compact"/>
              <w:jc w:val="center"/>
              <w:rPr>
                <w:sz w:val="18"/>
                <w:szCs w:val="18"/>
              </w:rPr>
            </w:pPr>
            <w:r w:rsidRPr="00771D66">
              <w:rPr>
                <w:sz w:val="18"/>
                <w:szCs w:val="18"/>
              </w:rPr>
              <w:t>0.6</w:t>
            </w:r>
          </w:p>
        </w:tc>
      </w:tr>
      <w:tr w:rsidR="00771D66" w:rsidRPr="00036590" w14:paraId="38422E23"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5F4370C4" w14:textId="77777777" w:rsidR="00771D66" w:rsidRPr="00771D66" w:rsidRDefault="00771D66" w:rsidP="00E92353">
            <w:pPr>
              <w:pStyle w:val="Compact"/>
              <w:rPr>
                <w:sz w:val="18"/>
                <w:szCs w:val="18"/>
              </w:rPr>
            </w:pPr>
            <w:r w:rsidRPr="00771D66">
              <w:rPr>
                <w:b/>
                <w:bCs/>
                <w:sz w:val="18"/>
                <w:szCs w:val="18"/>
              </w:rPr>
              <w:t>Weight loss</w:t>
            </w:r>
          </w:p>
        </w:tc>
        <w:tc>
          <w:tcPr>
            <w:tcW w:w="1237" w:type="pct"/>
          </w:tcPr>
          <w:p w14:paraId="394A0225" w14:textId="77777777" w:rsidR="00771D66" w:rsidRPr="00771D66" w:rsidRDefault="00771D66" w:rsidP="00E92353">
            <w:pPr>
              <w:pStyle w:val="Compact"/>
              <w:jc w:val="center"/>
              <w:rPr>
                <w:sz w:val="18"/>
                <w:szCs w:val="18"/>
              </w:rPr>
            </w:pPr>
            <w:r w:rsidRPr="00771D66">
              <w:rPr>
                <w:sz w:val="18"/>
                <w:szCs w:val="18"/>
              </w:rPr>
              <w:t>50 (86.2%)</w:t>
            </w:r>
          </w:p>
        </w:tc>
        <w:tc>
          <w:tcPr>
            <w:tcW w:w="1166" w:type="pct"/>
          </w:tcPr>
          <w:p w14:paraId="67411157" w14:textId="77777777" w:rsidR="00771D66" w:rsidRPr="00771D66" w:rsidRDefault="00771D66" w:rsidP="00E92353">
            <w:pPr>
              <w:pStyle w:val="Compact"/>
              <w:jc w:val="center"/>
              <w:rPr>
                <w:sz w:val="18"/>
                <w:szCs w:val="18"/>
              </w:rPr>
            </w:pPr>
            <w:r w:rsidRPr="00771D66">
              <w:rPr>
                <w:sz w:val="18"/>
                <w:szCs w:val="18"/>
              </w:rPr>
              <w:t>4 (66.7%)</w:t>
            </w:r>
          </w:p>
        </w:tc>
        <w:tc>
          <w:tcPr>
            <w:tcW w:w="1000" w:type="pct"/>
          </w:tcPr>
          <w:p w14:paraId="464336E2"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674FE2E7" w14:textId="77777777" w:rsidTr="00190AF8">
        <w:tc>
          <w:tcPr>
            <w:tcW w:w="1597" w:type="pct"/>
          </w:tcPr>
          <w:p w14:paraId="5DF0D96B" w14:textId="77777777" w:rsidR="00771D66" w:rsidRPr="00771D66" w:rsidRDefault="00771D66" w:rsidP="00E92353">
            <w:pPr>
              <w:pStyle w:val="Compact"/>
              <w:rPr>
                <w:sz w:val="18"/>
                <w:szCs w:val="18"/>
              </w:rPr>
            </w:pPr>
            <w:r w:rsidRPr="00771D66">
              <w:rPr>
                <w:b/>
                <w:bCs/>
                <w:sz w:val="18"/>
                <w:szCs w:val="18"/>
              </w:rPr>
              <w:t>Increased pigmentation of the skin</w:t>
            </w:r>
          </w:p>
        </w:tc>
        <w:tc>
          <w:tcPr>
            <w:tcW w:w="1237" w:type="pct"/>
          </w:tcPr>
          <w:p w14:paraId="7BD1BC81" w14:textId="77777777" w:rsidR="00771D66" w:rsidRPr="00771D66" w:rsidRDefault="00771D66" w:rsidP="00E92353">
            <w:pPr>
              <w:pStyle w:val="Compact"/>
              <w:jc w:val="center"/>
              <w:rPr>
                <w:sz w:val="18"/>
                <w:szCs w:val="18"/>
              </w:rPr>
            </w:pPr>
            <w:r w:rsidRPr="00771D66">
              <w:rPr>
                <w:sz w:val="18"/>
                <w:szCs w:val="18"/>
              </w:rPr>
              <w:t>35 (60.3%)</w:t>
            </w:r>
          </w:p>
        </w:tc>
        <w:tc>
          <w:tcPr>
            <w:tcW w:w="1166" w:type="pct"/>
          </w:tcPr>
          <w:p w14:paraId="38398A83" w14:textId="77777777" w:rsidR="00771D66" w:rsidRPr="00771D66" w:rsidRDefault="00771D66" w:rsidP="00E92353">
            <w:pPr>
              <w:pStyle w:val="Compact"/>
              <w:jc w:val="center"/>
              <w:rPr>
                <w:sz w:val="18"/>
                <w:szCs w:val="18"/>
              </w:rPr>
            </w:pPr>
            <w:r w:rsidRPr="00771D66">
              <w:rPr>
                <w:sz w:val="18"/>
                <w:szCs w:val="18"/>
              </w:rPr>
              <w:t>2 (33.3%)</w:t>
            </w:r>
          </w:p>
        </w:tc>
        <w:tc>
          <w:tcPr>
            <w:tcW w:w="1000" w:type="pct"/>
          </w:tcPr>
          <w:p w14:paraId="1283A1C7"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6A5C7514"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7EC0A469" w14:textId="77777777" w:rsidR="00771D66" w:rsidRPr="00771D66" w:rsidRDefault="00771D66" w:rsidP="00E92353">
            <w:pPr>
              <w:pStyle w:val="Compact"/>
              <w:rPr>
                <w:sz w:val="18"/>
                <w:szCs w:val="18"/>
              </w:rPr>
            </w:pPr>
            <w:r w:rsidRPr="00771D66">
              <w:rPr>
                <w:b/>
                <w:bCs/>
                <w:sz w:val="18"/>
                <w:szCs w:val="18"/>
              </w:rPr>
              <w:t>Nausea</w:t>
            </w:r>
          </w:p>
        </w:tc>
        <w:tc>
          <w:tcPr>
            <w:tcW w:w="1237" w:type="pct"/>
          </w:tcPr>
          <w:p w14:paraId="3F7050F2" w14:textId="77777777" w:rsidR="00771D66" w:rsidRPr="00771D66" w:rsidRDefault="00771D66" w:rsidP="00E92353">
            <w:pPr>
              <w:pStyle w:val="Compact"/>
              <w:jc w:val="center"/>
              <w:rPr>
                <w:sz w:val="18"/>
                <w:szCs w:val="18"/>
              </w:rPr>
            </w:pPr>
            <w:r w:rsidRPr="00771D66">
              <w:rPr>
                <w:sz w:val="18"/>
                <w:szCs w:val="18"/>
              </w:rPr>
              <w:t>36 (62.1%)</w:t>
            </w:r>
          </w:p>
        </w:tc>
        <w:tc>
          <w:tcPr>
            <w:tcW w:w="1166" w:type="pct"/>
          </w:tcPr>
          <w:p w14:paraId="52DE370B" w14:textId="77777777" w:rsidR="00771D66" w:rsidRPr="00771D66" w:rsidRDefault="00771D66" w:rsidP="00E92353">
            <w:pPr>
              <w:pStyle w:val="Compact"/>
              <w:jc w:val="center"/>
              <w:rPr>
                <w:sz w:val="18"/>
                <w:szCs w:val="18"/>
              </w:rPr>
            </w:pPr>
            <w:r w:rsidRPr="00771D66">
              <w:rPr>
                <w:sz w:val="18"/>
                <w:szCs w:val="18"/>
              </w:rPr>
              <w:t>5 (83.3%)</w:t>
            </w:r>
          </w:p>
        </w:tc>
        <w:tc>
          <w:tcPr>
            <w:tcW w:w="1000" w:type="pct"/>
          </w:tcPr>
          <w:p w14:paraId="31F286C0" w14:textId="77777777" w:rsidR="00771D66" w:rsidRPr="00771D66" w:rsidRDefault="00771D66" w:rsidP="00E92353">
            <w:pPr>
              <w:pStyle w:val="Compact"/>
              <w:jc w:val="center"/>
              <w:rPr>
                <w:sz w:val="18"/>
                <w:szCs w:val="18"/>
              </w:rPr>
            </w:pPr>
            <w:r w:rsidRPr="00771D66">
              <w:rPr>
                <w:sz w:val="18"/>
                <w:szCs w:val="18"/>
              </w:rPr>
              <w:t>0.4</w:t>
            </w:r>
          </w:p>
        </w:tc>
      </w:tr>
      <w:tr w:rsidR="00771D66" w:rsidRPr="00036590" w14:paraId="30124F3E" w14:textId="77777777" w:rsidTr="00190AF8">
        <w:tc>
          <w:tcPr>
            <w:tcW w:w="1597" w:type="pct"/>
          </w:tcPr>
          <w:p w14:paraId="7804633E" w14:textId="77777777" w:rsidR="00771D66" w:rsidRPr="00771D66" w:rsidRDefault="00771D66" w:rsidP="00E92353">
            <w:pPr>
              <w:pStyle w:val="Compact"/>
              <w:rPr>
                <w:sz w:val="18"/>
                <w:szCs w:val="18"/>
              </w:rPr>
            </w:pPr>
            <w:r w:rsidRPr="00771D66">
              <w:rPr>
                <w:b/>
                <w:bCs/>
                <w:sz w:val="18"/>
                <w:szCs w:val="18"/>
              </w:rPr>
              <w:t>Vomiting</w:t>
            </w:r>
          </w:p>
        </w:tc>
        <w:tc>
          <w:tcPr>
            <w:tcW w:w="1237" w:type="pct"/>
          </w:tcPr>
          <w:p w14:paraId="5B603FB4" w14:textId="77777777" w:rsidR="00771D66" w:rsidRPr="00771D66" w:rsidRDefault="00771D66" w:rsidP="00E92353">
            <w:pPr>
              <w:pStyle w:val="Compact"/>
              <w:jc w:val="center"/>
              <w:rPr>
                <w:sz w:val="18"/>
                <w:szCs w:val="18"/>
              </w:rPr>
            </w:pPr>
            <w:r w:rsidRPr="00771D66">
              <w:rPr>
                <w:sz w:val="18"/>
                <w:szCs w:val="18"/>
              </w:rPr>
              <w:t>15 (25.9%)</w:t>
            </w:r>
          </w:p>
        </w:tc>
        <w:tc>
          <w:tcPr>
            <w:tcW w:w="1166" w:type="pct"/>
          </w:tcPr>
          <w:p w14:paraId="1678B1BD" w14:textId="77777777" w:rsidR="00771D66" w:rsidRPr="00771D66" w:rsidRDefault="00771D66" w:rsidP="00E92353">
            <w:pPr>
              <w:pStyle w:val="Compact"/>
              <w:jc w:val="center"/>
              <w:rPr>
                <w:sz w:val="18"/>
                <w:szCs w:val="18"/>
              </w:rPr>
            </w:pPr>
            <w:r w:rsidRPr="00771D66">
              <w:rPr>
                <w:sz w:val="18"/>
                <w:szCs w:val="18"/>
              </w:rPr>
              <w:t>2 (33.3%)</w:t>
            </w:r>
          </w:p>
        </w:tc>
        <w:tc>
          <w:tcPr>
            <w:tcW w:w="1000" w:type="pct"/>
          </w:tcPr>
          <w:p w14:paraId="2F474EDE" w14:textId="77777777" w:rsidR="00771D66" w:rsidRPr="00771D66" w:rsidRDefault="00771D66" w:rsidP="00E92353">
            <w:pPr>
              <w:pStyle w:val="Compact"/>
              <w:jc w:val="center"/>
              <w:rPr>
                <w:sz w:val="18"/>
                <w:szCs w:val="18"/>
              </w:rPr>
            </w:pPr>
            <w:r w:rsidRPr="00771D66">
              <w:rPr>
                <w:sz w:val="18"/>
                <w:szCs w:val="18"/>
              </w:rPr>
              <w:t>0.7</w:t>
            </w:r>
          </w:p>
        </w:tc>
      </w:tr>
      <w:tr w:rsidR="00771D66" w:rsidRPr="00036590" w14:paraId="25E259C8"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4976BABD" w14:textId="77777777" w:rsidR="00771D66" w:rsidRPr="00771D66" w:rsidRDefault="00771D66" w:rsidP="00E92353">
            <w:pPr>
              <w:pStyle w:val="Compact"/>
              <w:rPr>
                <w:sz w:val="18"/>
                <w:szCs w:val="18"/>
              </w:rPr>
            </w:pPr>
            <w:r w:rsidRPr="00771D66">
              <w:rPr>
                <w:b/>
                <w:bCs/>
                <w:sz w:val="18"/>
                <w:szCs w:val="18"/>
              </w:rPr>
              <w:t>Liking for salt</w:t>
            </w:r>
          </w:p>
        </w:tc>
        <w:tc>
          <w:tcPr>
            <w:tcW w:w="1237" w:type="pct"/>
          </w:tcPr>
          <w:p w14:paraId="6AE6CDDB" w14:textId="77777777" w:rsidR="00771D66" w:rsidRPr="00771D66" w:rsidRDefault="00771D66" w:rsidP="00E92353">
            <w:pPr>
              <w:pStyle w:val="Compact"/>
              <w:jc w:val="center"/>
              <w:rPr>
                <w:sz w:val="18"/>
                <w:szCs w:val="18"/>
              </w:rPr>
            </w:pPr>
            <w:r w:rsidRPr="00771D66">
              <w:rPr>
                <w:sz w:val="18"/>
                <w:szCs w:val="18"/>
              </w:rPr>
              <w:t>38 (65.5%)</w:t>
            </w:r>
          </w:p>
        </w:tc>
        <w:tc>
          <w:tcPr>
            <w:tcW w:w="1166" w:type="pct"/>
          </w:tcPr>
          <w:p w14:paraId="33744BA9" w14:textId="77777777" w:rsidR="00771D66" w:rsidRPr="00771D66" w:rsidRDefault="00771D66" w:rsidP="00E92353">
            <w:pPr>
              <w:pStyle w:val="Compact"/>
              <w:jc w:val="center"/>
              <w:rPr>
                <w:sz w:val="18"/>
                <w:szCs w:val="18"/>
              </w:rPr>
            </w:pPr>
            <w:r w:rsidRPr="00771D66">
              <w:rPr>
                <w:sz w:val="18"/>
                <w:szCs w:val="18"/>
              </w:rPr>
              <w:t>4 (66.7%)</w:t>
            </w:r>
          </w:p>
        </w:tc>
        <w:tc>
          <w:tcPr>
            <w:tcW w:w="1000" w:type="pct"/>
          </w:tcPr>
          <w:p w14:paraId="0F876B0A"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2EB06807" w14:textId="77777777" w:rsidTr="00190AF8">
        <w:tc>
          <w:tcPr>
            <w:tcW w:w="1597" w:type="pct"/>
          </w:tcPr>
          <w:p w14:paraId="779B0A0C" w14:textId="77777777" w:rsidR="00771D66" w:rsidRPr="00771D66" w:rsidRDefault="00771D66" w:rsidP="00E92353">
            <w:pPr>
              <w:pStyle w:val="Compact"/>
              <w:rPr>
                <w:sz w:val="18"/>
                <w:szCs w:val="18"/>
              </w:rPr>
            </w:pPr>
            <w:proofErr w:type="spellStart"/>
            <w:r w:rsidRPr="00771D66">
              <w:rPr>
                <w:b/>
                <w:bCs/>
                <w:sz w:val="18"/>
                <w:szCs w:val="18"/>
              </w:rPr>
              <w:t>Hypoglycaemia</w:t>
            </w:r>
            <w:proofErr w:type="spellEnd"/>
          </w:p>
        </w:tc>
        <w:tc>
          <w:tcPr>
            <w:tcW w:w="1237" w:type="pct"/>
          </w:tcPr>
          <w:p w14:paraId="11DD57A3" w14:textId="77777777" w:rsidR="00771D66" w:rsidRPr="00771D66" w:rsidRDefault="00771D66" w:rsidP="00E92353">
            <w:pPr>
              <w:pStyle w:val="Compact"/>
              <w:jc w:val="center"/>
              <w:rPr>
                <w:sz w:val="18"/>
                <w:szCs w:val="18"/>
              </w:rPr>
            </w:pPr>
            <w:r w:rsidRPr="00771D66">
              <w:rPr>
                <w:sz w:val="18"/>
                <w:szCs w:val="18"/>
              </w:rPr>
              <w:t>2 (3.4%)</w:t>
            </w:r>
          </w:p>
        </w:tc>
        <w:tc>
          <w:tcPr>
            <w:tcW w:w="1166" w:type="pct"/>
          </w:tcPr>
          <w:p w14:paraId="7377C3A1"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5498F943"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3479FC84"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40939CC6" w14:textId="77777777" w:rsidR="00771D66" w:rsidRPr="00771D66" w:rsidRDefault="00771D66" w:rsidP="00E92353">
            <w:pPr>
              <w:pStyle w:val="Compact"/>
              <w:rPr>
                <w:sz w:val="18"/>
                <w:szCs w:val="18"/>
              </w:rPr>
            </w:pPr>
            <w:r w:rsidRPr="00771D66">
              <w:rPr>
                <w:b/>
                <w:bCs/>
                <w:sz w:val="18"/>
                <w:szCs w:val="18"/>
              </w:rPr>
              <w:t>Loss of consciousness</w:t>
            </w:r>
          </w:p>
        </w:tc>
        <w:tc>
          <w:tcPr>
            <w:tcW w:w="1237" w:type="pct"/>
          </w:tcPr>
          <w:p w14:paraId="79F235A9" w14:textId="77777777" w:rsidR="00771D66" w:rsidRPr="00771D66" w:rsidRDefault="00771D66" w:rsidP="00E92353">
            <w:pPr>
              <w:pStyle w:val="Compact"/>
              <w:jc w:val="center"/>
              <w:rPr>
                <w:sz w:val="18"/>
                <w:szCs w:val="18"/>
              </w:rPr>
            </w:pPr>
            <w:r w:rsidRPr="00771D66">
              <w:rPr>
                <w:sz w:val="18"/>
                <w:szCs w:val="18"/>
              </w:rPr>
              <w:t>2 (3.4%)</w:t>
            </w:r>
          </w:p>
        </w:tc>
        <w:tc>
          <w:tcPr>
            <w:tcW w:w="1166" w:type="pct"/>
          </w:tcPr>
          <w:p w14:paraId="5C019D83"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450493DD"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36366D29" w14:textId="77777777" w:rsidTr="00190AF8">
        <w:tc>
          <w:tcPr>
            <w:tcW w:w="1597" w:type="pct"/>
          </w:tcPr>
          <w:p w14:paraId="46D92D91" w14:textId="77777777" w:rsidR="00771D66" w:rsidRPr="00771D66" w:rsidRDefault="00771D66" w:rsidP="00E92353">
            <w:pPr>
              <w:pStyle w:val="Compact"/>
              <w:rPr>
                <w:sz w:val="18"/>
                <w:szCs w:val="18"/>
              </w:rPr>
            </w:pPr>
            <w:proofErr w:type="spellStart"/>
            <w:r w:rsidRPr="00771D66">
              <w:rPr>
                <w:b/>
                <w:bCs/>
                <w:sz w:val="18"/>
                <w:szCs w:val="18"/>
              </w:rPr>
              <w:t>Diarrhoea</w:t>
            </w:r>
            <w:proofErr w:type="spellEnd"/>
          </w:p>
        </w:tc>
        <w:tc>
          <w:tcPr>
            <w:tcW w:w="1237" w:type="pct"/>
          </w:tcPr>
          <w:p w14:paraId="14B5F6CF" w14:textId="77777777" w:rsidR="00771D66" w:rsidRPr="00771D66" w:rsidRDefault="00771D66" w:rsidP="00E92353">
            <w:pPr>
              <w:pStyle w:val="Compact"/>
              <w:jc w:val="center"/>
              <w:rPr>
                <w:sz w:val="18"/>
                <w:szCs w:val="18"/>
              </w:rPr>
            </w:pPr>
            <w:r w:rsidRPr="00771D66">
              <w:rPr>
                <w:sz w:val="18"/>
                <w:szCs w:val="18"/>
              </w:rPr>
              <w:t>32 (55.2%)</w:t>
            </w:r>
          </w:p>
        </w:tc>
        <w:tc>
          <w:tcPr>
            <w:tcW w:w="1166" w:type="pct"/>
          </w:tcPr>
          <w:p w14:paraId="23CA2297" w14:textId="77777777" w:rsidR="00771D66" w:rsidRPr="00771D66" w:rsidRDefault="00771D66" w:rsidP="00E92353">
            <w:pPr>
              <w:pStyle w:val="Compact"/>
              <w:jc w:val="center"/>
              <w:rPr>
                <w:sz w:val="18"/>
                <w:szCs w:val="18"/>
              </w:rPr>
            </w:pPr>
            <w:r w:rsidRPr="00771D66">
              <w:rPr>
                <w:sz w:val="18"/>
                <w:szCs w:val="18"/>
              </w:rPr>
              <w:t>1 (16.7%)</w:t>
            </w:r>
          </w:p>
        </w:tc>
        <w:tc>
          <w:tcPr>
            <w:tcW w:w="1000" w:type="pct"/>
          </w:tcPr>
          <w:p w14:paraId="1C9DC7F6" w14:textId="77777777" w:rsidR="00771D66" w:rsidRPr="00771D66" w:rsidRDefault="00771D66" w:rsidP="00E92353">
            <w:pPr>
              <w:pStyle w:val="Compact"/>
              <w:jc w:val="center"/>
              <w:rPr>
                <w:sz w:val="18"/>
                <w:szCs w:val="18"/>
              </w:rPr>
            </w:pPr>
            <w:r w:rsidRPr="00771D66">
              <w:rPr>
                <w:sz w:val="18"/>
                <w:szCs w:val="18"/>
              </w:rPr>
              <w:t>0.10</w:t>
            </w:r>
          </w:p>
        </w:tc>
      </w:tr>
      <w:tr w:rsidR="00771D66" w:rsidRPr="00036590" w14:paraId="47484022"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61069196" w14:textId="77777777" w:rsidR="00771D66" w:rsidRPr="00771D66" w:rsidRDefault="00771D66" w:rsidP="00E92353">
            <w:pPr>
              <w:pStyle w:val="Compact"/>
              <w:rPr>
                <w:sz w:val="18"/>
                <w:szCs w:val="18"/>
              </w:rPr>
            </w:pPr>
            <w:r w:rsidRPr="00771D66">
              <w:rPr>
                <w:b/>
                <w:bCs/>
                <w:sz w:val="18"/>
                <w:szCs w:val="18"/>
              </w:rPr>
              <w:t>Dizziness</w:t>
            </w:r>
          </w:p>
        </w:tc>
        <w:tc>
          <w:tcPr>
            <w:tcW w:w="1237" w:type="pct"/>
          </w:tcPr>
          <w:p w14:paraId="540C2393" w14:textId="77777777" w:rsidR="00771D66" w:rsidRPr="00771D66" w:rsidRDefault="00771D66" w:rsidP="00E92353">
            <w:pPr>
              <w:pStyle w:val="Compact"/>
              <w:jc w:val="center"/>
              <w:rPr>
                <w:sz w:val="18"/>
                <w:szCs w:val="18"/>
              </w:rPr>
            </w:pPr>
            <w:r w:rsidRPr="00771D66">
              <w:rPr>
                <w:sz w:val="18"/>
                <w:szCs w:val="18"/>
              </w:rPr>
              <w:t>33 (56.9%)</w:t>
            </w:r>
          </w:p>
        </w:tc>
        <w:tc>
          <w:tcPr>
            <w:tcW w:w="1166" w:type="pct"/>
          </w:tcPr>
          <w:p w14:paraId="70BD9072" w14:textId="77777777" w:rsidR="00771D66" w:rsidRPr="00771D66" w:rsidRDefault="00771D66" w:rsidP="00E92353">
            <w:pPr>
              <w:pStyle w:val="Compact"/>
              <w:jc w:val="center"/>
              <w:rPr>
                <w:sz w:val="18"/>
                <w:szCs w:val="18"/>
              </w:rPr>
            </w:pPr>
            <w:r w:rsidRPr="00771D66">
              <w:rPr>
                <w:sz w:val="18"/>
                <w:szCs w:val="18"/>
              </w:rPr>
              <w:t>3 (50.0%)</w:t>
            </w:r>
          </w:p>
        </w:tc>
        <w:tc>
          <w:tcPr>
            <w:tcW w:w="1000" w:type="pct"/>
          </w:tcPr>
          <w:p w14:paraId="335B61A5"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6D64E445" w14:textId="77777777" w:rsidTr="00190AF8">
        <w:tc>
          <w:tcPr>
            <w:tcW w:w="1597" w:type="pct"/>
          </w:tcPr>
          <w:p w14:paraId="39D1363D" w14:textId="77777777" w:rsidR="00771D66" w:rsidRPr="00771D66" w:rsidRDefault="00771D66" w:rsidP="00E92353">
            <w:pPr>
              <w:pStyle w:val="Compact"/>
              <w:rPr>
                <w:sz w:val="18"/>
                <w:szCs w:val="18"/>
              </w:rPr>
            </w:pPr>
            <w:r w:rsidRPr="00771D66">
              <w:rPr>
                <w:b/>
                <w:bCs/>
                <w:sz w:val="18"/>
                <w:szCs w:val="18"/>
              </w:rPr>
              <w:t>Shock</w:t>
            </w:r>
          </w:p>
        </w:tc>
        <w:tc>
          <w:tcPr>
            <w:tcW w:w="1237" w:type="pct"/>
          </w:tcPr>
          <w:p w14:paraId="2A1A8C7E" w14:textId="77777777" w:rsidR="00771D66" w:rsidRPr="00771D66" w:rsidRDefault="00771D66" w:rsidP="00E92353">
            <w:pPr>
              <w:pStyle w:val="Compact"/>
              <w:jc w:val="center"/>
              <w:rPr>
                <w:sz w:val="18"/>
                <w:szCs w:val="18"/>
              </w:rPr>
            </w:pPr>
            <w:r w:rsidRPr="00771D66">
              <w:rPr>
                <w:sz w:val="18"/>
                <w:szCs w:val="18"/>
              </w:rPr>
              <w:t>2 (3.4%)</w:t>
            </w:r>
          </w:p>
        </w:tc>
        <w:tc>
          <w:tcPr>
            <w:tcW w:w="1166" w:type="pct"/>
          </w:tcPr>
          <w:p w14:paraId="578C7871"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42F56982"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4826304C"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52962653" w14:textId="77777777" w:rsidR="00771D66" w:rsidRPr="00771D66" w:rsidRDefault="00771D66" w:rsidP="00E92353">
            <w:pPr>
              <w:pStyle w:val="Compact"/>
              <w:rPr>
                <w:sz w:val="18"/>
                <w:szCs w:val="18"/>
              </w:rPr>
            </w:pPr>
            <w:r w:rsidRPr="00771D66">
              <w:rPr>
                <w:b/>
                <w:bCs/>
                <w:sz w:val="18"/>
                <w:szCs w:val="18"/>
              </w:rPr>
              <w:t>Anorexia</w:t>
            </w:r>
          </w:p>
        </w:tc>
        <w:tc>
          <w:tcPr>
            <w:tcW w:w="1237" w:type="pct"/>
          </w:tcPr>
          <w:p w14:paraId="65491059" w14:textId="77777777" w:rsidR="00771D66" w:rsidRPr="00771D66" w:rsidRDefault="00771D66" w:rsidP="00E92353">
            <w:pPr>
              <w:pStyle w:val="Compact"/>
              <w:jc w:val="center"/>
              <w:rPr>
                <w:sz w:val="18"/>
                <w:szCs w:val="18"/>
              </w:rPr>
            </w:pPr>
            <w:r w:rsidRPr="00771D66">
              <w:rPr>
                <w:sz w:val="18"/>
                <w:szCs w:val="18"/>
              </w:rPr>
              <w:t>34 (58.6%)</w:t>
            </w:r>
          </w:p>
        </w:tc>
        <w:tc>
          <w:tcPr>
            <w:tcW w:w="1166" w:type="pct"/>
          </w:tcPr>
          <w:p w14:paraId="3F050A23" w14:textId="77777777" w:rsidR="00771D66" w:rsidRPr="00771D66" w:rsidRDefault="00771D66" w:rsidP="00E92353">
            <w:pPr>
              <w:pStyle w:val="Compact"/>
              <w:jc w:val="center"/>
              <w:rPr>
                <w:sz w:val="18"/>
                <w:szCs w:val="18"/>
              </w:rPr>
            </w:pPr>
            <w:r w:rsidRPr="00771D66">
              <w:rPr>
                <w:sz w:val="18"/>
                <w:szCs w:val="18"/>
              </w:rPr>
              <w:t>2 (33.3%)</w:t>
            </w:r>
          </w:p>
        </w:tc>
        <w:tc>
          <w:tcPr>
            <w:tcW w:w="1000" w:type="pct"/>
          </w:tcPr>
          <w:p w14:paraId="3F62B875" w14:textId="77777777" w:rsidR="00771D66" w:rsidRPr="00771D66" w:rsidRDefault="00771D66" w:rsidP="00E92353">
            <w:pPr>
              <w:pStyle w:val="Compact"/>
              <w:jc w:val="center"/>
              <w:rPr>
                <w:sz w:val="18"/>
                <w:szCs w:val="18"/>
              </w:rPr>
            </w:pPr>
            <w:r w:rsidRPr="00771D66">
              <w:rPr>
                <w:sz w:val="18"/>
                <w:szCs w:val="18"/>
              </w:rPr>
              <w:t>0.4</w:t>
            </w:r>
          </w:p>
        </w:tc>
      </w:tr>
      <w:tr w:rsidR="00771D66" w:rsidRPr="00036590" w14:paraId="507A1D53" w14:textId="77777777" w:rsidTr="00190AF8">
        <w:tc>
          <w:tcPr>
            <w:tcW w:w="1597" w:type="pct"/>
          </w:tcPr>
          <w:p w14:paraId="7C17A115" w14:textId="77777777" w:rsidR="00771D66" w:rsidRPr="00771D66" w:rsidRDefault="00771D66" w:rsidP="00E92353">
            <w:pPr>
              <w:pStyle w:val="Compact"/>
              <w:rPr>
                <w:sz w:val="18"/>
                <w:szCs w:val="18"/>
              </w:rPr>
            </w:pPr>
            <w:r w:rsidRPr="00771D66">
              <w:rPr>
                <w:b/>
                <w:bCs/>
                <w:sz w:val="18"/>
                <w:szCs w:val="18"/>
              </w:rPr>
              <w:t xml:space="preserve">Loss of axillary and pubic </w:t>
            </w:r>
            <w:proofErr w:type="gramStart"/>
            <w:r w:rsidRPr="00771D66">
              <w:rPr>
                <w:b/>
                <w:bCs/>
                <w:sz w:val="18"/>
                <w:szCs w:val="18"/>
              </w:rPr>
              <w:t>hair, if</w:t>
            </w:r>
            <w:proofErr w:type="gramEnd"/>
            <w:r w:rsidRPr="00771D66">
              <w:rPr>
                <w:b/>
                <w:bCs/>
                <w:sz w:val="18"/>
                <w:szCs w:val="18"/>
              </w:rPr>
              <w:t xml:space="preserve"> female</w:t>
            </w:r>
          </w:p>
        </w:tc>
        <w:tc>
          <w:tcPr>
            <w:tcW w:w="1237" w:type="pct"/>
          </w:tcPr>
          <w:p w14:paraId="318B9BCA" w14:textId="77777777" w:rsidR="00771D66" w:rsidRPr="00771D66" w:rsidRDefault="00771D66" w:rsidP="00E92353">
            <w:pPr>
              <w:pStyle w:val="Compact"/>
              <w:rPr>
                <w:sz w:val="18"/>
                <w:szCs w:val="18"/>
              </w:rPr>
            </w:pPr>
          </w:p>
        </w:tc>
        <w:tc>
          <w:tcPr>
            <w:tcW w:w="1166" w:type="pct"/>
          </w:tcPr>
          <w:p w14:paraId="53E46348" w14:textId="77777777" w:rsidR="00771D66" w:rsidRPr="00771D66" w:rsidRDefault="00771D66" w:rsidP="00E92353">
            <w:pPr>
              <w:pStyle w:val="Compact"/>
              <w:rPr>
                <w:sz w:val="18"/>
                <w:szCs w:val="18"/>
              </w:rPr>
            </w:pPr>
          </w:p>
        </w:tc>
        <w:tc>
          <w:tcPr>
            <w:tcW w:w="1000" w:type="pct"/>
          </w:tcPr>
          <w:p w14:paraId="7BC1A542" w14:textId="77777777" w:rsidR="00771D66" w:rsidRPr="00771D66" w:rsidRDefault="00771D66" w:rsidP="00E92353">
            <w:pPr>
              <w:pStyle w:val="Compact"/>
              <w:jc w:val="center"/>
              <w:rPr>
                <w:sz w:val="18"/>
                <w:szCs w:val="18"/>
              </w:rPr>
            </w:pPr>
            <w:r w:rsidRPr="00771D66">
              <w:rPr>
                <w:sz w:val="18"/>
                <w:szCs w:val="18"/>
              </w:rPr>
              <w:t>0.8</w:t>
            </w:r>
          </w:p>
        </w:tc>
      </w:tr>
      <w:tr w:rsidR="00771D66" w:rsidRPr="00036590" w14:paraId="4031D5A1"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77C3D589" w14:textId="77777777" w:rsidR="00771D66" w:rsidRPr="00771D66" w:rsidRDefault="00771D66" w:rsidP="00E92353">
            <w:pPr>
              <w:pStyle w:val="Compact"/>
              <w:rPr>
                <w:sz w:val="18"/>
                <w:szCs w:val="18"/>
              </w:rPr>
            </w:pPr>
            <w:r w:rsidRPr="00771D66">
              <w:rPr>
                <w:sz w:val="18"/>
                <w:szCs w:val="18"/>
              </w:rPr>
              <w:t>No</w:t>
            </w:r>
          </w:p>
        </w:tc>
        <w:tc>
          <w:tcPr>
            <w:tcW w:w="1237" w:type="pct"/>
          </w:tcPr>
          <w:p w14:paraId="2EE3E78D" w14:textId="77777777" w:rsidR="00771D66" w:rsidRPr="00771D66" w:rsidRDefault="00771D66" w:rsidP="00E92353">
            <w:pPr>
              <w:pStyle w:val="Compact"/>
              <w:jc w:val="center"/>
              <w:rPr>
                <w:sz w:val="18"/>
                <w:szCs w:val="18"/>
              </w:rPr>
            </w:pPr>
            <w:r w:rsidRPr="00771D66">
              <w:rPr>
                <w:sz w:val="18"/>
                <w:szCs w:val="18"/>
              </w:rPr>
              <w:t>16 (27.6%)</w:t>
            </w:r>
          </w:p>
        </w:tc>
        <w:tc>
          <w:tcPr>
            <w:tcW w:w="1166" w:type="pct"/>
          </w:tcPr>
          <w:p w14:paraId="7836CC95" w14:textId="77777777" w:rsidR="00771D66" w:rsidRPr="00771D66" w:rsidRDefault="00771D66" w:rsidP="00E92353">
            <w:pPr>
              <w:pStyle w:val="Compact"/>
              <w:jc w:val="center"/>
              <w:rPr>
                <w:sz w:val="18"/>
                <w:szCs w:val="18"/>
              </w:rPr>
            </w:pPr>
            <w:r w:rsidRPr="00771D66">
              <w:rPr>
                <w:sz w:val="18"/>
                <w:szCs w:val="18"/>
              </w:rPr>
              <w:t>2 (33.3%)</w:t>
            </w:r>
          </w:p>
        </w:tc>
        <w:tc>
          <w:tcPr>
            <w:tcW w:w="1000" w:type="pct"/>
          </w:tcPr>
          <w:p w14:paraId="69537174" w14:textId="77777777" w:rsidR="00771D66" w:rsidRPr="00771D66" w:rsidRDefault="00771D66" w:rsidP="00E92353">
            <w:pPr>
              <w:pStyle w:val="Compact"/>
              <w:rPr>
                <w:sz w:val="18"/>
                <w:szCs w:val="18"/>
              </w:rPr>
            </w:pPr>
          </w:p>
        </w:tc>
      </w:tr>
      <w:tr w:rsidR="00771D66" w:rsidRPr="00036590" w14:paraId="542D09C0" w14:textId="77777777" w:rsidTr="00190AF8">
        <w:tc>
          <w:tcPr>
            <w:tcW w:w="1597" w:type="pct"/>
          </w:tcPr>
          <w:p w14:paraId="52DD4B4B" w14:textId="77777777" w:rsidR="00771D66" w:rsidRPr="00771D66" w:rsidRDefault="00771D66" w:rsidP="00E92353">
            <w:pPr>
              <w:pStyle w:val="Compact"/>
              <w:rPr>
                <w:sz w:val="18"/>
                <w:szCs w:val="18"/>
              </w:rPr>
            </w:pPr>
            <w:r w:rsidRPr="00771D66">
              <w:rPr>
                <w:sz w:val="18"/>
                <w:szCs w:val="18"/>
              </w:rPr>
              <w:lastRenderedPageBreak/>
              <w:t>Not applicable</w:t>
            </w:r>
          </w:p>
        </w:tc>
        <w:tc>
          <w:tcPr>
            <w:tcW w:w="1237" w:type="pct"/>
          </w:tcPr>
          <w:p w14:paraId="0E9E52DE" w14:textId="77777777" w:rsidR="00771D66" w:rsidRPr="00771D66" w:rsidRDefault="00771D66" w:rsidP="00E92353">
            <w:pPr>
              <w:pStyle w:val="Compact"/>
              <w:jc w:val="center"/>
              <w:rPr>
                <w:sz w:val="18"/>
                <w:szCs w:val="18"/>
              </w:rPr>
            </w:pPr>
            <w:r w:rsidRPr="00771D66">
              <w:rPr>
                <w:sz w:val="18"/>
                <w:szCs w:val="18"/>
              </w:rPr>
              <w:t>23 (39.7%)</w:t>
            </w:r>
          </w:p>
        </w:tc>
        <w:tc>
          <w:tcPr>
            <w:tcW w:w="1166" w:type="pct"/>
          </w:tcPr>
          <w:p w14:paraId="6ADDC139" w14:textId="77777777" w:rsidR="00771D66" w:rsidRPr="00771D66" w:rsidRDefault="00771D66" w:rsidP="00E92353">
            <w:pPr>
              <w:pStyle w:val="Compact"/>
              <w:jc w:val="center"/>
              <w:rPr>
                <w:sz w:val="18"/>
                <w:szCs w:val="18"/>
              </w:rPr>
            </w:pPr>
            <w:r w:rsidRPr="00771D66">
              <w:rPr>
                <w:sz w:val="18"/>
                <w:szCs w:val="18"/>
              </w:rPr>
              <w:t>3 (50.0%)</w:t>
            </w:r>
          </w:p>
        </w:tc>
        <w:tc>
          <w:tcPr>
            <w:tcW w:w="1000" w:type="pct"/>
          </w:tcPr>
          <w:p w14:paraId="584A98D9" w14:textId="77777777" w:rsidR="00771D66" w:rsidRPr="00771D66" w:rsidRDefault="00771D66" w:rsidP="00E92353">
            <w:pPr>
              <w:pStyle w:val="Compact"/>
              <w:rPr>
                <w:sz w:val="18"/>
                <w:szCs w:val="18"/>
              </w:rPr>
            </w:pPr>
          </w:p>
        </w:tc>
      </w:tr>
      <w:tr w:rsidR="00771D66" w:rsidRPr="00036590" w14:paraId="30C13943"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5EDBFB84" w14:textId="77777777" w:rsidR="00771D66" w:rsidRPr="00771D66" w:rsidRDefault="00771D66" w:rsidP="00E92353">
            <w:pPr>
              <w:pStyle w:val="Compact"/>
              <w:rPr>
                <w:sz w:val="18"/>
                <w:szCs w:val="18"/>
              </w:rPr>
            </w:pPr>
            <w:r w:rsidRPr="00771D66">
              <w:rPr>
                <w:sz w:val="18"/>
                <w:szCs w:val="18"/>
              </w:rPr>
              <w:t>Yes</w:t>
            </w:r>
          </w:p>
        </w:tc>
        <w:tc>
          <w:tcPr>
            <w:tcW w:w="1237" w:type="pct"/>
          </w:tcPr>
          <w:p w14:paraId="384CDEF4" w14:textId="77777777" w:rsidR="00771D66" w:rsidRPr="00771D66" w:rsidRDefault="00771D66" w:rsidP="00E92353">
            <w:pPr>
              <w:pStyle w:val="Compact"/>
              <w:jc w:val="center"/>
              <w:rPr>
                <w:sz w:val="18"/>
                <w:szCs w:val="18"/>
              </w:rPr>
            </w:pPr>
            <w:r w:rsidRPr="00771D66">
              <w:rPr>
                <w:sz w:val="18"/>
                <w:szCs w:val="18"/>
              </w:rPr>
              <w:t>19 (32.8%)</w:t>
            </w:r>
          </w:p>
        </w:tc>
        <w:tc>
          <w:tcPr>
            <w:tcW w:w="1166" w:type="pct"/>
          </w:tcPr>
          <w:p w14:paraId="781214F9" w14:textId="77777777" w:rsidR="00771D66" w:rsidRPr="00771D66" w:rsidRDefault="00771D66" w:rsidP="00E92353">
            <w:pPr>
              <w:pStyle w:val="Compact"/>
              <w:jc w:val="center"/>
              <w:rPr>
                <w:sz w:val="18"/>
                <w:szCs w:val="18"/>
              </w:rPr>
            </w:pPr>
            <w:r w:rsidRPr="00771D66">
              <w:rPr>
                <w:sz w:val="18"/>
                <w:szCs w:val="18"/>
              </w:rPr>
              <w:t>1 (16.7%)</w:t>
            </w:r>
          </w:p>
        </w:tc>
        <w:tc>
          <w:tcPr>
            <w:tcW w:w="1000" w:type="pct"/>
          </w:tcPr>
          <w:p w14:paraId="68BB8898" w14:textId="77777777" w:rsidR="00771D66" w:rsidRPr="00771D66" w:rsidRDefault="00771D66" w:rsidP="00E92353">
            <w:pPr>
              <w:pStyle w:val="Compact"/>
              <w:rPr>
                <w:sz w:val="18"/>
                <w:szCs w:val="18"/>
              </w:rPr>
            </w:pPr>
          </w:p>
        </w:tc>
      </w:tr>
      <w:tr w:rsidR="00771D66" w:rsidRPr="00036590" w14:paraId="1C651DB9" w14:textId="77777777" w:rsidTr="00190AF8">
        <w:tc>
          <w:tcPr>
            <w:tcW w:w="1597" w:type="pct"/>
          </w:tcPr>
          <w:p w14:paraId="7FBE9D85" w14:textId="77777777" w:rsidR="00771D66" w:rsidRPr="00771D66" w:rsidRDefault="00771D66" w:rsidP="00E92353">
            <w:pPr>
              <w:pStyle w:val="Compact"/>
              <w:rPr>
                <w:sz w:val="18"/>
                <w:szCs w:val="18"/>
              </w:rPr>
            </w:pPr>
            <w:r w:rsidRPr="00771D66">
              <w:rPr>
                <w:b/>
                <w:bCs/>
                <w:sz w:val="18"/>
                <w:szCs w:val="18"/>
              </w:rPr>
              <w:t>Any postural drop in blood pressure</w:t>
            </w:r>
          </w:p>
        </w:tc>
        <w:tc>
          <w:tcPr>
            <w:tcW w:w="1237" w:type="pct"/>
          </w:tcPr>
          <w:p w14:paraId="4EAE03E2" w14:textId="77777777" w:rsidR="00771D66" w:rsidRPr="00771D66" w:rsidRDefault="00771D66" w:rsidP="00E92353">
            <w:pPr>
              <w:pStyle w:val="Compact"/>
              <w:jc w:val="center"/>
              <w:rPr>
                <w:sz w:val="18"/>
                <w:szCs w:val="18"/>
              </w:rPr>
            </w:pPr>
            <w:r w:rsidRPr="00771D66">
              <w:rPr>
                <w:sz w:val="18"/>
                <w:szCs w:val="18"/>
              </w:rPr>
              <w:t>4 (6.9%)</w:t>
            </w:r>
          </w:p>
        </w:tc>
        <w:tc>
          <w:tcPr>
            <w:tcW w:w="1166" w:type="pct"/>
          </w:tcPr>
          <w:p w14:paraId="04D7C5A7"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64C65542"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0764EAB1"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6E31FAA0" w14:textId="77777777" w:rsidR="00771D66" w:rsidRPr="00771D66" w:rsidRDefault="00771D66" w:rsidP="00E92353">
            <w:pPr>
              <w:pStyle w:val="Compact"/>
              <w:rPr>
                <w:sz w:val="18"/>
                <w:szCs w:val="18"/>
              </w:rPr>
            </w:pPr>
            <w:r w:rsidRPr="00771D66">
              <w:rPr>
                <w:b/>
                <w:bCs/>
                <w:sz w:val="18"/>
                <w:szCs w:val="18"/>
              </w:rPr>
              <w:t xml:space="preserve">Presence of </w:t>
            </w:r>
            <w:proofErr w:type="spellStart"/>
            <w:r w:rsidRPr="00771D66">
              <w:rPr>
                <w:b/>
                <w:bCs/>
                <w:sz w:val="18"/>
                <w:szCs w:val="18"/>
              </w:rPr>
              <w:t>anaemia</w:t>
            </w:r>
            <w:proofErr w:type="spellEnd"/>
          </w:p>
        </w:tc>
        <w:tc>
          <w:tcPr>
            <w:tcW w:w="1237" w:type="pct"/>
          </w:tcPr>
          <w:p w14:paraId="0E68C3B7" w14:textId="77777777" w:rsidR="00771D66" w:rsidRPr="00771D66" w:rsidRDefault="00771D66" w:rsidP="00E92353">
            <w:pPr>
              <w:pStyle w:val="Compact"/>
              <w:jc w:val="center"/>
              <w:rPr>
                <w:sz w:val="18"/>
                <w:szCs w:val="18"/>
              </w:rPr>
            </w:pPr>
            <w:r w:rsidRPr="00771D66">
              <w:rPr>
                <w:sz w:val="18"/>
                <w:szCs w:val="18"/>
              </w:rPr>
              <w:t>36 (62.1%)</w:t>
            </w:r>
          </w:p>
        </w:tc>
        <w:tc>
          <w:tcPr>
            <w:tcW w:w="1166" w:type="pct"/>
          </w:tcPr>
          <w:p w14:paraId="6428F30F" w14:textId="77777777" w:rsidR="00771D66" w:rsidRPr="00771D66" w:rsidRDefault="00771D66" w:rsidP="00E92353">
            <w:pPr>
              <w:pStyle w:val="Compact"/>
              <w:jc w:val="center"/>
              <w:rPr>
                <w:sz w:val="18"/>
                <w:szCs w:val="18"/>
              </w:rPr>
            </w:pPr>
            <w:r w:rsidRPr="00771D66">
              <w:rPr>
                <w:sz w:val="18"/>
                <w:szCs w:val="18"/>
              </w:rPr>
              <w:t>3 (50.0%)</w:t>
            </w:r>
          </w:p>
        </w:tc>
        <w:tc>
          <w:tcPr>
            <w:tcW w:w="1000" w:type="pct"/>
          </w:tcPr>
          <w:p w14:paraId="12016D67" w14:textId="77777777" w:rsidR="00771D66" w:rsidRPr="00771D66" w:rsidRDefault="00771D66" w:rsidP="00E92353">
            <w:pPr>
              <w:pStyle w:val="Compact"/>
              <w:jc w:val="center"/>
              <w:rPr>
                <w:sz w:val="18"/>
                <w:szCs w:val="18"/>
              </w:rPr>
            </w:pPr>
            <w:r w:rsidRPr="00771D66">
              <w:rPr>
                <w:sz w:val="18"/>
                <w:szCs w:val="18"/>
              </w:rPr>
              <w:t>0.7</w:t>
            </w:r>
          </w:p>
        </w:tc>
      </w:tr>
      <w:tr w:rsidR="00771D66" w:rsidRPr="00036590" w14:paraId="3BF7C9D6" w14:textId="77777777" w:rsidTr="00190AF8">
        <w:tc>
          <w:tcPr>
            <w:tcW w:w="1597" w:type="pct"/>
          </w:tcPr>
          <w:p w14:paraId="458C2E24" w14:textId="77777777" w:rsidR="00771D66" w:rsidRPr="00771D66" w:rsidRDefault="00771D66" w:rsidP="00E92353">
            <w:pPr>
              <w:pStyle w:val="Compact"/>
              <w:rPr>
                <w:sz w:val="18"/>
                <w:szCs w:val="18"/>
              </w:rPr>
            </w:pPr>
            <w:r w:rsidRPr="00771D66">
              <w:rPr>
                <w:b/>
                <w:bCs/>
                <w:sz w:val="18"/>
                <w:szCs w:val="18"/>
              </w:rPr>
              <w:t>Tuberculosis</w:t>
            </w:r>
          </w:p>
        </w:tc>
        <w:tc>
          <w:tcPr>
            <w:tcW w:w="1237" w:type="pct"/>
          </w:tcPr>
          <w:p w14:paraId="2DD2EA81" w14:textId="77777777" w:rsidR="00771D66" w:rsidRPr="00771D66" w:rsidRDefault="00771D66" w:rsidP="00E92353">
            <w:pPr>
              <w:pStyle w:val="Compact"/>
              <w:jc w:val="center"/>
              <w:rPr>
                <w:sz w:val="18"/>
                <w:szCs w:val="18"/>
              </w:rPr>
            </w:pPr>
            <w:r w:rsidRPr="00771D66">
              <w:rPr>
                <w:sz w:val="18"/>
                <w:szCs w:val="18"/>
              </w:rPr>
              <w:t>47 (81.0%)</w:t>
            </w:r>
          </w:p>
        </w:tc>
        <w:tc>
          <w:tcPr>
            <w:tcW w:w="1166" w:type="pct"/>
          </w:tcPr>
          <w:p w14:paraId="0F7B1F06" w14:textId="77777777" w:rsidR="00771D66" w:rsidRPr="00771D66" w:rsidRDefault="00771D66" w:rsidP="00E92353">
            <w:pPr>
              <w:pStyle w:val="Compact"/>
              <w:jc w:val="center"/>
              <w:rPr>
                <w:sz w:val="18"/>
                <w:szCs w:val="18"/>
              </w:rPr>
            </w:pPr>
            <w:r w:rsidRPr="00771D66">
              <w:rPr>
                <w:sz w:val="18"/>
                <w:szCs w:val="18"/>
              </w:rPr>
              <w:t>5 (83.3%)</w:t>
            </w:r>
          </w:p>
        </w:tc>
        <w:tc>
          <w:tcPr>
            <w:tcW w:w="1000" w:type="pct"/>
          </w:tcPr>
          <w:p w14:paraId="0161D996"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47C2967A"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2C06F3A8" w14:textId="77777777" w:rsidR="00771D66" w:rsidRPr="00771D66" w:rsidRDefault="00771D66" w:rsidP="00E92353">
            <w:pPr>
              <w:pStyle w:val="Compact"/>
              <w:rPr>
                <w:sz w:val="18"/>
                <w:szCs w:val="18"/>
              </w:rPr>
            </w:pPr>
            <w:r w:rsidRPr="00771D66">
              <w:rPr>
                <w:b/>
                <w:bCs/>
                <w:sz w:val="18"/>
                <w:szCs w:val="18"/>
              </w:rPr>
              <w:t>Cryptococcus neoformans</w:t>
            </w:r>
          </w:p>
        </w:tc>
        <w:tc>
          <w:tcPr>
            <w:tcW w:w="1237" w:type="pct"/>
          </w:tcPr>
          <w:p w14:paraId="21BE3080" w14:textId="77777777" w:rsidR="00771D66" w:rsidRPr="00771D66" w:rsidRDefault="00771D66" w:rsidP="00E92353">
            <w:pPr>
              <w:pStyle w:val="Compact"/>
              <w:jc w:val="center"/>
              <w:rPr>
                <w:sz w:val="18"/>
                <w:szCs w:val="18"/>
              </w:rPr>
            </w:pPr>
            <w:r w:rsidRPr="00771D66">
              <w:rPr>
                <w:sz w:val="18"/>
                <w:szCs w:val="18"/>
              </w:rPr>
              <w:t>3 (5.2%)</w:t>
            </w:r>
          </w:p>
        </w:tc>
        <w:tc>
          <w:tcPr>
            <w:tcW w:w="1166" w:type="pct"/>
          </w:tcPr>
          <w:p w14:paraId="18576862" w14:textId="77777777" w:rsidR="00771D66" w:rsidRPr="00771D66" w:rsidRDefault="00771D66" w:rsidP="00E92353">
            <w:pPr>
              <w:pStyle w:val="Compact"/>
              <w:jc w:val="center"/>
              <w:rPr>
                <w:sz w:val="18"/>
                <w:szCs w:val="18"/>
              </w:rPr>
            </w:pPr>
            <w:r w:rsidRPr="00771D66">
              <w:rPr>
                <w:sz w:val="18"/>
                <w:szCs w:val="18"/>
              </w:rPr>
              <w:t>3 (50.0%)</w:t>
            </w:r>
          </w:p>
        </w:tc>
        <w:tc>
          <w:tcPr>
            <w:tcW w:w="1000" w:type="pct"/>
          </w:tcPr>
          <w:p w14:paraId="6C4C2ED2" w14:textId="77777777" w:rsidR="00771D66" w:rsidRPr="00190AF8" w:rsidRDefault="00771D66" w:rsidP="00E92353">
            <w:pPr>
              <w:pStyle w:val="Compact"/>
              <w:jc w:val="center"/>
              <w:rPr>
                <w:b/>
                <w:bCs/>
                <w:sz w:val="18"/>
                <w:szCs w:val="18"/>
              </w:rPr>
            </w:pPr>
            <w:r w:rsidRPr="00190AF8">
              <w:rPr>
                <w:b/>
                <w:bCs/>
                <w:sz w:val="18"/>
                <w:szCs w:val="18"/>
              </w:rPr>
              <w:t>0.009</w:t>
            </w:r>
          </w:p>
        </w:tc>
      </w:tr>
      <w:tr w:rsidR="00771D66" w:rsidRPr="00036590" w14:paraId="3EACFD4E" w14:textId="77777777" w:rsidTr="00190AF8">
        <w:tc>
          <w:tcPr>
            <w:tcW w:w="1597" w:type="pct"/>
          </w:tcPr>
          <w:p w14:paraId="0F1397D8" w14:textId="77777777" w:rsidR="00771D66" w:rsidRPr="00771D66" w:rsidRDefault="00771D66" w:rsidP="00E92353">
            <w:pPr>
              <w:pStyle w:val="Compact"/>
              <w:rPr>
                <w:sz w:val="18"/>
                <w:szCs w:val="18"/>
              </w:rPr>
            </w:pPr>
            <w:r w:rsidRPr="00771D66">
              <w:rPr>
                <w:b/>
                <w:bCs/>
                <w:sz w:val="18"/>
                <w:szCs w:val="18"/>
              </w:rPr>
              <w:t>Pneumonia</w:t>
            </w:r>
          </w:p>
        </w:tc>
        <w:tc>
          <w:tcPr>
            <w:tcW w:w="1237" w:type="pct"/>
          </w:tcPr>
          <w:p w14:paraId="7DB504EB" w14:textId="77777777" w:rsidR="00771D66" w:rsidRPr="00771D66" w:rsidRDefault="00771D66" w:rsidP="00E92353">
            <w:pPr>
              <w:pStyle w:val="Compact"/>
              <w:jc w:val="center"/>
              <w:rPr>
                <w:sz w:val="18"/>
                <w:szCs w:val="18"/>
              </w:rPr>
            </w:pPr>
            <w:r w:rsidRPr="00771D66">
              <w:rPr>
                <w:sz w:val="18"/>
                <w:szCs w:val="18"/>
              </w:rPr>
              <w:t>7 (12.1%)</w:t>
            </w:r>
          </w:p>
        </w:tc>
        <w:tc>
          <w:tcPr>
            <w:tcW w:w="1166" w:type="pct"/>
          </w:tcPr>
          <w:p w14:paraId="248AA834"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76639DE4"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38ECC8A3"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0D7E72A7" w14:textId="77777777" w:rsidR="00771D66" w:rsidRPr="00771D66" w:rsidRDefault="00771D66" w:rsidP="00E92353">
            <w:pPr>
              <w:pStyle w:val="Compact"/>
              <w:rPr>
                <w:sz w:val="18"/>
                <w:szCs w:val="18"/>
              </w:rPr>
            </w:pPr>
            <w:r w:rsidRPr="00771D66">
              <w:rPr>
                <w:b/>
                <w:bCs/>
                <w:sz w:val="18"/>
                <w:szCs w:val="18"/>
              </w:rPr>
              <w:t>Staph aureus</w:t>
            </w:r>
          </w:p>
        </w:tc>
        <w:tc>
          <w:tcPr>
            <w:tcW w:w="1237" w:type="pct"/>
          </w:tcPr>
          <w:p w14:paraId="470137ED"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14CB4EF9"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56A1720F" w14:textId="77777777" w:rsidR="00771D66" w:rsidRPr="00771D66" w:rsidRDefault="00771D66" w:rsidP="00E92353">
            <w:pPr>
              <w:pStyle w:val="Compact"/>
              <w:rPr>
                <w:sz w:val="18"/>
                <w:szCs w:val="18"/>
              </w:rPr>
            </w:pPr>
          </w:p>
        </w:tc>
      </w:tr>
      <w:tr w:rsidR="00771D66" w:rsidRPr="00036590" w14:paraId="213FF7B1" w14:textId="77777777" w:rsidTr="00190AF8">
        <w:tc>
          <w:tcPr>
            <w:tcW w:w="1597" w:type="pct"/>
          </w:tcPr>
          <w:p w14:paraId="6ED9E323" w14:textId="77777777" w:rsidR="00771D66" w:rsidRPr="00771D66" w:rsidRDefault="00771D66" w:rsidP="00E92353">
            <w:pPr>
              <w:pStyle w:val="Compact"/>
              <w:rPr>
                <w:sz w:val="18"/>
                <w:szCs w:val="18"/>
              </w:rPr>
            </w:pPr>
            <w:proofErr w:type="spellStart"/>
            <w:r w:rsidRPr="00771D66">
              <w:rPr>
                <w:b/>
                <w:bCs/>
                <w:sz w:val="18"/>
                <w:szCs w:val="18"/>
              </w:rPr>
              <w:t>Kaposis</w:t>
            </w:r>
            <w:proofErr w:type="spellEnd"/>
            <w:r w:rsidRPr="00771D66">
              <w:rPr>
                <w:b/>
                <w:bCs/>
                <w:sz w:val="18"/>
                <w:szCs w:val="18"/>
              </w:rPr>
              <w:t xml:space="preserve"> sarcoma</w:t>
            </w:r>
          </w:p>
        </w:tc>
        <w:tc>
          <w:tcPr>
            <w:tcW w:w="1237" w:type="pct"/>
          </w:tcPr>
          <w:p w14:paraId="37EBB252"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6824D053"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6758E681" w14:textId="77777777" w:rsidR="00771D66" w:rsidRPr="00771D66" w:rsidRDefault="00771D66" w:rsidP="00E92353">
            <w:pPr>
              <w:pStyle w:val="Compact"/>
              <w:rPr>
                <w:sz w:val="18"/>
                <w:szCs w:val="18"/>
              </w:rPr>
            </w:pPr>
          </w:p>
        </w:tc>
      </w:tr>
      <w:tr w:rsidR="00771D66" w:rsidRPr="00036590" w14:paraId="35D884B2"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2E0DF288" w14:textId="77777777" w:rsidR="00771D66" w:rsidRPr="00771D66" w:rsidRDefault="00771D66" w:rsidP="00E92353">
            <w:pPr>
              <w:pStyle w:val="Compact"/>
              <w:rPr>
                <w:sz w:val="18"/>
                <w:szCs w:val="18"/>
              </w:rPr>
            </w:pPr>
            <w:r w:rsidRPr="00771D66">
              <w:rPr>
                <w:b/>
                <w:bCs/>
                <w:sz w:val="18"/>
                <w:szCs w:val="18"/>
              </w:rPr>
              <w:t>Cytomegalovirus</w:t>
            </w:r>
          </w:p>
        </w:tc>
        <w:tc>
          <w:tcPr>
            <w:tcW w:w="1237" w:type="pct"/>
          </w:tcPr>
          <w:p w14:paraId="681E1A3B"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65E12691"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0991806A" w14:textId="77777777" w:rsidR="00771D66" w:rsidRPr="00771D66" w:rsidRDefault="00771D66" w:rsidP="00E92353">
            <w:pPr>
              <w:pStyle w:val="Compact"/>
              <w:rPr>
                <w:sz w:val="18"/>
                <w:szCs w:val="18"/>
              </w:rPr>
            </w:pPr>
          </w:p>
        </w:tc>
      </w:tr>
      <w:tr w:rsidR="00771D66" w:rsidRPr="00036590" w14:paraId="606ADCA7" w14:textId="77777777" w:rsidTr="00190AF8">
        <w:tc>
          <w:tcPr>
            <w:tcW w:w="1597" w:type="pct"/>
          </w:tcPr>
          <w:p w14:paraId="4E6760E1" w14:textId="77777777" w:rsidR="00771D66" w:rsidRPr="00771D66" w:rsidRDefault="00771D66" w:rsidP="00E92353">
            <w:pPr>
              <w:pStyle w:val="Compact"/>
              <w:rPr>
                <w:sz w:val="18"/>
                <w:szCs w:val="18"/>
              </w:rPr>
            </w:pPr>
            <w:r w:rsidRPr="00771D66">
              <w:rPr>
                <w:b/>
                <w:bCs/>
                <w:sz w:val="18"/>
                <w:szCs w:val="18"/>
              </w:rPr>
              <w:t>HSV</w:t>
            </w:r>
          </w:p>
        </w:tc>
        <w:tc>
          <w:tcPr>
            <w:tcW w:w="1237" w:type="pct"/>
          </w:tcPr>
          <w:p w14:paraId="6EFC64C3" w14:textId="77777777" w:rsidR="00771D66" w:rsidRPr="00771D66" w:rsidRDefault="00771D66" w:rsidP="00E92353">
            <w:pPr>
              <w:pStyle w:val="Compact"/>
              <w:jc w:val="center"/>
              <w:rPr>
                <w:sz w:val="18"/>
                <w:szCs w:val="18"/>
              </w:rPr>
            </w:pPr>
            <w:r w:rsidRPr="00771D66">
              <w:rPr>
                <w:sz w:val="18"/>
                <w:szCs w:val="18"/>
              </w:rPr>
              <w:t>1 (1.7%)</w:t>
            </w:r>
          </w:p>
        </w:tc>
        <w:tc>
          <w:tcPr>
            <w:tcW w:w="1166" w:type="pct"/>
          </w:tcPr>
          <w:p w14:paraId="63B2828D"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524742D9"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19A11215"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7E9FEBAC" w14:textId="77777777" w:rsidR="00771D66" w:rsidRPr="00771D66" w:rsidRDefault="00771D66" w:rsidP="00E92353">
            <w:pPr>
              <w:pStyle w:val="Compact"/>
              <w:rPr>
                <w:sz w:val="18"/>
                <w:szCs w:val="18"/>
              </w:rPr>
            </w:pPr>
            <w:proofErr w:type="spellStart"/>
            <w:r w:rsidRPr="00771D66">
              <w:rPr>
                <w:b/>
                <w:bCs/>
                <w:sz w:val="18"/>
                <w:szCs w:val="18"/>
              </w:rPr>
              <w:t>HepB</w:t>
            </w:r>
            <w:proofErr w:type="spellEnd"/>
          </w:p>
        </w:tc>
        <w:tc>
          <w:tcPr>
            <w:tcW w:w="1237" w:type="pct"/>
          </w:tcPr>
          <w:p w14:paraId="58213319"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0CB22B77" w14:textId="77777777" w:rsidR="00771D66" w:rsidRPr="00771D66" w:rsidRDefault="00771D66" w:rsidP="00E92353">
            <w:pPr>
              <w:pStyle w:val="Compact"/>
              <w:jc w:val="center"/>
              <w:rPr>
                <w:sz w:val="18"/>
                <w:szCs w:val="18"/>
              </w:rPr>
            </w:pPr>
            <w:r w:rsidRPr="00771D66">
              <w:rPr>
                <w:sz w:val="18"/>
                <w:szCs w:val="18"/>
              </w:rPr>
              <w:t>1 (16.7%)</w:t>
            </w:r>
          </w:p>
        </w:tc>
        <w:tc>
          <w:tcPr>
            <w:tcW w:w="1000" w:type="pct"/>
          </w:tcPr>
          <w:p w14:paraId="2A3A1E7E" w14:textId="77777777" w:rsidR="00771D66" w:rsidRPr="00771D66" w:rsidRDefault="00771D66" w:rsidP="00E92353">
            <w:pPr>
              <w:pStyle w:val="Compact"/>
              <w:jc w:val="center"/>
              <w:rPr>
                <w:sz w:val="18"/>
                <w:szCs w:val="18"/>
              </w:rPr>
            </w:pPr>
            <w:r w:rsidRPr="00771D66">
              <w:rPr>
                <w:sz w:val="18"/>
                <w:szCs w:val="18"/>
              </w:rPr>
              <w:t>0.094</w:t>
            </w:r>
          </w:p>
        </w:tc>
      </w:tr>
      <w:tr w:rsidR="00771D66" w:rsidRPr="00036590" w14:paraId="2C43CFF1" w14:textId="77777777" w:rsidTr="00190AF8">
        <w:tc>
          <w:tcPr>
            <w:tcW w:w="1597" w:type="pct"/>
          </w:tcPr>
          <w:p w14:paraId="533F7E14" w14:textId="77777777" w:rsidR="00771D66" w:rsidRPr="00771D66" w:rsidRDefault="00771D66" w:rsidP="00E92353">
            <w:pPr>
              <w:pStyle w:val="Compact"/>
              <w:rPr>
                <w:sz w:val="18"/>
                <w:szCs w:val="18"/>
              </w:rPr>
            </w:pPr>
            <w:r w:rsidRPr="00771D66">
              <w:rPr>
                <w:b/>
                <w:bCs/>
                <w:sz w:val="18"/>
                <w:szCs w:val="18"/>
              </w:rPr>
              <w:t>Candida</w:t>
            </w:r>
          </w:p>
        </w:tc>
        <w:tc>
          <w:tcPr>
            <w:tcW w:w="1237" w:type="pct"/>
          </w:tcPr>
          <w:p w14:paraId="45D4A5EC" w14:textId="77777777" w:rsidR="00771D66" w:rsidRPr="00771D66" w:rsidRDefault="00771D66" w:rsidP="00E92353">
            <w:pPr>
              <w:pStyle w:val="Compact"/>
              <w:jc w:val="center"/>
              <w:rPr>
                <w:sz w:val="18"/>
                <w:szCs w:val="18"/>
              </w:rPr>
            </w:pPr>
            <w:r w:rsidRPr="00771D66">
              <w:rPr>
                <w:sz w:val="18"/>
                <w:szCs w:val="18"/>
              </w:rPr>
              <w:t>4 (6.9%)</w:t>
            </w:r>
          </w:p>
        </w:tc>
        <w:tc>
          <w:tcPr>
            <w:tcW w:w="1166" w:type="pct"/>
          </w:tcPr>
          <w:p w14:paraId="09EE34B7"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12690C20"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5464A29F"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408D1EA0" w14:textId="77777777" w:rsidR="00771D66" w:rsidRPr="00771D66" w:rsidRDefault="00771D66" w:rsidP="00E92353">
            <w:pPr>
              <w:pStyle w:val="Compact"/>
              <w:rPr>
                <w:sz w:val="18"/>
                <w:szCs w:val="18"/>
              </w:rPr>
            </w:pPr>
            <w:r w:rsidRPr="00771D66">
              <w:rPr>
                <w:b/>
                <w:bCs/>
                <w:sz w:val="18"/>
                <w:szCs w:val="18"/>
              </w:rPr>
              <w:t>GE/c diff</w:t>
            </w:r>
          </w:p>
        </w:tc>
        <w:tc>
          <w:tcPr>
            <w:tcW w:w="1237" w:type="pct"/>
          </w:tcPr>
          <w:p w14:paraId="00DCC44F"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3063B88E"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7CABFFB7" w14:textId="77777777" w:rsidR="00771D66" w:rsidRPr="00771D66" w:rsidRDefault="00771D66" w:rsidP="00E92353">
            <w:pPr>
              <w:pStyle w:val="Compact"/>
              <w:rPr>
                <w:sz w:val="18"/>
                <w:szCs w:val="18"/>
              </w:rPr>
            </w:pPr>
          </w:p>
        </w:tc>
      </w:tr>
      <w:tr w:rsidR="00771D66" w:rsidRPr="00036590" w14:paraId="6CC84E1E" w14:textId="77777777" w:rsidTr="00190AF8">
        <w:tc>
          <w:tcPr>
            <w:tcW w:w="1597" w:type="pct"/>
          </w:tcPr>
          <w:p w14:paraId="33BF9431" w14:textId="77777777" w:rsidR="00771D66" w:rsidRPr="00771D66" w:rsidRDefault="00771D66" w:rsidP="00E92353">
            <w:pPr>
              <w:pStyle w:val="Compact"/>
              <w:rPr>
                <w:sz w:val="18"/>
                <w:szCs w:val="18"/>
              </w:rPr>
            </w:pPr>
            <w:r w:rsidRPr="00771D66">
              <w:rPr>
                <w:b/>
                <w:bCs/>
                <w:sz w:val="18"/>
                <w:szCs w:val="18"/>
              </w:rPr>
              <w:t>Parvo B19</w:t>
            </w:r>
          </w:p>
        </w:tc>
        <w:tc>
          <w:tcPr>
            <w:tcW w:w="1237" w:type="pct"/>
          </w:tcPr>
          <w:p w14:paraId="57A4DAE4"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6A6E346B"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20DDD3AD" w14:textId="77777777" w:rsidR="00771D66" w:rsidRPr="00771D66" w:rsidRDefault="00771D66" w:rsidP="00E92353">
            <w:pPr>
              <w:pStyle w:val="Compact"/>
              <w:rPr>
                <w:sz w:val="18"/>
                <w:szCs w:val="18"/>
              </w:rPr>
            </w:pPr>
          </w:p>
        </w:tc>
      </w:tr>
      <w:tr w:rsidR="00771D66" w:rsidRPr="00036590" w14:paraId="7BA529C3"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5B69CA4F" w14:textId="77777777" w:rsidR="00771D66" w:rsidRPr="00771D66" w:rsidRDefault="00771D66" w:rsidP="00E92353">
            <w:pPr>
              <w:pStyle w:val="Compact"/>
              <w:rPr>
                <w:sz w:val="18"/>
                <w:szCs w:val="18"/>
              </w:rPr>
            </w:pPr>
            <w:r w:rsidRPr="00771D66">
              <w:rPr>
                <w:b/>
                <w:bCs/>
                <w:sz w:val="18"/>
                <w:szCs w:val="18"/>
              </w:rPr>
              <w:t>Syphilis</w:t>
            </w:r>
          </w:p>
        </w:tc>
        <w:tc>
          <w:tcPr>
            <w:tcW w:w="1237" w:type="pct"/>
          </w:tcPr>
          <w:p w14:paraId="04832AD2" w14:textId="77777777" w:rsidR="00771D66" w:rsidRPr="00771D66" w:rsidRDefault="00771D66" w:rsidP="00E92353">
            <w:pPr>
              <w:pStyle w:val="Compact"/>
              <w:jc w:val="center"/>
              <w:rPr>
                <w:sz w:val="18"/>
                <w:szCs w:val="18"/>
              </w:rPr>
            </w:pPr>
            <w:r w:rsidRPr="00771D66">
              <w:rPr>
                <w:sz w:val="18"/>
                <w:szCs w:val="18"/>
              </w:rPr>
              <w:t>2 (3.4%)</w:t>
            </w:r>
          </w:p>
        </w:tc>
        <w:tc>
          <w:tcPr>
            <w:tcW w:w="1166" w:type="pct"/>
          </w:tcPr>
          <w:p w14:paraId="370E5FE7"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3D8201CD"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56AF0C63" w14:textId="77777777" w:rsidTr="00190AF8">
        <w:tc>
          <w:tcPr>
            <w:tcW w:w="1597" w:type="pct"/>
          </w:tcPr>
          <w:p w14:paraId="0A4023D1" w14:textId="77777777" w:rsidR="00771D66" w:rsidRPr="00771D66" w:rsidRDefault="00771D66" w:rsidP="00E92353">
            <w:pPr>
              <w:pStyle w:val="Compact"/>
              <w:rPr>
                <w:sz w:val="18"/>
                <w:szCs w:val="18"/>
              </w:rPr>
            </w:pPr>
            <w:r w:rsidRPr="00771D66">
              <w:rPr>
                <w:b/>
                <w:bCs/>
                <w:sz w:val="18"/>
                <w:szCs w:val="18"/>
              </w:rPr>
              <w:t xml:space="preserve">B </w:t>
            </w:r>
            <w:proofErr w:type="spellStart"/>
            <w:r w:rsidRPr="00771D66">
              <w:rPr>
                <w:b/>
                <w:bCs/>
                <w:sz w:val="18"/>
                <w:szCs w:val="18"/>
              </w:rPr>
              <w:t>menigitis</w:t>
            </w:r>
            <w:proofErr w:type="spellEnd"/>
          </w:p>
        </w:tc>
        <w:tc>
          <w:tcPr>
            <w:tcW w:w="1237" w:type="pct"/>
          </w:tcPr>
          <w:p w14:paraId="59AAB3B5" w14:textId="77777777" w:rsidR="00771D66" w:rsidRPr="00771D66" w:rsidRDefault="00771D66" w:rsidP="00E92353">
            <w:pPr>
              <w:pStyle w:val="Compact"/>
              <w:jc w:val="center"/>
              <w:rPr>
                <w:sz w:val="18"/>
                <w:szCs w:val="18"/>
              </w:rPr>
            </w:pPr>
            <w:r w:rsidRPr="00771D66">
              <w:rPr>
                <w:sz w:val="18"/>
                <w:szCs w:val="18"/>
              </w:rPr>
              <w:t>1 (1.7%)</w:t>
            </w:r>
          </w:p>
        </w:tc>
        <w:tc>
          <w:tcPr>
            <w:tcW w:w="1166" w:type="pct"/>
          </w:tcPr>
          <w:p w14:paraId="04BD1C18"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65EB896D"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617E3E52"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147B0FC7" w14:textId="77777777" w:rsidR="00771D66" w:rsidRPr="00771D66" w:rsidRDefault="00771D66" w:rsidP="00E92353">
            <w:pPr>
              <w:pStyle w:val="Compact"/>
              <w:rPr>
                <w:sz w:val="18"/>
                <w:szCs w:val="18"/>
              </w:rPr>
            </w:pPr>
            <w:r w:rsidRPr="00771D66">
              <w:rPr>
                <w:b/>
                <w:bCs/>
                <w:sz w:val="18"/>
                <w:szCs w:val="18"/>
              </w:rPr>
              <w:t>UTI / Leptospirosis</w:t>
            </w:r>
          </w:p>
        </w:tc>
        <w:tc>
          <w:tcPr>
            <w:tcW w:w="1237" w:type="pct"/>
          </w:tcPr>
          <w:p w14:paraId="501908A7" w14:textId="77777777" w:rsidR="00771D66" w:rsidRPr="00771D66" w:rsidRDefault="00771D66" w:rsidP="00E92353">
            <w:pPr>
              <w:pStyle w:val="Compact"/>
              <w:jc w:val="center"/>
              <w:rPr>
                <w:sz w:val="18"/>
                <w:szCs w:val="18"/>
              </w:rPr>
            </w:pPr>
            <w:r w:rsidRPr="00771D66">
              <w:rPr>
                <w:sz w:val="18"/>
                <w:szCs w:val="18"/>
              </w:rPr>
              <w:t>1 (1.7%)</w:t>
            </w:r>
          </w:p>
        </w:tc>
        <w:tc>
          <w:tcPr>
            <w:tcW w:w="1166" w:type="pct"/>
          </w:tcPr>
          <w:p w14:paraId="6B6DD3D2"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6F64015E"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6D734429" w14:textId="77777777" w:rsidTr="00190AF8">
        <w:tc>
          <w:tcPr>
            <w:tcW w:w="1597" w:type="pct"/>
          </w:tcPr>
          <w:p w14:paraId="4329C74D" w14:textId="77777777" w:rsidR="00771D66" w:rsidRPr="00771D66" w:rsidRDefault="00771D66" w:rsidP="00E92353">
            <w:pPr>
              <w:pStyle w:val="Compact"/>
              <w:rPr>
                <w:sz w:val="18"/>
                <w:szCs w:val="18"/>
              </w:rPr>
            </w:pPr>
            <w:r w:rsidRPr="00771D66">
              <w:rPr>
                <w:b/>
                <w:bCs/>
                <w:sz w:val="18"/>
                <w:szCs w:val="18"/>
              </w:rPr>
              <w:t>PCP</w:t>
            </w:r>
          </w:p>
        </w:tc>
        <w:tc>
          <w:tcPr>
            <w:tcW w:w="1237" w:type="pct"/>
          </w:tcPr>
          <w:p w14:paraId="34CFA3F3" w14:textId="77777777" w:rsidR="00771D66" w:rsidRPr="00771D66" w:rsidRDefault="00771D66" w:rsidP="00E92353">
            <w:pPr>
              <w:pStyle w:val="Compact"/>
              <w:jc w:val="center"/>
              <w:rPr>
                <w:sz w:val="18"/>
                <w:szCs w:val="18"/>
              </w:rPr>
            </w:pPr>
            <w:r w:rsidRPr="00771D66">
              <w:rPr>
                <w:sz w:val="18"/>
                <w:szCs w:val="18"/>
              </w:rPr>
              <w:t>2 (3.4%)</w:t>
            </w:r>
          </w:p>
        </w:tc>
        <w:tc>
          <w:tcPr>
            <w:tcW w:w="1166" w:type="pct"/>
          </w:tcPr>
          <w:p w14:paraId="1CD165FD"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2842640B" w14:textId="77777777" w:rsidR="00771D66" w:rsidRPr="00771D66" w:rsidRDefault="00771D66" w:rsidP="00E92353">
            <w:pPr>
              <w:pStyle w:val="Compact"/>
              <w:jc w:val="center"/>
              <w:rPr>
                <w:sz w:val="18"/>
                <w:szCs w:val="18"/>
              </w:rPr>
            </w:pPr>
            <w:r w:rsidRPr="00771D66">
              <w:rPr>
                <w:sz w:val="18"/>
                <w:szCs w:val="18"/>
              </w:rPr>
              <w:t>&gt;0.9</w:t>
            </w:r>
          </w:p>
        </w:tc>
      </w:tr>
      <w:tr w:rsidR="00771D66" w:rsidRPr="00036590" w14:paraId="106F11AA"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7A0AC29D" w14:textId="77777777" w:rsidR="00771D66" w:rsidRPr="00771D66" w:rsidRDefault="00771D66" w:rsidP="00E92353">
            <w:pPr>
              <w:pStyle w:val="Compact"/>
              <w:rPr>
                <w:sz w:val="18"/>
                <w:szCs w:val="18"/>
              </w:rPr>
            </w:pPr>
            <w:r w:rsidRPr="00771D66">
              <w:rPr>
                <w:b/>
                <w:bCs/>
                <w:sz w:val="18"/>
                <w:szCs w:val="18"/>
              </w:rPr>
              <w:t>COVID-19</w:t>
            </w:r>
          </w:p>
        </w:tc>
        <w:tc>
          <w:tcPr>
            <w:tcW w:w="1237" w:type="pct"/>
          </w:tcPr>
          <w:p w14:paraId="09D90CA1"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66C63F3F"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5E754E05" w14:textId="77777777" w:rsidR="00771D66" w:rsidRPr="00771D66" w:rsidRDefault="00771D66" w:rsidP="00E92353">
            <w:pPr>
              <w:pStyle w:val="Compact"/>
              <w:rPr>
                <w:sz w:val="18"/>
                <w:szCs w:val="18"/>
              </w:rPr>
            </w:pPr>
          </w:p>
        </w:tc>
      </w:tr>
      <w:tr w:rsidR="00771D66" w:rsidRPr="00036590" w14:paraId="0272E67D" w14:textId="77777777" w:rsidTr="00190AF8">
        <w:tc>
          <w:tcPr>
            <w:tcW w:w="1597" w:type="pct"/>
          </w:tcPr>
          <w:p w14:paraId="100566C0" w14:textId="77777777" w:rsidR="00771D66" w:rsidRPr="00771D66" w:rsidRDefault="00771D66" w:rsidP="00E92353">
            <w:pPr>
              <w:pStyle w:val="Compact"/>
              <w:rPr>
                <w:sz w:val="18"/>
                <w:szCs w:val="18"/>
              </w:rPr>
            </w:pPr>
            <w:r w:rsidRPr="00771D66">
              <w:rPr>
                <w:b/>
                <w:bCs/>
                <w:sz w:val="18"/>
                <w:szCs w:val="18"/>
              </w:rPr>
              <w:t>Neurocysticercosis</w:t>
            </w:r>
          </w:p>
        </w:tc>
        <w:tc>
          <w:tcPr>
            <w:tcW w:w="1237" w:type="pct"/>
          </w:tcPr>
          <w:p w14:paraId="3A438BDF" w14:textId="77777777" w:rsidR="00771D66" w:rsidRPr="00771D66" w:rsidRDefault="00771D66" w:rsidP="00E92353">
            <w:pPr>
              <w:pStyle w:val="Compact"/>
              <w:jc w:val="center"/>
              <w:rPr>
                <w:sz w:val="18"/>
                <w:szCs w:val="18"/>
              </w:rPr>
            </w:pPr>
            <w:r w:rsidRPr="00771D66">
              <w:rPr>
                <w:sz w:val="18"/>
                <w:szCs w:val="18"/>
              </w:rPr>
              <w:t>0 (0.0%)</w:t>
            </w:r>
          </w:p>
        </w:tc>
        <w:tc>
          <w:tcPr>
            <w:tcW w:w="1166" w:type="pct"/>
          </w:tcPr>
          <w:p w14:paraId="4C59C5B9" w14:textId="77777777" w:rsidR="00771D66" w:rsidRPr="00771D66" w:rsidRDefault="00771D66" w:rsidP="00E92353">
            <w:pPr>
              <w:pStyle w:val="Compact"/>
              <w:jc w:val="center"/>
              <w:rPr>
                <w:sz w:val="18"/>
                <w:szCs w:val="18"/>
              </w:rPr>
            </w:pPr>
            <w:r w:rsidRPr="00771D66">
              <w:rPr>
                <w:sz w:val="18"/>
                <w:szCs w:val="18"/>
              </w:rPr>
              <w:t>0 (0.0%)</w:t>
            </w:r>
          </w:p>
        </w:tc>
        <w:tc>
          <w:tcPr>
            <w:tcW w:w="1000" w:type="pct"/>
          </w:tcPr>
          <w:p w14:paraId="2B0330A3" w14:textId="77777777" w:rsidR="00771D66" w:rsidRPr="00771D66" w:rsidRDefault="00771D66" w:rsidP="00E92353">
            <w:pPr>
              <w:pStyle w:val="Compact"/>
              <w:rPr>
                <w:sz w:val="18"/>
                <w:szCs w:val="18"/>
              </w:rPr>
            </w:pPr>
          </w:p>
        </w:tc>
      </w:tr>
      <w:tr w:rsidR="00771D66" w:rsidRPr="00036590" w14:paraId="44F5C6A1"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0D010C66" w14:textId="77777777" w:rsidR="00771D66" w:rsidRPr="00771D66" w:rsidRDefault="00771D66" w:rsidP="00E92353">
            <w:pPr>
              <w:pStyle w:val="Compact"/>
              <w:rPr>
                <w:sz w:val="18"/>
                <w:szCs w:val="18"/>
              </w:rPr>
            </w:pPr>
            <w:r w:rsidRPr="00771D66">
              <w:rPr>
                <w:b/>
                <w:bCs/>
                <w:sz w:val="18"/>
                <w:szCs w:val="18"/>
              </w:rPr>
              <w:t>Viral load (log10 Copies/mL)</w:t>
            </w:r>
          </w:p>
        </w:tc>
        <w:tc>
          <w:tcPr>
            <w:tcW w:w="1237" w:type="pct"/>
          </w:tcPr>
          <w:p w14:paraId="7C45675D" w14:textId="77777777" w:rsidR="00771D66" w:rsidRPr="00771D66" w:rsidRDefault="00771D66" w:rsidP="00E92353">
            <w:pPr>
              <w:pStyle w:val="Compact"/>
              <w:jc w:val="center"/>
              <w:rPr>
                <w:sz w:val="18"/>
                <w:szCs w:val="18"/>
              </w:rPr>
            </w:pPr>
            <w:r w:rsidRPr="00771D66">
              <w:rPr>
                <w:sz w:val="18"/>
                <w:szCs w:val="18"/>
              </w:rPr>
              <w:t>12.00 (10.29, 13.14)</w:t>
            </w:r>
          </w:p>
        </w:tc>
        <w:tc>
          <w:tcPr>
            <w:tcW w:w="1166" w:type="pct"/>
          </w:tcPr>
          <w:p w14:paraId="0D9B6878" w14:textId="77777777" w:rsidR="00771D66" w:rsidRPr="00771D66" w:rsidRDefault="00771D66" w:rsidP="00E92353">
            <w:pPr>
              <w:pStyle w:val="Compact"/>
              <w:jc w:val="center"/>
              <w:rPr>
                <w:sz w:val="18"/>
                <w:szCs w:val="18"/>
              </w:rPr>
            </w:pPr>
            <w:r w:rsidRPr="00771D66">
              <w:rPr>
                <w:sz w:val="18"/>
                <w:szCs w:val="18"/>
              </w:rPr>
              <w:t>NA (NA, NA)</w:t>
            </w:r>
          </w:p>
        </w:tc>
        <w:tc>
          <w:tcPr>
            <w:tcW w:w="1000" w:type="pct"/>
          </w:tcPr>
          <w:p w14:paraId="1E037A5E" w14:textId="77777777" w:rsidR="00771D66" w:rsidRPr="00771D66" w:rsidRDefault="00771D66" w:rsidP="00E92353">
            <w:pPr>
              <w:pStyle w:val="Compact"/>
              <w:rPr>
                <w:sz w:val="18"/>
                <w:szCs w:val="18"/>
              </w:rPr>
            </w:pPr>
          </w:p>
        </w:tc>
      </w:tr>
      <w:tr w:rsidR="00771D66" w:rsidRPr="00036590" w14:paraId="100C0EF1" w14:textId="77777777" w:rsidTr="00190AF8">
        <w:tc>
          <w:tcPr>
            <w:tcW w:w="1597" w:type="pct"/>
          </w:tcPr>
          <w:p w14:paraId="23D1E88E" w14:textId="77777777" w:rsidR="00771D66" w:rsidRPr="00771D66" w:rsidRDefault="00771D66" w:rsidP="00E92353">
            <w:pPr>
              <w:pStyle w:val="Compact"/>
              <w:rPr>
                <w:sz w:val="18"/>
                <w:szCs w:val="18"/>
              </w:rPr>
            </w:pPr>
            <w:r w:rsidRPr="00771D66">
              <w:rPr>
                <w:sz w:val="18"/>
                <w:szCs w:val="18"/>
              </w:rPr>
              <w:t>10.4579184937828</w:t>
            </w:r>
          </w:p>
        </w:tc>
        <w:tc>
          <w:tcPr>
            <w:tcW w:w="1237" w:type="pct"/>
          </w:tcPr>
          <w:p w14:paraId="46D34FCD" w14:textId="77777777" w:rsidR="00771D66" w:rsidRPr="00771D66" w:rsidRDefault="00771D66" w:rsidP="00E92353">
            <w:pPr>
              <w:pStyle w:val="Compact"/>
              <w:rPr>
                <w:sz w:val="18"/>
                <w:szCs w:val="18"/>
              </w:rPr>
            </w:pPr>
          </w:p>
        </w:tc>
        <w:tc>
          <w:tcPr>
            <w:tcW w:w="1166" w:type="pct"/>
          </w:tcPr>
          <w:p w14:paraId="33A93880" w14:textId="77777777" w:rsidR="00771D66" w:rsidRPr="00771D66" w:rsidRDefault="00771D66" w:rsidP="00E92353">
            <w:pPr>
              <w:pStyle w:val="Compact"/>
              <w:rPr>
                <w:sz w:val="18"/>
                <w:szCs w:val="18"/>
              </w:rPr>
            </w:pPr>
          </w:p>
        </w:tc>
        <w:tc>
          <w:tcPr>
            <w:tcW w:w="1000" w:type="pct"/>
          </w:tcPr>
          <w:p w14:paraId="7DE955D8" w14:textId="77777777" w:rsidR="00771D66" w:rsidRPr="00771D66" w:rsidRDefault="00771D66" w:rsidP="00E92353">
            <w:pPr>
              <w:pStyle w:val="Compact"/>
              <w:rPr>
                <w:sz w:val="18"/>
                <w:szCs w:val="18"/>
              </w:rPr>
            </w:pPr>
          </w:p>
        </w:tc>
      </w:tr>
      <w:tr w:rsidR="00771D66" w:rsidRPr="00036590" w14:paraId="5CC4B8BF"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39A5DC8A" w14:textId="77777777" w:rsidR="00771D66" w:rsidRPr="00771D66" w:rsidRDefault="00771D66" w:rsidP="00E92353">
            <w:pPr>
              <w:pStyle w:val="Compact"/>
              <w:rPr>
                <w:sz w:val="18"/>
                <w:szCs w:val="18"/>
              </w:rPr>
            </w:pPr>
            <w:r w:rsidRPr="00771D66">
              <w:rPr>
                <w:sz w:val="18"/>
                <w:szCs w:val="18"/>
              </w:rPr>
              <w:t>11.60516730587</w:t>
            </w:r>
          </w:p>
        </w:tc>
        <w:tc>
          <w:tcPr>
            <w:tcW w:w="1237" w:type="pct"/>
          </w:tcPr>
          <w:p w14:paraId="2B0A5B52" w14:textId="77777777" w:rsidR="00771D66" w:rsidRPr="00771D66" w:rsidRDefault="00771D66" w:rsidP="00E92353">
            <w:pPr>
              <w:pStyle w:val="Compact"/>
              <w:rPr>
                <w:sz w:val="18"/>
                <w:szCs w:val="18"/>
              </w:rPr>
            </w:pPr>
          </w:p>
        </w:tc>
        <w:tc>
          <w:tcPr>
            <w:tcW w:w="1166" w:type="pct"/>
          </w:tcPr>
          <w:p w14:paraId="475E33AD" w14:textId="77777777" w:rsidR="00771D66" w:rsidRPr="00771D66" w:rsidRDefault="00771D66" w:rsidP="00E92353">
            <w:pPr>
              <w:pStyle w:val="Compact"/>
              <w:rPr>
                <w:sz w:val="18"/>
                <w:szCs w:val="18"/>
              </w:rPr>
            </w:pPr>
          </w:p>
        </w:tc>
        <w:tc>
          <w:tcPr>
            <w:tcW w:w="1000" w:type="pct"/>
          </w:tcPr>
          <w:p w14:paraId="03F15A5B" w14:textId="77777777" w:rsidR="00771D66" w:rsidRPr="00771D66" w:rsidRDefault="00771D66" w:rsidP="00E92353">
            <w:pPr>
              <w:pStyle w:val="Compact"/>
              <w:rPr>
                <w:sz w:val="18"/>
                <w:szCs w:val="18"/>
              </w:rPr>
            </w:pPr>
          </w:p>
        </w:tc>
      </w:tr>
      <w:tr w:rsidR="00771D66" w:rsidRPr="00036590" w14:paraId="157014AD" w14:textId="77777777" w:rsidTr="00190AF8">
        <w:tc>
          <w:tcPr>
            <w:tcW w:w="1597" w:type="pct"/>
          </w:tcPr>
          <w:p w14:paraId="01F04C22" w14:textId="342F3103" w:rsidR="00771D66" w:rsidRPr="009F15CD" w:rsidRDefault="00771D66" w:rsidP="009F15CD">
            <w:pPr>
              <w:pStyle w:val="Compact"/>
              <w:ind w:right="-1221"/>
              <w:rPr>
                <w:sz w:val="18"/>
                <w:szCs w:val="18"/>
                <w:vertAlign w:val="superscript"/>
              </w:rPr>
            </w:pPr>
            <w:r w:rsidRPr="00771D66">
              <w:rPr>
                <w:b/>
                <w:bCs/>
                <w:sz w:val="18"/>
                <w:szCs w:val="18"/>
              </w:rPr>
              <w:t>Total CD4 count</w:t>
            </w:r>
            <w:r w:rsidR="009F15CD">
              <w:rPr>
                <w:b/>
                <w:bCs/>
                <w:sz w:val="18"/>
                <w:szCs w:val="18"/>
              </w:rPr>
              <w:t xml:space="preserve"> (Copies/mm</w:t>
            </w:r>
            <w:r w:rsidR="009F15CD">
              <w:rPr>
                <w:b/>
                <w:bCs/>
                <w:sz w:val="18"/>
                <w:szCs w:val="18"/>
                <w:vertAlign w:val="superscript"/>
              </w:rPr>
              <w:t>3</w:t>
            </w:r>
            <w:r w:rsidR="009F15CD">
              <w:rPr>
                <w:b/>
                <w:bCs/>
                <w:sz w:val="18"/>
                <w:szCs w:val="18"/>
              </w:rPr>
              <w:t>)</w:t>
            </w:r>
          </w:p>
        </w:tc>
        <w:tc>
          <w:tcPr>
            <w:tcW w:w="1237" w:type="pct"/>
          </w:tcPr>
          <w:p w14:paraId="7AA57888" w14:textId="77777777" w:rsidR="00771D66" w:rsidRPr="00771D66" w:rsidRDefault="00771D66" w:rsidP="00E92353">
            <w:pPr>
              <w:pStyle w:val="Compact"/>
              <w:jc w:val="center"/>
              <w:rPr>
                <w:sz w:val="18"/>
                <w:szCs w:val="18"/>
              </w:rPr>
            </w:pPr>
            <w:r w:rsidRPr="00771D66">
              <w:rPr>
                <w:sz w:val="18"/>
                <w:szCs w:val="18"/>
              </w:rPr>
              <w:t>26 (13, 54)</w:t>
            </w:r>
          </w:p>
        </w:tc>
        <w:tc>
          <w:tcPr>
            <w:tcW w:w="1166" w:type="pct"/>
          </w:tcPr>
          <w:p w14:paraId="390E04DA" w14:textId="77777777" w:rsidR="00771D66" w:rsidRPr="00771D66" w:rsidRDefault="00771D66" w:rsidP="00E92353">
            <w:pPr>
              <w:pStyle w:val="Compact"/>
              <w:jc w:val="center"/>
              <w:rPr>
                <w:sz w:val="18"/>
                <w:szCs w:val="18"/>
              </w:rPr>
            </w:pPr>
            <w:r w:rsidRPr="00771D66">
              <w:rPr>
                <w:sz w:val="18"/>
                <w:szCs w:val="18"/>
              </w:rPr>
              <w:t>30 (16, 45)</w:t>
            </w:r>
          </w:p>
        </w:tc>
        <w:tc>
          <w:tcPr>
            <w:tcW w:w="1000" w:type="pct"/>
          </w:tcPr>
          <w:p w14:paraId="69DCEAF2" w14:textId="77777777" w:rsidR="00771D66" w:rsidRPr="00771D66" w:rsidRDefault="00771D66" w:rsidP="00E92353">
            <w:pPr>
              <w:pStyle w:val="Compact"/>
              <w:jc w:val="center"/>
              <w:rPr>
                <w:sz w:val="18"/>
                <w:szCs w:val="18"/>
              </w:rPr>
            </w:pPr>
            <w:r w:rsidRPr="00771D66">
              <w:rPr>
                <w:sz w:val="18"/>
                <w:szCs w:val="18"/>
              </w:rPr>
              <w:t>0.7</w:t>
            </w:r>
          </w:p>
        </w:tc>
      </w:tr>
      <w:tr w:rsidR="00771D66" w:rsidRPr="00036590" w14:paraId="50BB4BFE"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07D5FBEE" w14:textId="77777777" w:rsidR="00771D66" w:rsidRPr="00771D66" w:rsidRDefault="00771D66" w:rsidP="00E92353">
            <w:pPr>
              <w:pStyle w:val="Compact"/>
              <w:rPr>
                <w:sz w:val="18"/>
                <w:szCs w:val="18"/>
              </w:rPr>
            </w:pPr>
            <w:r w:rsidRPr="00771D66">
              <w:rPr>
                <w:b/>
                <w:bCs/>
                <w:sz w:val="18"/>
                <w:szCs w:val="18"/>
              </w:rPr>
              <w:t>Sodium mmol/L</w:t>
            </w:r>
          </w:p>
        </w:tc>
        <w:tc>
          <w:tcPr>
            <w:tcW w:w="1237" w:type="pct"/>
          </w:tcPr>
          <w:p w14:paraId="372E8D16" w14:textId="77777777" w:rsidR="00771D66" w:rsidRPr="00771D66" w:rsidRDefault="00771D66" w:rsidP="00E92353">
            <w:pPr>
              <w:pStyle w:val="Compact"/>
              <w:jc w:val="center"/>
              <w:rPr>
                <w:sz w:val="18"/>
                <w:szCs w:val="18"/>
              </w:rPr>
            </w:pPr>
            <w:r w:rsidRPr="00771D66">
              <w:rPr>
                <w:sz w:val="18"/>
                <w:szCs w:val="18"/>
              </w:rPr>
              <w:t>133.0 (127.5, 136.0)</w:t>
            </w:r>
          </w:p>
        </w:tc>
        <w:tc>
          <w:tcPr>
            <w:tcW w:w="1166" w:type="pct"/>
          </w:tcPr>
          <w:p w14:paraId="0FE7649B" w14:textId="77777777" w:rsidR="00771D66" w:rsidRPr="00771D66" w:rsidRDefault="00771D66" w:rsidP="00E92353">
            <w:pPr>
              <w:pStyle w:val="Compact"/>
              <w:jc w:val="center"/>
              <w:rPr>
                <w:sz w:val="18"/>
                <w:szCs w:val="18"/>
              </w:rPr>
            </w:pPr>
            <w:r w:rsidRPr="00771D66">
              <w:rPr>
                <w:sz w:val="18"/>
                <w:szCs w:val="18"/>
              </w:rPr>
              <w:t>136.5 (133.3, 139.0)</w:t>
            </w:r>
          </w:p>
        </w:tc>
        <w:tc>
          <w:tcPr>
            <w:tcW w:w="1000" w:type="pct"/>
          </w:tcPr>
          <w:p w14:paraId="3B0B3918"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293795F1" w14:textId="77777777" w:rsidTr="00190AF8">
        <w:tc>
          <w:tcPr>
            <w:tcW w:w="1597" w:type="pct"/>
          </w:tcPr>
          <w:p w14:paraId="3C5F2704" w14:textId="77777777" w:rsidR="00771D66" w:rsidRPr="00771D66" w:rsidRDefault="00771D66" w:rsidP="00E92353">
            <w:pPr>
              <w:pStyle w:val="Compact"/>
              <w:rPr>
                <w:sz w:val="18"/>
                <w:szCs w:val="18"/>
              </w:rPr>
            </w:pPr>
            <w:r w:rsidRPr="00771D66">
              <w:rPr>
                <w:b/>
                <w:bCs/>
                <w:sz w:val="18"/>
                <w:szCs w:val="18"/>
              </w:rPr>
              <w:t>Potassium mmol/L</w:t>
            </w:r>
          </w:p>
        </w:tc>
        <w:tc>
          <w:tcPr>
            <w:tcW w:w="1237" w:type="pct"/>
          </w:tcPr>
          <w:p w14:paraId="296892D4" w14:textId="77777777" w:rsidR="00771D66" w:rsidRPr="00771D66" w:rsidRDefault="00771D66" w:rsidP="00E92353">
            <w:pPr>
              <w:pStyle w:val="Compact"/>
              <w:jc w:val="center"/>
              <w:rPr>
                <w:sz w:val="18"/>
                <w:szCs w:val="18"/>
              </w:rPr>
            </w:pPr>
            <w:r w:rsidRPr="00771D66">
              <w:rPr>
                <w:sz w:val="18"/>
                <w:szCs w:val="18"/>
              </w:rPr>
              <w:t>3.90 (3.60, 4.60)</w:t>
            </w:r>
          </w:p>
        </w:tc>
        <w:tc>
          <w:tcPr>
            <w:tcW w:w="1166" w:type="pct"/>
          </w:tcPr>
          <w:p w14:paraId="2BD5A8B5" w14:textId="77777777" w:rsidR="00771D66" w:rsidRPr="00771D66" w:rsidRDefault="00771D66" w:rsidP="00E92353">
            <w:pPr>
              <w:pStyle w:val="Compact"/>
              <w:jc w:val="center"/>
              <w:rPr>
                <w:sz w:val="18"/>
                <w:szCs w:val="18"/>
              </w:rPr>
            </w:pPr>
            <w:r w:rsidRPr="00771D66">
              <w:rPr>
                <w:sz w:val="18"/>
                <w:szCs w:val="18"/>
              </w:rPr>
              <w:t>3.70 (3.37, 3.88)</w:t>
            </w:r>
          </w:p>
        </w:tc>
        <w:tc>
          <w:tcPr>
            <w:tcW w:w="1000" w:type="pct"/>
          </w:tcPr>
          <w:p w14:paraId="3EB5EB7D" w14:textId="77777777" w:rsidR="00771D66" w:rsidRPr="00771D66" w:rsidRDefault="00771D66" w:rsidP="00E92353">
            <w:pPr>
              <w:pStyle w:val="Compact"/>
              <w:jc w:val="center"/>
              <w:rPr>
                <w:sz w:val="18"/>
                <w:szCs w:val="18"/>
              </w:rPr>
            </w:pPr>
            <w:r w:rsidRPr="00771D66">
              <w:rPr>
                <w:sz w:val="18"/>
                <w:szCs w:val="18"/>
              </w:rPr>
              <w:t>0.092</w:t>
            </w:r>
          </w:p>
        </w:tc>
      </w:tr>
      <w:tr w:rsidR="00771D66" w:rsidRPr="00036590" w14:paraId="4D50E999"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Pr>
          <w:p w14:paraId="547FF553" w14:textId="77777777" w:rsidR="00771D66" w:rsidRPr="00771D66" w:rsidRDefault="00771D66" w:rsidP="00E92353">
            <w:pPr>
              <w:pStyle w:val="Compact"/>
              <w:rPr>
                <w:sz w:val="18"/>
                <w:szCs w:val="18"/>
              </w:rPr>
            </w:pPr>
            <w:proofErr w:type="spellStart"/>
            <w:r w:rsidRPr="00771D66">
              <w:rPr>
                <w:b/>
                <w:bCs/>
                <w:sz w:val="18"/>
                <w:szCs w:val="18"/>
              </w:rPr>
              <w:t>Haemoglobin</w:t>
            </w:r>
            <w:proofErr w:type="spellEnd"/>
            <w:r w:rsidRPr="00771D66">
              <w:rPr>
                <w:b/>
                <w:bCs/>
                <w:sz w:val="18"/>
                <w:szCs w:val="18"/>
              </w:rPr>
              <w:t xml:space="preserve"> g/dL</w:t>
            </w:r>
          </w:p>
        </w:tc>
        <w:tc>
          <w:tcPr>
            <w:tcW w:w="1237" w:type="pct"/>
          </w:tcPr>
          <w:p w14:paraId="4BF34286" w14:textId="77777777" w:rsidR="00771D66" w:rsidRPr="00771D66" w:rsidRDefault="00771D66" w:rsidP="00E92353">
            <w:pPr>
              <w:pStyle w:val="Compact"/>
              <w:jc w:val="center"/>
              <w:rPr>
                <w:sz w:val="18"/>
                <w:szCs w:val="18"/>
              </w:rPr>
            </w:pPr>
            <w:r w:rsidRPr="00771D66">
              <w:rPr>
                <w:sz w:val="18"/>
                <w:szCs w:val="18"/>
              </w:rPr>
              <w:t>8.35 (7.05, 9.67)</w:t>
            </w:r>
          </w:p>
        </w:tc>
        <w:tc>
          <w:tcPr>
            <w:tcW w:w="1166" w:type="pct"/>
          </w:tcPr>
          <w:p w14:paraId="4E4BF28F" w14:textId="77777777" w:rsidR="00771D66" w:rsidRPr="00771D66" w:rsidRDefault="00771D66" w:rsidP="00E92353">
            <w:pPr>
              <w:pStyle w:val="Compact"/>
              <w:jc w:val="center"/>
              <w:rPr>
                <w:sz w:val="18"/>
                <w:szCs w:val="18"/>
              </w:rPr>
            </w:pPr>
            <w:r w:rsidRPr="00771D66">
              <w:rPr>
                <w:sz w:val="18"/>
                <w:szCs w:val="18"/>
              </w:rPr>
              <w:t>9.60 (8.25, 10.95)</w:t>
            </w:r>
          </w:p>
        </w:tc>
        <w:tc>
          <w:tcPr>
            <w:tcW w:w="1000" w:type="pct"/>
          </w:tcPr>
          <w:p w14:paraId="52A536A8" w14:textId="77777777" w:rsidR="00771D66" w:rsidRPr="00771D66" w:rsidRDefault="00771D66" w:rsidP="00E92353">
            <w:pPr>
              <w:pStyle w:val="Compact"/>
              <w:jc w:val="center"/>
              <w:rPr>
                <w:sz w:val="18"/>
                <w:szCs w:val="18"/>
              </w:rPr>
            </w:pPr>
            <w:r w:rsidRPr="00771D66">
              <w:rPr>
                <w:sz w:val="18"/>
                <w:szCs w:val="18"/>
              </w:rPr>
              <w:t>0.4</w:t>
            </w:r>
          </w:p>
        </w:tc>
      </w:tr>
      <w:tr w:rsidR="00771D66" w:rsidRPr="00036590" w14:paraId="7951D51A" w14:textId="77777777" w:rsidTr="00190AF8">
        <w:tc>
          <w:tcPr>
            <w:tcW w:w="1597" w:type="pct"/>
          </w:tcPr>
          <w:p w14:paraId="341E61EF" w14:textId="14F44457" w:rsidR="00771D66" w:rsidRPr="00771D66" w:rsidRDefault="00771D66" w:rsidP="00E92353">
            <w:pPr>
              <w:pStyle w:val="Compact"/>
              <w:rPr>
                <w:sz w:val="18"/>
                <w:szCs w:val="18"/>
              </w:rPr>
            </w:pPr>
            <w:r w:rsidRPr="00771D66">
              <w:rPr>
                <w:b/>
                <w:bCs/>
                <w:sz w:val="18"/>
                <w:szCs w:val="18"/>
              </w:rPr>
              <w:t xml:space="preserve">White </w:t>
            </w:r>
            <w:proofErr w:type="gramStart"/>
            <w:r w:rsidRPr="00771D66">
              <w:rPr>
                <w:b/>
                <w:bCs/>
                <w:sz w:val="18"/>
                <w:szCs w:val="18"/>
              </w:rPr>
              <w:t>cell</w:t>
            </w:r>
            <w:proofErr w:type="gramEnd"/>
            <w:r w:rsidRPr="00771D66">
              <w:rPr>
                <w:b/>
                <w:bCs/>
                <w:sz w:val="18"/>
                <w:szCs w:val="18"/>
              </w:rPr>
              <w:t xml:space="preserve"> count X10</w:t>
            </w:r>
            <w:r w:rsidR="009F15CD">
              <w:rPr>
                <w:b/>
                <w:bCs/>
                <w:sz w:val="18"/>
                <w:szCs w:val="18"/>
                <w:vertAlign w:val="superscript"/>
              </w:rPr>
              <w:t>9</w:t>
            </w:r>
          </w:p>
        </w:tc>
        <w:tc>
          <w:tcPr>
            <w:tcW w:w="1237" w:type="pct"/>
          </w:tcPr>
          <w:p w14:paraId="0C9FCF04" w14:textId="77777777" w:rsidR="00771D66" w:rsidRPr="00771D66" w:rsidRDefault="00771D66" w:rsidP="00E92353">
            <w:pPr>
              <w:pStyle w:val="Compact"/>
              <w:jc w:val="center"/>
              <w:rPr>
                <w:sz w:val="18"/>
                <w:szCs w:val="18"/>
              </w:rPr>
            </w:pPr>
            <w:r w:rsidRPr="00771D66">
              <w:rPr>
                <w:sz w:val="18"/>
                <w:szCs w:val="18"/>
              </w:rPr>
              <w:t>5.0 (3.4, 7.4)</w:t>
            </w:r>
          </w:p>
        </w:tc>
        <w:tc>
          <w:tcPr>
            <w:tcW w:w="1166" w:type="pct"/>
          </w:tcPr>
          <w:p w14:paraId="69D580FA" w14:textId="77777777" w:rsidR="00771D66" w:rsidRPr="00771D66" w:rsidRDefault="00771D66" w:rsidP="00E92353">
            <w:pPr>
              <w:pStyle w:val="Compact"/>
              <w:jc w:val="center"/>
              <w:rPr>
                <w:sz w:val="18"/>
                <w:szCs w:val="18"/>
              </w:rPr>
            </w:pPr>
            <w:r w:rsidRPr="00771D66">
              <w:rPr>
                <w:sz w:val="18"/>
                <w:szCs w:val="18"/>
              </w:rPr>
              <w:t>8.3 (4.3, 27.5)</w:t>
            </w:r>
          </w:p>
        </w:tc>
        <w:tc>
          <w:tcPr>
            <w:tcW w:w="1000" w:type="pct"/>
          </w:tcPr>
          <w:p w14:paraId="3EC1DD53" w14:textId="77777777" w:rsidR="00771D66" w:rsidRPr="00771D66" w:rsidRDefault="00771D66" w:rsidP="00E92353">
            <w:pPr>
              <w:pStyle w:val="Compact"/>
              <w:jc w:val="center"/>
              <w:rPr>
                <w:sz w:val="18"/>
                <w:szCs w:val="18"/>
              </w:rPr>
            </w:pPr>
            <w:r w:rsidRPr="00771D66">
              <w:rPr>
                <w:sz w:val="18"/>
                <w:szCs w:val="18"/>
              </w:rPr>
              <w:t>0.2</w:t>
            </w:r>
          </w:p>
        </w:tc>
      </w:tr>
      <w:tr w:rsidR="00771D66" w:rsidRPr="00036590" w14:paraId="6BEAF5F8" w14:textId="77777777" w:rsidTr="00190AF8">
        <w:trPr>
          <w:cnfStyle w:val="000000100000" w:firstRow="0" w:lastRow="0" w:firstColumn="0" w:lastColumn="0" w:oddVBand="0" w:evenVBand="0" w:oddHBand="1" w:evenHBand="0" w:firstRowFirstColumn="0" w:firstRowLastColumn="0" w:lastRowFirstColumn="0" w:lastRowLastColumn="0"/>
        </w:trPr>
        <w:tc>
          <w:tcPr>
            <w:tcW w:w="1597" w:type="pct"/>
            <w:tcBorders>
              <w:bottom w:val="single" w:sz="4" w:space="0" w:color="auto"/>
            </w:tcBorders>
          </w:tcPr>
          <w:p w14:paraId="53694885" w14:textId="79EE7B91" w:rsidR="00771D66" w:rsidRPr="00771D66" w:rsidRDefault="00771D66" w:rsidP="00E92353">
            <w:pPr>
              <w:pStyle w:val="Compact"/>
              <w:rPr>
                <w:sz w:val="18"/>
                <w:szCs w:val="18"/>
              </w:rPr>
            </w:pPr>
            <w:r w:rsidRPr="00771D66">
              <w:rPr>
                <w:b/>
                <w:bCs/>
                <w:sz w:val="18"/>
                <w:szCs w:val="18"/>
              </w:rPr>
              <w:t>Lymphocyte count X10</w:t>
            </w:r>
            <w:r w:rsidR="009F15CD">
              <w:rPr>
                <w:b/>
                <w:bCs/>
                <w:sz w:val="18"/>
                <w:szCs w:val="18"/>
                <w:vertAlign w:val="superscript"/>
              </w:rPr>
              <w:t>9</w:t>
            </w:r>
          </w:p>
        </w:tc>
        <w:tc>
          <w:tcPr>
            <w:tcW w:w="1237" w:type="pct"/>
            <w:tcBorders>
              <w:bottom w:val="single" w:sz="4" w:space="0" w:color="auto"/>
            </w:tcBorders>
          </w:tcPr>
          <w:p w14:paraId="090FFCBF" w14:textId="77777777" w:rsidR="00771D66" w:rsidRPr="00771D66" w:rsidRDefault="00771D66" w:rsidP="00E92353">
            <w:pPr>
              <w:pStyle w:val="Compact"/>
              <w:jc w:val="center"/>
              <w:rPr>
                <w:sz w:val="18"/>
                <w:szCs w:val="18"/>
              </w:rPr>
            </w:pPr>
            <w:r w:rsidRPr="00771D66">
              <w:rPr>
                <w:sz w:val="18"/>
                <w:szCs w:val="18"/>
              </w:rPr>
              <w:t>0.80 (0.40, 0.99)</w:t>
            </w:r>
          </w:p>
        </w:tc>
        <w:tc>
          <w:tcPr>
            <w:tcW w:w="1166" w:type="pct"/>
            <w:tcBorders>
              <w:bottom w:val="single" w:sz="4" w:space="0" w:color="auto"/>
            </w:tcBorders>
          </w:tcPr>
          <w:p w14:paraId="455FEA7A" w14:textId="77777777" w:rsidR="00771D66" w:rsidRPr="00771D66" w:rsidRDefault="00771D66" w:rsidP="00E92353">
            <w:pPr>
              <w:pStyle w:val="Compact"/>
              <w:jc w:val="center"/>
              <w:rPr>
                <w:sz w:val="18"/>
                <w:szCs w:val="18"/>
              </w:rPr>
            </w:pPr>
            <w:r w:rsidRPr="00771D66">
              <w:rPr>
                <w:sz w:val="18"/>
                <w:szCs w:val="18"/>
              </w:rPr>
              <w:t>NA (NA, NA)</w:t>
            </w:r>
          </w:p>
        </w:tc>
        <w:tc>
          <w:tcPr>
            <w:tcW w:w="1000" w:type="pct"/>
            <w:tcBorders>
              <w:bottom w:val="single" w:sz="4" w:space="0" w:color="auto"/>
            </w:tcBorders>
          </w:tcPr>
          <w:p w14:paraId="0BB321EA" w14:textId="77777777" w:rsidR="00771D66" w:rsidRPr="00771D66" w:rsidRDefault="00771D66" w:rsidP="00E92353">
            <w:pPr>
              <w:pStyle w:val="Compact"/>
              <w:rPr>
                <w:sz w:val="18"/>
                <w:szCs w:val="18"/>
              </w:rPr>
            </w:pPr>
          </w:p>
        </w:tc>
      </w:tr>
    </w:tbl>
    <w:p w14:paraId="15179BA2" w14:textId="00D08AB2" w:rsidR="00470882" w:rsidRDefault="007741DF" w:rsidP="005F45D3">
      <w:pPr>
        <w:tabs>
          <w:tab w:val="left" w:pos="2994"/>
        </w:tabs>
      </w:pPr>
      <w:proofErr w:type="gramStart"/>
      <w:r w:rsidRPr="00DC6F06">
        <w:rPr>
          <w:vertAlign w:val="superscript"/>
        </w:rPr>
        <w:t>a</w:t>
      </w:r>
      <w:proofErr w:type="gramEnd"/>
      <w:r w:rsidRPr="00CD3554">
        <w:t xml:space="preserve"> </w:t>
      </w:r>
      <w:r>
        <w:t>Only two people had viral load results</w:t>
      </w:r>
      <w:commentRangeEnd w:id="18"/>
      <w:r w:rsidR="00EA3C63">
        <w:rPr>
          <w:rStyle w:val="CommentReference"/>
          <w:rFonts w:ascii="Arial" w:hAnsi="Arial"/>
        </w:rPr>
        <w:commentReference w:id="18"/>
      </w:r>
    </w:p>
    <w:p w14:paraId="2BE2AD73" w14:textId="77777777" w:rsidR="008E0BCD" w:rsidRDefault="008E0BCD" w:rsidP="005F45D3">
      <w:pPr>
        <w:tabs>
          <w:tab w:val="left" w:pos="2994"/>
        </w:tabs>
      </w:pPr>
    </w:p>
    <w:p w14:paraId="024DD547" w14:textId="72AEB0B1" w:rsidR="00BA2494" w:rsidRPr="00C03CB9" w:rsidRDefault="005F6FDD" w:rsidP="00BA2494">
      <w:pPr>
        <w:pStyle w:val="BodyText"/>
        <w:rPr>
          <w:rFonts w:asciiTheme="majorHAnsi" w:hAnsiTheme="majorHAnsi" w:cstheme="majorHAnsi"/>
          <w:b/>
          <w:bCs/>
          <w:sz w:val="22"/>
          <w:szCs w:val="22"/>
        </w:rPr>
      </w:pPr>
      <w:r>
        <w:rPr>
          <w:rFonts w:asciiTheme="majorHAnsi" w:hAnsiTheme="majorHAnsi" w:cstheme="majorHAnsi"/>
          <w:b/>
          <w:bCs/>
          <w:sz w:val="22"/>
          <w:szCs w:val="22"/>
        </w:rPr>
        <w:t xml:space="preserve">Linear regression </w:t>
      </w:r>
      <w:r w:rsidR="00BA2494" w:rsidRPr="00C03CB9">
        <w:rPr>
          <w:rFonts w:asciiTheme="majorHAnsi" w:hAnsiTheme="majorHAnsi" w:cstheme="majorHAnsi"/>
          <w:b/>
          <w:bCs/>
          <w:sz w:val="22"/>
          <w:szCs w:val="22"/>
        </w:rPr>
        <w:t>and multivariate analysis.</w:t>
      </w:r>
    </w:p>
    <w:p w14:paraId="2A78F407" w14:textId="32BD650C" w:rsidR="00796EFE" w:rsidRPr="002C2274" w:rsidRDefault="005F6FDD" w:rsidP="00796EFE">
      <w:pPr>
        <w:rPr>
          <w:rFonts w:asciiTheme="majorHAnsi" w:hAnsiTheme="majorHAnsi" w:cstheme="majorHAnsi"/>
          <w:sz w:val="22"/>
          <w:szCs w:val="22"/>
        </w:rPr>
      </w:pPr>
      <w:r>
        <w:rPr>
          <w:rFonts w:asciiTheme="majorHAnsi" w:hAnsiTheme="majorHAnsi" w:cstheme="majorHAnsi"/>
          <w:sz w:val="22"/>
          <w:szCs w:val="22"/>
        </w:rPr>
        <w:t>When we performed linear regression analyses</w:t>
      </w:r>
      <w:r w:rsidR="00796EFE" w:rsidRPr="002C2274">
        <w:rPr>
          <w:rFonts w:asciiTheme="majorHAnsi" w:hAnsiTheme="majorHAnsi" w:cstheme="majorHAnsi"/>
          <w:sz w:val="22"/>
          <w:szCs w:val="22"/>
        </w:rPr>
        <w:t xml:space="preserve">, only </w:t>
      </w:r>
      <w:r w:rsidR="00E03F08">
        <w:rPr>
          <w:rFonts w:asciiTheme="majorHAnsi" w:hAnsiTheme="majorHAnsi" w:cstheme="majorHAnsi"/>
          <w:sz w:val="22"/>
          <w:szCs w:val="22"/>
        </w:rPr>
        <w:t>r</w:t>
      </w:r>
      <w:r w:rsidR="00796EFE" w:rsidRPr="002C2274">
        <w:rPr>
          <w:rFonts w:asciiTheme="majorHAnsi" w:hAnsiTheme="majorHAnsi" w:cstheme="majorHAnsi"/>
          <w:sz w:val="22"/>
          <w:szCs w:val="22"/>
        </w:rPr>
        <w:t>andom cortisol, basal cortisol and stimulated cortisol and Other opportunistic infections, were associated with AI. A 10 nmol/L increase in random cortisol was associated with an 18% increase in the odds of being diagnosed with AI, 1.18 (95%CI:1.13, 1.25). A 10 nmol/L increase in basal cortisol was associated with a 10% increase in the odds of being diagnosed with AI, 1.10 (95%CI:1.06, 1.15), while a 10 nmol/L increase in stimulated cortisol was associated with a 34% increase in the odds of being diagnosed with AI, 1.34 (95%CI:1.20, 1.59).</w:t>
      </w:r>
    </w:p>
    <w:p w14:paraId="0769EF40" w14:textId="048B6DE9" w:rsidR="004010F5" w:rsidRDefault="00796EFE" w:rsidP="00F04257">
      <w:pPr>
        <w:pStyle w:val="BodyText"/>
        <w:rPr>
          <w:rFonts w:asciiTheme="majorHAnsi" w:hAnsiTheme="majorHAnsi" w:cstheme="majorHAnsi"/>
          <w:sz w:val="22"/>
          <w:szCs w:val="22"/>
        </w:rPr>
      </w:pPr>
      <w:r w:rsidRPr="002C2274">
        <w:rPr>
          <w:rFonts w:asciiTheme="majorHAnsi" w:hAnsiTheme="majorHAnsi" w:cstheme="majorHAnsi"/>
          <w:sz w:val="22"/>
          <w:szCs w:val="22"/>
        </w:rPr>
        <w:t xml:space="preserve">At multivariate analysis, after adjusting for lymphocyte count, both random morning cortisol and ACTH were </w:t>
      </w:r>
      <w:r w:rsidR="005F6FDD">
        <w:rPr>
          <w:rFonts w:asciiTheme="majorHAnsi" w:hAnsiTheme="majorHAnsi" w:cstheme="majorHAnsi"/>
          <w:sz w:val="22"/>
          <w:szCs w:val="22"/>
        </w:rPr>
        <w:t xml:space="preserve">independently </w:t>
      </w:r>
      <w:r w:rsidRPr="002C2274">
        <w:rPr>
          <w:rFonts w:asciiTheme="majorHAnsi" w:hAnsiTheme="majorHAnsi" w:cstheme="majorHAnsi"/>
          <w:sz w:val="22"/>
          <w:szCs w:val="22"/>
        </w:rPr>
        <w:t xml:space="preserve">associated with AI. A 10 nmol/L increase in random morning cortisol was associated with a 19.6% increase in the odds of being diagnosed with AI, 1.196 (95%CI:1.131, 1.265), while a 10 </w:t>
      </w:r>
      <w:proofErr w:type="spellStart"/>
      <w:r w:rsidRPr="002C2274">
        <w:rPr>
          <w:rFonts w:asciiTheme="majorHAnsi" w:hAnsiTheme="majorHAnsi" w:cstheme="majorHAnsi"/>
          <w:sz w:val="22"/>
          <w:szCs w:val="22"/>
        </w:rPr>
        <w:lastRenderedPageBreak/>
        <w:t>pmol</w:t>
      </w:r>
      <w:proofErr w:type="spellEnd"/>
      <w:r w:rsidRPr="002C2274">
        <w:rPr>
          <w:rFonts w:asciiTheme="majorHAnsi" w:hAnsiTheme="majorHAnsi" w:cstheme="majorHAnsi"/>
          <w:sz w:val="22"/>
          <w:szCs w:val="22"/>
        </w:rPr>
        <w:t>/L increase in ACTH was associated with a 12.6% reduction in the odds of being diagnosed with AI, 0.874 (95%CI:0.786, 0.971) after adjusting for lymphocyte count</w:t>
      </w:r>
      <w:r>
        <w:rPr>
          <w:rFonts w:asciiTheme="majorHAnsi" w:hAnsiTheme="majorHAnsi" w:cstheme="majorHAnsi"/>
          <w:sz w:val="22"/>
          <w:szCs w:val="22"/>
        </w:rPr>
        <w:t>.</w:t>
      </w:r>
      <w:bookmarkEnd w:id="13"/>
    </w:p>
    <w:p w14:paraId="3E46FBD8" w14:textId="3DC87693" w:rsidR="006A3C6E" w:rsidRDefault="006A3C6E" w:rsidP="00F04257">
      <w:pPr>
        <w:pStyle w:val="BodyText"/>
        <w:rPr>
          <w:rFonts w:asciiTheme="majorHAnsi" w:hAnsiTheme="majorHAnsi" w:cstheme="majorHAnsi"/>
          <w:sz w:val="22"/>
          <w:szCs w:val="22"/>
        </w:rPr>
      </w:pPr>
      <w:r w:rsidRPr="006A3C6E">
        <w:rPr>
          <w:rFonts w:asciiTheme="majorHAnsi" w:hAnsiTheme="majorHAnsi" w:cstheme="majorHAnsi"/>
          <w:sz w:val="22"/>
          <w:szCs w:val="22"/>
        </w:rPr>
        <w:t>On their varied analysis ACTH was significant together with incremental cortisol poor appetite nausea liking of soul and lots of axillary hair PCP infection in predicting mortality You can see that at multivariate analysis only basal cortisol predicted mortality</w:t>
      </w:r>
      <w:r>
        <w:rPr>
          <w:rFonts w:asciiTheme="majorHAnsi" w:hAnsiTheme="majorHAnsi" w:cstheme="majorHAnsi"/>
          <w:sz w:val="22"/>
          <w:szCs w:val="22"/>
        </w:rPr>
        <w:t xml:space="preserve">. </w:t>
      </w:r>
      <w:r w:rsidRPr="006A3C6E">
        <w:rPr>
          <w:rFonts w:asciiTheme="majorHAnsi" w:hAnsiTheme="majorHAnsi" w:cstheme="majorHAnsi"/>
          <w:sz w:val="22"/>
          <w:szCs w:val="22"/>
        </w:rPr>
        <w:t>Do you need increase in basal cortisol was associated with an increased hazard of mortality</w:t>
      </w:r>
      <w:r>
        <w:rPr>
          <w:rFonts w:asciiTheme="majorHAnsi" w:hAnsiTheme="majorHAnsi" w:cstheme="majorHAnsi"/>
          <w:sz w:val="22"/>
          <w:szCs w:val="22"/>
        </w:rPr>
        <w:t>.</w:t>
      </w:r>
      <w:r w:rsidRPr="006A3C6E">
        <w:rPr>
          <w:rFonts w:asciiTheme="majorHAnsi" w:hAnsiTheme="majorHAnsi" w:cstheme="majorHAnsi"/>
          <w:sz w:val="22"/>
          <w:szCs w:val="22"/>
        </w:rPr>
        <w:t xml:space="preserve"> </w:t>
      </w:r>
    </w:p>
    <w:p w14:paraId="7D287550" w14:textId="77777777" w:rsidR="006A3C6E" w:rsidRDefault="006A3C6E" w:rsidP="00F04257">
      <w:pPr>
        <w:pStyle w:val="BodyText"/>
        <w:rPr>
          <w:rFonts w:asciiTheme="majorHAnsi" w:hAnsiTheme="majorHAnsi" w:cstheme="majorHAnsi"/>
          <w:sz w:val="22"/>
          <w:szCs w:val="22"/>
        </w:rPr>
      </w:pPr>
    </w:p>
    <w:p w14:paraId="600BE550" w14:textId="0FFB054D" w:rsidR="004C2BD9" w:rsidRDefault="004C2BD9" w:rsidP="00F04257">
      <w:pPr>
        <w:pStyle w:val="BodyText"/>
        <w:rPr>
          <w:rFonts w:asciiTheme="majorHAnsi" w:hAnsiTheme="majorHAnsi" w:cstheme="majorHAnsi"/>
          <w:sz w:val="22"/>
          <w:szCs w:val="22"/>
        </w:rPr>
      </w:pPr>
    </w:p>
    <w:tbl>
      <w:tblPr>
        <w:tblStyle w:val="PlainTable31"/>
        <w:tblW w:w="4845" w:type="pct"/>
        <w:tblLook w:val="0420" w:firstRow="1" w:lastRow="0" w:firstColumn="0" w:lastColumn="0" w:noHBand="0" w:noVBand="1"/>
      </w:tblPr>
      <w:tblGrid>
        <w:gridCol w:w="3374"/>
        <w:gridCol w:w="732"/>
        <w:gridCol w:w="1440"/>
        <w:gridCol w:w="873"/>
        <w:gridCol w:w="632"/>
        <w:gridCol w:w="1128"/>
        <w:gridCol w:w="891"/>
      </w:tblGrid>
      <w:tr w:rsidR="004C2BD9" w:rsidRPr="005A674E" w14:paraId="6190C72F" w14:textId="77777777" w:rsidTr="001C0071">
        <w:trPr>
          <w:cnfStyle w:val="100000000000" w:firstRow="1" w:lastRow="0" w:firstColumn="0" w:lastColumn="0" w:oddVBand="0" w:evenVBand="0" w:oddHBand="0" w:evenHBand="0" w:firstRowFirstColumn="0" w:firstRowLastColumn="0" w:lastRowFirstColumn="0" w:lastRowLastColumn="0"/>
          <w:trHeight w:val="300"/>
        </w:trPr>
        <w:tc>
          <w:tcPr>
            <w:tcW w:w="1860" w:type="pct"/>
            <w:vMerge w:val="restart"/>
            <w:noWrap/>
            <w:hideMark/>
          </w:tcPr>
          <w:p w14:paraId="257D8CA1" w14:textId="281D98DB" w:rsidR="004C2BD9" w:rsidRPr="005A674E" w:rsidRDefault="004C2BD9" w:rsidP="001C0071">
            <w:pPr>
              <w:contextualSpacing/>
              <w:rPr>
                <w:rFonts w:ascii="Arial" w:eastAsia="Times New Roman" w:hAnsi="Arial" w:cs="Arial"/>
                <w:color w:val="000000"/>
                <w:sz w:val="20"/>
                <w:szCs w:val="20"/>
                <w:lang w:val="en-ZA" w:eastAsia="en-ZA"/>
              </w:rPr>
            </w:pPr>
            <w:r w:rsidRPr="004C2BD9">
              <w:rPr>
                <w:rFonts w:asciiTheme="majorHAnsi" w:hAnsiTheme="majorHAnsi" w:cstheme="majorHAnsi"/>
                <w:sz w:val="22"/>
                <w:szCs w:val="22"/>
              </w:rPr>
              <w:t xml:space="preserve"> </w:t>
            </w:r>
            <w:r w:rsidRPr="008F1F1B">
              <w:rPr>
                <w:rFonts w:ascii="Arial" w:eastAsia="Times New Roman" w:hAnsi="Arial" w:cs="Arial"/>
                <w:color w:val="000000"/>
                <w:sz w:val="20"/>
                <w:szCs w:val="20"/>
                <w:lang w:val="en-ZA" w:eastAsia="en-ZA"/>
              </w:rPr>
              <w:t>Characteristic</w:t>
            </w:r>
          </w:p>
        </w:tc>
        <w:tc>
          <w:tcPr>
            <w:tcW w:w="1679" w:type="pct"/>
            <w:gridSpan w:val="3"/>
            <w:noWrap/>
            <w:hideMark/>
          </w:tcPr>
          <w:p w14:paraId="5C88D4D4" w14:textId="77777777" w:rsidR="004C2BD9" w:rsidRPr="005A674E" w:rsidRDefault="004C2BD9" w:rsidP="001C0071">
            <w:pPr>
              <w:contextualSpacing/>
              <w:rPr>
                <w:rFonts w:ascii="Arial" w:eastAsia="Times New Roman" w:hAnsi="Arial" w:cs="Arial"/>
                <w:sz w:val="20"/>
                <w:szCs w:val="20"/>
                <w:lang w:val="en-ZA" w:eastAsia="en-ZA"/>
              </w:rPr>
            </w:pPr>
            <w:r>
              <w:rPr>
                <w:rFonts w:ascii="Arial" w:eastAsia="Times New Roman" w:hAnsi="Arial" w:cs="Arial"/>
                <w:color w:val="000000"/>
                <w:sz w:val="20"/>
                <w:szCs w:val="20"/>
                <w:lang w:val="en-ZA" w:eastAsia="en-ZA"/>
              </w:rPr>
              <w:t>Bivariate</w:t>
            </w:r>
          </w:p>
        </w:tc>
        <w:tc>
          <w:tcPr>
            <w:tcW w:w="1461" w:type="pct"/>
            <w:gridSpan w:val="3"/>
            <w:noWrap/>
            <w:hideMark/>
          </w:tcPr>
          <w:p w14:paraId="0859A8C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multivariate - Cox PH</w:t>
            </w:r>
          </w:p>
        </w:tc>
      </w:tr>
      <w:tr w:rsidR="004C2BD9" w:rsidRPr="005A674E" w14:paraId="32B0CEA4"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vMerge/>
            <w:noWrap/>
          </w:tcPr>
          <w:p w14:paraId="0A3641E6"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404" w:type="pct"/>
            <w:noWrap/>
            <w:hideMark/>
          </w:tcPr>
          <w:p w14:paraId="5E8AD6A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HR1</w:t>
            </w:r>
          </w:p>
        </w:tc>
        <w:tc>
          <w:tcPr>
            <w:tcW w:w="794" w:type="pct"/>
            <w:noWrap/>
            <w:hideMark/>
          </w:tcPr>
          <w:p w14:paraId="0F59335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95% CI1</w:t>
            </w:r>
          </w:p>
        </w:tc>
        <w:tc>
          <w:tcPr>
            <w:tcW w:w="481" w:type="pct"/>
            <w:noWrap/>
            <w:hideMark/>
          </w:tcPr>
          <w:p w14:paraId="6C142BD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p-value</w:t>
            </w:r>
          </w:p>
        </w:tc>
        <w:tc>
          <w:tcPr>
            <w:tcW w:w="348" w:type="pct"/>
            <w:noWrap/>
            <w:hideMark/>
          </w:tcPr>
          <w:p w14:paraId="5CE27B4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HR1</w:t>
            </w:r>
          </w:p>
        </w:tc>
        <w:tc>
          <w:tcPr>
            <w:tcW w:w="622" w:type="pct"/>
            <w:noWrap/>
            <w:hideMark/>
          </w:tcPr>
          <w:p w14:paraId="77A0E24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95% CI1</w:t>
            </w:r>
          </w:p>
        </w:tc>
        <w:tc>
          <w:tcPr>
            <w:tcW w:w="491" w:type="pct"/>
            <w:noWrap/>
            <w:hideMark/>
          </w:tcPr>
          <w:p w14:paraId="7214DB0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p-value</w:t>
            </w:r>
          </w:p>
        </w:tc>
      </w:tr>
      <w:tr w:rsidR="004C2BD9" w:rsidRPr="005A674E" w14:paraId="491239E3" w14:textId="77777777" w:rsidTr="001C0071">
        <w:trPr>
          <w:trHeight w:val="300"/>
        </w:trPr>
        <w:tc>
          <w:tcPr>
            <w:tcW w:w="1860" w:type="pct"/>
            <w:noWrap/>
            <w:hideMark/>
          </w:tcPr>
          <w:p w14:paraId="43F4393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Age</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at</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enrolment</w:t>
            </w:r>
          </w:p>
        </w:tc>
        <w:tc>
          <w:tcPr>
            <w:tcW w:w="404" w:type="pct"/>
            <w:noWrap/>
            <w:hideMark/>
          </w:tcPr>
          <w:p w14:paraId="0B44432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1.02</w:t>
            </w:r>
          </w:p>
        </w:tc>
        <w:tc>
          <w:tcPr>
            <w:tcW w:w="794" w:type="pct"/>
            <w:noWrap/>
            <w:hideMark/>
          </w:tcPr>
          <w:p w14:paraId="54D039C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0.99, 1.04</w:t>
            </w:r>
          </w:p>
        </w:tc>
        <w:tc>
          <w:tcPr>
            <w:tcW w:w="481" w:type="pct"/>
            <w:noWrap/>
            <w:hideMark/>
          </w:tcPr>
          <w:p w14:paraId="5344891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w:t>
            </w:r>
          </w:p>
        </w:tc>
        <w:tc>
          <w:tcPr>
            <w:tcW w:w="348" w:type="pct"/>
            <w:noWrap/>
            <w:hideMark/>
          </w:tcPr>
          <w:p w14:paraId="074CFBE0"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2F6767CA"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2D0578B1"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4EEC16C"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5B439FA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Gender</w:t>
            </w:r>
          </w:p>
        </w:tc>
        <w:tc>
          <w:tcPr>
            <w:tcW w:w="404" w:type="pct"/>
            <w:noWrap/>
            <w:hideMark/>
          </w:tcPr>
          <w:p w14:paraId="4C5133A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0.92</w:t>
            </w:r>
          </w:p>
        </w:tc>
        <w:tc>
          <w:tcPr>
            <w:tcW w:w="794" w:type="pct"/>
            <w:noWrap/>
            <w:hideMark/>
          </w:tcPr>
          <w:p w14:paraId="62380B1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0.56, 1.49</w:t>
            </w:r>
          </w:p>
        </w:tc>
        <w:tc>
          <w:tcPr>
            <w:tcW w:w="481" w:type="pct"/>
            <w:noWrap/>
            <w:hideMark/>
          </w:tcPr>
          <w:p w14:paraId="1B0DBD9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w:t>
            </w:r>
          </w:p>
        </w:tc>
        <w:tc>
          <w:tcPr>
            <w:tcW w:w="348" w:type="pct"/>
            <w:noWrap/>
            <w:hideMark/>
          </w:tcPr>
          <w:p w14:paraId="792EC342"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205BBC8"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0101A46D"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35D8D413" w14:textId="77777777" w:rsidTr="001C0071">
        <w:trPr>
          <w:trHeight w:val="300"/>
        </w:trPr>
        <w:tc>
          <w:tcPr>
            <w:tcW w:w="1860" w:type="pct"/>
            <w:noWrap/>
            <w:hideMark/>
          </w:tcPr>
          <w:p w14:paraId="067F3D2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Black African Ethnicity</w:t>
            </w:r>
          </w:p>
        </w:tc>
        <w:tc>
          <w:tcPr>
            <w:tcW w:w="404" w:type="pct"/>
            <w:noWrap/>
            <w:hideMark/>
          </w:tcPr>
          <w:p w14:paraId="5A59D0D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Times New Roman" w:hAnsi="Arial" w:cs="Arial"/>
                <w:color w:val="000000"/>
                <w:sz w:val="20"/>
                <w:szCs w:val="20"/>
                <w:lang w:eastAsia="en-ZA"/>
              </w:rPr>
              <w:t>1.59</w:t>
            </w:r>
          </w:p>
        </w:tc>
        <w:tc>
          <w:tcPr>
            <w:tcW w:w="794" w:type="pct"/>
            <w:noWrap/>
            <w:hideMark/>
          </w:tcPr>
          <w:p w14:paraId="42ACBEF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Times New Roman" w:hAnsi="Arial" w:cs="Arial"/>
                <w:color w:val="000000"/>
                <w:sz w:val="20"/>
                <w:szCs w:val="20"/>
                <w:lang w:eastAsia="en-ZA"/>
              </w:rPr>
              <w:t>0.8116, 3.117</w:t>
            </w:r>
          </w:p>
        </w:tc>
        <w:tc>
          <w:tcPr>
            <w:tcW w:w="481" w:type="pct"/>
            <w:noWrap/>
            <w:hideMark/>
          </w:tcPr>
          <w:p w14:paraId="7827BA5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Times New Roman" w:hAnsi="Arial" w:cs="Arial"/>
                <w:color w:val="000000"/>
                <w:sz w:val="20"/>
                <w:szCs w:val="20"/>
                <w:lang w:eastAsia="en-ZA"/>
              </w:rPr>
              <w:t>0.176</w:t>
            </w:r>
          </w:p>
        </w:tc>
        <w:tc>
          <w:tcPr>
            <w:tcW w:w="348" w:type="pct"/>
            <w:noWrap/>
            <w:hideMark/>
          </w:tcPr>
          <w:p w14:paraId="27237711"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69B7F26"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6669A294"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39B7E2D0"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5A4C9BB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Random</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cortisol</w:t>
            </w:r>
          </w:p>
        </w:tc>
        <w:tc>
          <w:tcPr>
            <w:tcW w:w="404" w:type="pct"/>
            <w:noWrap/>
            <w:hideMark/>
          </w:tcPr>
          <w:p w14:paraId="47FDCE6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6EE373D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1.00, 1.00</w:t>
            </w:r>
          </w:p>
        </w:tc>
        <w:tc>
          <w:tcPr>
            <w:tcW w:w="481" w:type="pct"/>
            <w:noWrap/>
            <w:hideMark/>
          </w:tcPr>
          <w:p w14:paraId="26DF208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w:t>
            </w:r>
          </w:p>
        </w:tc>
        <w:tc>
          <w:tcPr>
            <w:tcW w:w="348" w:type="pct"/>
            <w:noWrap/>
            <w:hideMark/>
          </w:tcPr>
          <w:p w14:paraId="58F06C01"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A6C57B4"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496D591A"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5A932C89" w14:textId="77777777" w:rsidTr="001C0071">
        <w:trPr>
          <w:trHeight w:val="300"/>
        </w:trPr>
        <w:tc>
          <w:tcPr>
            <w:tcW w:w="1860" w:type="pct"/>
            <w:noWrap/>
            <w:hideMark/>
          </w:tcPr>
          <w:p w14:paraId="5E851A4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Basal</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cortisol</w:t>
            </w:r>
          </w:p>
        </w:tc>
        <w:tc>
          <w:tcPr>
            <w:tcW w:w="404" w:type="pct"/>
            <w:noWrap/>
            <w:hideMark/>
          </w:tcPr>
          <w:p w14:paraId="334F0CE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7AAE1F2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1.00, 1.00</w:t>
            </w:r>
          </w:p>
        </w:tc>
        <w:tc>
          <w:tcPr>
            <w:tcW w:w="481" w:type="pct"/>
            <w:noWrap/>
            <w:hideMark/>
          </w:tcPr>
          <w:p w14:paraId="04EF02D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0.15</w:t>
            </w:r>
          </w:p>
        </w:tc>
        <w:tc>
          <w:tcPr>
            <w:tcW w:w="348" w:type="pct"/>
            <w:noWrap/>
            <w:hideMark/>
          </w:tcPr>
          <w:p w14:paraId="604C2DB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1.09</w:t>
            </w:r>
          </w:p>
        </w:tc>
        <w:tc>
          <w:tcPr>
            <w:tcW w:w="622" w:type="pct"/>
            <w:noWrap/>
            <w:hideMark/>
          </w:tcPr>
          <w:p w14:paraId="6581E5B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1.01, 1.17</w:t>
            </w:r>
          </w:p>
        </w:tc>
        <w:tc>
          <w:tcPr>
            <w:tcW w:w="491" w:type="pct"/>
            <w:noWrap/>
            <w:hideMark/>
          </w:tcPr>
          <w:p w14:paraId="4356BECD"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0.027</w:t>
            </w:r>
          </w:p>
        </w:tc>
      </w:tr>
      <w:tr w:rsidR="004C2BD9" w:rsidRPr="005A674E" w14:paraId="29A49619"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5B20628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Stimulated</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cortisol</w:t>
            </w:r>
          </w:p>
        </w:tc>
        <w:tc>
          <w:tcPr>
            <w:tcW w:w="404" w:type="pct"/>
            <w:noWrap/>
            <w:hideMark/>
          </w:tcPr>
          <w:p w14:paraId="0471B2D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18E5852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1.00, 1.00</w:t>
            </w:r>
          </w:p>
        </w:tc>
        <w:tc>
          <w:tcPr>
            <w:tcW w:w="481" w:type="pct"/>
            <w:noWrap/>
            <w:hideMark/>
          </w:tcPr>
          <w:p w14:paraId="38319D0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&gt;0.9</w:t>
            </w:r>
          </w:p>
        </w:tc>
        <w:tc>
          <w:tcPr>
            <w:tcW w:w="348" w:type="pct"/>
            <w:noWrap/>
            <w:hideMark/>
          </w:tcPr>
          <w:p w14:paraId="62620569"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65766E40"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0B7076AD"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50461ADC" w14:textId="77777777" w:rsidTr="001C0071">
        <w:trPr>
          <w:trHeight w:val="300"/>
        </w:trPr>
        <w:tc>
          <w:tcPr>
            <w:tcW w:w="1860" w:type="pct"/>
            <w:noWrap/>
            <w:hideMark/>
          </w:tcPr>
          <w:p w14:paraId="2A1F0FB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ACTH</w:t>
            </w:r>
          </w:p>
        </w:tc>
        <w:tc>
          <w:tcPr>
            <w:tcW w:w="404" w:type="pct"/>
            <w:noWrap/>
            <w:hideMark/>
          </w:tcPr>
          <w:p w14:paraId="04AB39D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1.01</w:t>
            </w:r>
          </w:p>
        </w:tc>
        <w:tc>
          <w:tcPr>
            <w:tcW w:w="794" w:type="pct"/>
            <w:noWrap/>
            <w:hideMark/>
          </w:tcPr>
          <w:p w14:paraId="37D612A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1.00, 1.01</w:t>
            </w:r>
          </w:p>
        </w:tc>
        <w:tc>
          <w:tcPr>
            <w:tcW w:w="481" w:type="pct"/>
            <w:noWrap/>
            <w:hideMark/>
          </w:tcPr>
          <w:p w14:paraId="2A96FABF"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&lt;0.001</w:t>
            </w:r>
          </w:p>
        </w:tc>
        <w:tc>
          <w:tcPr>
            <w:tcW w:w="348" w:type="pct"/>
            <w:noWrap/>
            <w:hideMark/>
          </w:tcPr>
          <w:p w14:paraId="7D1E35F1"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0B086679"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5C4FF69D"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3D48AC4"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2C8146F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BP</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systolic</w:t>
            </w:r>
          </w:p>
        </w:tc>
        <w:tc>
          <w:tcPr>
            <w:tcW w:w="404" w:type="pct"/>
            <w:noWrap/>
            <w:hideMark/>
          </w:tcPr>
          <w:p w14:paraId="768D12F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w:t>
            </w:r>
          </w:p>
        </w:tc>
        <w:tc>
          <w:tcPr>
            <w:tcW w:w="794" w:type="pct"/>
            <w:noWrap/>
            <w:hideMark/>
          </w:tcPr>
          <w:p w14:paraId="1D1CF99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0.98, 1.01</w:t>
            </w:r>
          </w:p>
        </w:tc>
        <w:tc>
          <w:tcPr>
            <w:tcW w:w="481" w:type="pct"/>
            <w:noWrap/>
            <w:hideMark/>
          </w:tcPr>
          <w:p w14:paraId="7B9F5BA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0.3</w:t>
            </w:r>
          </w:p>
        </w:tc>
        <w:tc>
          <w:tcPr>
            <w:tcW w:w="348" w:type="pct"/>
            <w:noWrap/>
            <w:hideMark/>
          </w:tcPr>
          <w:p w14:paraId="2B8B50E3"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AAAD1D5"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2640A927"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187076BF" w14:textId="77777777" w:rsidTr="001C0071">
        <w:trPr>
          <w:trHeight w:val="300"/>
        </w:trPr>
        <w:tc>
          <w:tcPr>
            <w:tcW w:w="1860" w:type="pct"/>
            <w:noWrap/>
            <w:hideMark/>
          </w:tcPr>
          <w:p w14:paraId="6BDC732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BP</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diastolic</w:t>
            </w:r>
          </w:p>
        </w:tc>
        <w:tc>
          <w:tcPr>
            <w:tcW w:w="404" w:type="pct"/>
            <w:noWrap/>
            <w:hideMark/>
          </w:tcPr>
          <w:p w14:paraId="033B1D0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1.02</w:t>
            </w:r>
          </w:p>
        </w:tc>
        <w:tc>
          <w:tcPr>
            <w:tcW w:w="794" w:type="pct"/>
            <w:noWrap/>
            <w:hideMark/>
          </w:tcPr>
          <w:p w14:paraId="0DD5584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1.00, 1.03</w:t>
            </w:r>
          </w:p>
        </w:tc>
        <w:tc>
          <w:tcPr>
            <w:tcW w:w="481" w:type="pct"/>
            <w:noWrap/>
            <w:hideMark/>
          </w:tcPr>
          <w:p w14:paraId="4CA97C1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0.066</w:t>
            </w:r>
          </w:p>
        </w:tc>
        <w:tc>
          <w:tcPr>
            <w:tcW w:w="348" w:type="pct"/>
            <w:noWrap/>
            <w:hideMark/>
          </w:tcPr>
          <w:p w14:paraId="1D0B0B80"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4BC4F25C"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5D928A7D"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FF2844A"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2D88447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incremental</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cortisol</w:t>
            </w:r>
          </w:p>
        </w:tc>
        <w:tc>
          <w:tcPr>
            <w:tcW w:w="404" w:type="pct"/>
            <w:noWrap/>
            <w:hideMark/>
          </w:tcPr>
          <w:p w14:paraId="5FB87E1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43C972B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0.99, 1.0</w:t>
            </w:r>
            <w:r>
              <w:rPr>
                <w:rFonts w:ascii="Arial" w:eastAsia="Arial" w:hAnsi="Arial" w:cs="Arial"/>
                <w:color w:val="000000"/>
                <w:sz w:val="20"/>
                <w:szCs w:val="20"/>
                <w:lang w:eastAsia="en-ZA"/>
              </w:rPr>
              <w:t>2</w:t>
            </w:r>
          </w:p>
        </w:tc>
        <w:tc>
          <w:tcPr>
            <w:tcW w:w="481" w:type="pct"/>
            <w:noWrap/>
            <w:hideMark/>
          </w:tcPr>
          <w:p w14:paraId="2243ED0B"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0.032</w:t>
            </w:r>
          </w:p>
        </w:tc>
        <w:tc>
          <w:tcPr>
            <w:tcW w:w="348" w:type="pct"/>
            <w:noWrap/>
            <w:hideMark/>
          </w:tcPr>
          <w:p w14:paraId="22E988CD"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7431F716"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3BE1064C"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31457B29" w14:textId="77777777" w:rsidTr="001C0071">
        <w:trPr>
          <w:trHeight w:val="300"/>
        </w:trPr>
        <w:tc>
          <w:tcPr>
            <w:tcW w:w="1860" w:type="pct"/>
            <w:noWrap/>
            <w:hideMark/>
          </w:tcPr>
          <w:p w14:paraId="45CA0AC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Heart</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rate</w:t>
            </w:r>
          </w:p>
        </w:tc>
        <w:tc>
          <w:tcPr>
            <w:tcW w:w="404" w:type="pct"/>
            <w:noWrap/>
            <w:hideMark/>
          </w:tcPr>
          <w:p w14:paraId="730C9D4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45F9B77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0.99, 1.02</w:t>
            </w:r>
          </w:p>
        </w:tc>
        <w:tc>
          <w:tcPr>
            <w:tcW w:w="481" w:type="pct"/>
            <w:noWrap/>
            <w:hideMark/>
          </w:tcPr>
          <w:p w14:paraId="17FFCC4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w:t>
            </w:r>
          </w:p>
        </w:tc>
        <w:tc>
          <w:tcPr>
            <w:tcW w:w="348" w:type="pct"/>
            <w:noWrap/>
            <w:hideMark/>
          </w:tcPr>
          <w:p w14:paraId="4B4BE820"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3A14FFE6"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52A9E016"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7D72F7E"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51928ED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Hypotension</w:t>
            </w:r>
          </w:p>
        </w:tc>
        <w:tc>
          <w:tcPr>
            <w:tcW w:w="404" w:type="pct"/>
            <w:noWrap/>
            <w:hideMark/>
          </w:tcPr>
          <w:p w14:paraId="7E7F8C3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1.25</w:t>
            </w:r>
          </w:p>
        </w:tc>
        <w:tc>
          <w:tcPr>
            <w:tcW w:w="794" w:type="pct"/>
            <w:noWrap/>
            <w:hideMark/>
          </w:tcPr>
          <w:p w14:paraId="7E34568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0.57, 2.75</w:t>
            </w:r>
          </w:p>
        </w:tc>
        <w:tc>
          <w:tcPr>
            <w:tcW w:w="481" w:type="pct"/>
            <w:noWrap/>
            <w:hideMark/>
          </w:tcPr>
          <w:p w14:paraId="38E86CC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w:t>
            </w:r>
          </w:p>
        </w:tc>
        <w:tc>
          <w:tcPr>
            <w:tcW w:w="348" w:type="pct"/>
            <w:noWrap/>
            <w:hideMark/>
          </w:tcPr>
          <w:p w14:paraId="47A30D1A"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553A785C"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3F283A10"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0A7A700A" w14:textId="77777777" w:rsidTr="001C0071">
        <w:trPr>
          <w:trHeight w:val="300"/>
        </w:trPr>
        <w:tc>
          <w:tcPr>
            <w:tcW w:w="1860" w:type="pct"/>
            <w:noWrap/>
            <w:hideMark/>
          </w:tcPr>
          <w:p w14:paraId="2545D78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Weakness</w:t>
            </w:r>
          </w:p>
        </w:tc>
        <w:tc>
          <w:tcPr>
            <w:tcW w:w="404" w:type="pct"/>
            <w:noWrap/>
            <w:hideMark/>
          </w:tcPr>
          <w:p w14:paraId="036A3F5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1.78</w:t>
            </w:r>
          </w:p>
        </w:tc>
        <w:tc>
          <w:tcPr>
            <w:tcW w:w="794" w:type="pct"/>
            <w:noWrap/>
            <w:hideMark/>
          </w:tcPr>
          <w:p w14:paraId="1E0BE82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0.77, 4.12</w:t>
            </w:r>
          </w:p>
        </w:tc>
        <w:tc>
          <w:tcPr>
            <w:tcW w:w="481" w:type="pct"/>
            <w:noWrap/>
            <w:hideMark/>
          </w:tcPr>
          <w:p w14:paraId="49D534C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w:t>
            </w:r>
          </w:p>
        </w:tc>
        <w:tc>
          <w:tcPr>
            <w:tcW w:w="348" w:type="pct"/>
            <w:noWrap/>
            <w:hideMark/>
          </w:tcPr>
          <w:p w14:paraId="135744CA"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5F6A239"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31BA17F6"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D90B30B"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1628F3A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Tiredness</w:t>
            </w:r>
          </w:p>
        </w:tc>
        <w:tc>
          <w:tcPr>
            <w:tcW w:w="404" w:type="pct"/>
            <w:noWrap/>
            <w:hideMark/>
          </w:tcPr>
          <w:p w14:paraId="3C18BE4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2.67</w:t>
            </w:r>
          </w:p>
        </w:tc>
        <w:tc>
          <w:tcPr>
            <w:tcW w:w="794" w:type="pct"/>
            <w:noWrap/>
            <w:hideMark/>
          </w:tcPr>
          <w:p w14:paraId="1C47F3B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0.97, 7.35</w:t>
            </w:r>
          </w:p>
        </w:tc>
        <w:tc>
          <w:tcPr>
            <w:tcW w:w="481" w:type="pct"/>
            <w:noWrap/>
            <w:hideMark/>
          </w:tcPr>
          <w:p w14:paraId="0F5CC7F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0.057</w:t>
            </w:r>
          </w:p>
        </w:tc>
        <w:tc>
          <w:tcPr>
            <w:tcW w:w="348" w:type="pct"/>
            <w:noWrap/>
            <w:hideMark/>
          </w:tcPr>
          <w:p w14:paraId="756FE91A"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614E8840"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CCDD831"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271F0A20" w14:textId="77777777" w:rsidTr="001C0071">
        <w:trPr>
          <w:trHeight w:val="300"/>
        </w:trPr>
        <w:tc>
          <w:tcPr>
            <w:tcW w:w="1860" w:type="pct"/>
            <w:noWrap/>
            <w:hideMark/>
          </w:tcPr>
          <w:p w14:paraId="3331B06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Poor</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appetite</w:t>
            </w:r>
          </w:p>
        </w:tc>
        <w:tc>
          <w:tcPr>
            <w:tcW w:w="404" w:type="pct"/>
            <w:noWrap/>
            <w:hideMark/>
          </w:tcPr>
          <w:p w14:paraId="1449E9C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2.66</w:t>
            </w:r>
          </w:p>
        </w:tc>
        <w:tc>
          <w:tcPr>
            <w:tcW w:w="794" w:type="pct"/>
            <w:noWrap/>
            <w:hideMark/>
          </w:tcPr>
          <w:p w14:paraId="729AB9F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1.21, 5.83</w:t>
            </w:r>
          </w:p>
        </w:tc>
        <w:tc>
          <w:tcPr>
            <w:tcW w:w="481" w:type="pct"/>
            <w:noWrap/>
            <w:hideMark/>
          </w:tcPr>
          <w:p w14:paraId="34DCC219"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0.015</w:t>
            </w:r>
          </w:p>
        </w:tc>
        <w:tc>
          <w:tcPr>
            <w:tcW w:w="348" w:type="pct"/>
            <w:noWrap/>
            <w:hideMark/>
          </w:tcPr>
          <w:p w14:paraId="140F07AF"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FA68CCF"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53749892"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6ACA787"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6CD43C4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Weight</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loss</w:t>
            </w:r>
          </w:p>
        </w:tc>
        <w:tc>
          <w:tcPr>
            <w:tcW w:w="404" w:type="pct"/>
            <w:noWrap/>
            <w:hideMark/>
          </w:tcPr>
          <w:p w14:paraId="251A252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0.98</w:t>
            </w:r>
          </w:p>
        </w:tc>
        <w:tc>
          <w:tcPr>
            <w:tcW w:w="794" w:type="pct"/>
            <w:noWrap/>
            <w:hideMark/>
          </w:tcPr>
          <w:p w14:paraId="7710E2A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0.48, 1.98</w:t>
            </w:r>
          </w:p>
        </w:tc>
        <w:tc>
          <w:tcPr>
            <w:tcW w:w="481" w:type="pct"/>
            <w:noWrap/>
            <w:hideMark/>
          </w:tcPr>
          <w:p w14:paraId="5DD4CA9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&gt;0.9</w:t>
            </w:r>
          </w:p>
        </w:tc>
        <w:tc>
          <w:tcPr>
            <w:tcW w:w="348" w:type="pct"/>
            <w:noWrap/>
            <w:hideMark/>
          </w:tcPr>
          <w:p w14:paraId="476C97C3"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2C06E151"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EFEB339"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07B66DA0" w14:textId="77777777" w:rsidTr="001C0071">
        <w:trPr>
          <w:trHeight w:val="300"/>
        </w:trPr>
        <w:tc>
          <w:tcPr>
            <w:tcW w:w="1860" w:type="pct"/>
            <w:noWrap/>
            <w:hideMark/>
          </w:tcPr>
          <w:p w14:paraId="68A3C4D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Increased</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pigmentation</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of</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the</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skin</w:t>
            </w:r>
          </w:p>
        </w:tc>
        <w:tc>
          <w:tcPr>
            <w:tcW w:w="404" w:type="pct"/>
            <w:noWrap/>
            <w:hideMark/>
          </w:tcPr>
          <w:p w14:paraId="6DC2CA3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1.60</w:t>
            </w:r>
          </w:p>
        </w:tc>
        <w:tc>
          <w:tcPr>
            <w:tcW w:w="794" w:type="pct"/>
            <w:noWrap/>
            <w:hideMark/>
          </w:tcPr>
          <w:p w14:paraId="64D55C1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0.96, 2.66</w:t>
            </w:r>
          </w:p>
        </w:tc>
        <w:tc>
          <w:tcPr>
            <w:tcW w:w="481" w:type="pct"/>
            <w:noWrap/>
            <w:hideMark/>
          </w:tcPr>
          <w:p w14:paraId="683B387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0.072</w:t>
            </w:r>
          </w:p>
        </w:tc>
        <w:tc>
          <w:tcPr>
            <w:tcW w:w="348" w:type="pct"/>
            <w:noWrap/>
            <w:hideMark/>
          </w:tcPr>
          <w:p w14:paraId="42F24A6E"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641E3AF2"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6C83FB6"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0EFCE040"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7C984BD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Nausea</w:t>
            </w:r>
          </w:p>
        </w:tc>
        <w:tc>
          <w:tcPr>
            <w:tcW w:w="404" w:type="pct"/>
            <w:noWrap/>
            <w:hideMark/>
          </w:tcPr>
          <w:p w14:paraId="79A28A9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1.73</w:t>
            </w:r>
          </w:p>
        </w:tc>
        <w:tc>
          <w:tcPr>
            <w:tcW w:w="794" w:type="pct"/>
            <w:noWrap/>
            <w:hideMark/>
          </w:tcPr>
          <w:p w14:paraId="6BAAA22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1.03, 2.89</w:t>
            </w:r>
          </w:p>
        </w:tc>
        <w:tc>
          <w:tcPr>
            <w:tcW w:w="481" w:type="pct"/>
            <w:noWrap/>
            <w:hideMark/>
          </w:tcPr>
          <w:p w14:paraId="0C1ADAE1"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0.038</w:t>
            </w:r>
          </w:p>
        </w:tc>
        <w:tc>
          <w:tcPr>
            <w:tcW w:w="348" w:type="pct"/>
            <w:noWrap/>
            <w:hideMark/>
          </w:tcPr>
          <w:p w14:paraId="7D4BAC32"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5B19FEC9"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0F505258"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B1D1D23" w14:textId="77777777" w:rsidTr="001C0071">
        <w:trPr>
          <w:trHeight w:val="300"/>
        </w:trPr>
        <w:tc>
          <w:tcPr>
            <w:tcW w:w="1860" w:type="pct"/>
            <w:noWrap/>
            <w:hideMark/>
          </w:tcPr>
          <w:p w14:paraId="1633AA5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Vomiting</w:t>
            </w:r>
          </w:p>
        </w:tc>
        <w:tc>
          <w:tcPr>
            <w:tcW w:w="404" w:type="pct"/>
            <w:noWrap/>
            <w:hideMark/>
          </w:tcPr>
          <w:p w14:paraId="571B13E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0.95</w:t>
            </w:r>
          </w:p>
        </w:tc>
        <w:tc>
          <w:tcPr>
            <w:tcW w:w="794" w:type="pct"/>
            <w:noWrap/>
            <w:hideMark/>
          </w:tcPr>
          <w:p w14:paraId="44D6D97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0.55, 1.65</w:t>
            </w:r>
          </w:p>
        </w:tc>
        <w:tc>
          <w:tcPr>
            <w:tcW w:w="481" w:type="pct"/>
            <w:noWrap/>
            <w:hideMark/>
          </w:tcPr>
          <w:p w14:paraId="0161503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w:t>
            </w:r>
          </w:p>
        </w:tc>
        <w:tc>
          <w:tcPr>
            <w:tcW w:w="348" w:type="pct"/>
            <w:noWrap/>
            <w:hideMark/>
          </w:tcPr>
          <w:p w14:paraId="0D4F51B5"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36FE4CAB"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54D01F23"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46C84F2"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36F3A11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Liking</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for</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salt</w:t>
            </w:r>
          </w:p>
        </w:tc>
        <w:tc>
          <w:tcPr>
            <w:tcW w:w="404" w:type="pct"/>
            <w:noWrap/>
            <w:hideMark/>
          </w:tcPr>
          <w:p w14:paraId="3B78570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1.69</w:t>
            </w:r>
          </w:p>
        </w:tc>
        <w:tc>
          <w:tcPr>
            <w:tcW w:w="794" w:type="pct"/>
            <w:noWrap/>
            <w:hideMark/>
          </w:tcPr>
          <w:p w14:paraId="12AFC00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1.01, 2.83</w:t>
            </w:r>
          </w:p>
        </w:tc>
        <w:tc>
          <w:tcPr>
            <w:tcW w:w="481" w:type="pct"/>
            <w:noWrap/>
            <w:hideMark/>
          </w:tcPr>
          <w:p w14:paraId="7B667227"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0.046</w:t>
            </w:r>
          </w:p>
        </w:tc>
        <w:tc>
          <w:tcPr>
            <w:tcW w:w="348" w:type="pct"/>
            <w:noWrap/>
            <w:hideMark/>
          </w:tcPr>
          <w:p w14:paraId="2436496A"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51AB3C1A"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312D8E0F"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CC3C31E" w14:textId="77777777" w:rsidTr="001C0071">
        <w:trPr>
          <w:trHeight w:val="300"/>
        </w:trPr>
        <w:tc>
          <w:tcPr>
            <w:tcW w:w="1860" w:type="pct"/>
            <w:noWrap/>
            <w:hideMark/>
          </w:tcPr>
          <w:p w14:paraId="02352F21" w14:textId="77777777" w:rsidR="004C2BD9" w:rsidRPr="005A674E" w:rsidRDefault="004C2BD9" w:rsidP="001C0071">
            <w:pPr>
              <w:contextualSpacing/>
              <w:rPr>
                <w:rFonts w:ascii="Arial" w:eastAsia="Times New Roman" w:hAnsi="Arial" w:cs="Arial"/>
                <w:color w:val="000000"/>
                <w:sz w:val="20"/>
                <w:szCs w:val="20"/>
                <w:lang w:val="en-ZA" w:eastAsia="en-ZA"/>
              </w:rPr>
            </w:pPr>
            <w:proofErr w:type="spellStart"/>
            <w:r w:rsidRPr="005A674E">
              <w:rPr>
                <w:rFonts w:ascii="Arial" w:eastAsia="Arial" w:hAnsi="Arial" w:cs="Arial"/>
                <w:color w:val="000000"/>
                <w:sz w:val="20"/>
                <w:szCs w:val="20"/>
                <w:lang w:eastAsia="en-ZA"/>
              </w:rPr>
              <w:t>Hypoglycaemia</w:t>
            </w:r>
            <w:proofErr w:type="spellEnd"/>
          </w:p>
        </w:tc>
        <w:tc>
          <w:tcPr>
            <w:tcW w:w="404" w:type="pct"/>
            <w:noWrap/>
            <w:hideMark/>
          </w:tcPr>
          <w:p w14:paraId="4D5DB82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1.49</w:t>
            </w:r>
          </w:p>
        </w:tc>
        <w:tc>
          <w:tcPr>
            <w:tcW w:w="794" w:type="pct"/>
            <w:noWrap/>
            <w:hideMark/>
          </w:tcPr>
          <w:p w14:paraId="1F6EFF6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0.36, 6.07</w:t>
            </w:r>
          </w:p>
        </w:tc>
        <w:tc>
          <w:tcPr>
            <w:tcW w:w="481" w:type="pct"/>
            <w:noWrap/>
            <w:hideMark/>
          </w:tcPr>
          <w:p w14:paraId="0049ACC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w:t>
            </w:r>
          </w:p>
        </w:tc>
        <w:tc>
          <w:tcPr>
            <w:tcW w:w="348" w:type="pct"/>
            <w:noWrap/>
            <w:hideMark/>
          </w:tcPr>
          <w:p w14:paraId="2575056A"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55D67D0"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3B64502F"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553BBB1E"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0D21469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Loss</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of</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consciousness</w:t>
            </w:r>
          </w:p>
        </w:tc>
        <w:tc>
          <w:tcPr>
            <w:tcW w:w="404" w:type="pct"/>
            <w:noWrap/>
            <w:hideMark/>
          </w:tcPr>
          <w:p w14:paraId="509DEFE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2.57</w:t>
            </w:r>
          </w:p>
        </w:tc>
        <w:tc>
          <w:tcPr>
            <w:tcW w:w="794" w:type="pct"/>
            <w:noWrap/>
            <w:hideMark/>
          </w:tcPr>
          <w:p w14:paraId="5608B9E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0.63, 10.5</w:t>
            </w:r>
          </w:p>
        </w:tc>
        <w:tc>
          <w:tcPr>
            <w:tcW w:w="481" w:type="pct"/>
            <w:noWrap/>
            <w:hideMark/>
          </w:tcPr>
          <w:p w14:paraId="27D1602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w:t>
            </w:r>
          </w:p>
        </w:tc>
        <w:tc>
          <w:tcPr>
            <w:tcW w:w="348" w:type="pct"/>
            <w:noWrap/>
            <w:hideMark/>
          </w:tcPr>
          <w:p w14:paraId="2661EA8B"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56FA972"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7C430CF"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14F6142A" w14:textId="77777777" w:rsidTr="001C0071">
        <w:trPr>
          <w:trHeight w:val="300"/>
        </w:trPr>
        <w:tc>
          <w:tcPr>
            <w:tcW w:w="1860" w:type="pct"/>
            <w:noWrap/>
            <w:hideMark/>
          </w:tcPr>
          <w:p w14:paraId="6F8662B6" w14:textId="77777777" w:rsidR="004C2BD9" w:rsidRPr="005A674E" w:rsidRDefault="004C2BD9" w:rsidP="001C0071">
            <w:pPr>
              <w:contextualSpacing/>
              <w:rPr>
                <w:rFonts w:ascii="Arial" w:eastAsia="Times New Roman" w:hAnsi="Arial" w:cs="Arial"/>
                <w:color w:val="000000"/>
                <w:sz w:val="20"/>
                <w:szCs w:val="20"/>
                <w:lang w:val="en-ZA" w:eastAsia="en-ZA"/>
              </w:rPr>
            </w:pPr>
            <w:proofErr w:type="spellStart"/>
            <w:r w:rsidRPr="005A674E">
              <w:rPr>
                <w:rFonts w:ascii="Arial" w:eastAsia="Arial" w:hAnsi="Arial" w:cs="Arial"/>
                <w:color w:val="000000"/>
                <w:sz w:val="20"/>
                <w:szCs w:val="20"/>
                <w:lang w:eastAsia="en-ZA"/>
              </w:rPr>
              <w:t>Diarrhoea</w:t>
            </w:r>
            <w:proofErr w:type="spellEnd"/>
          </w:p>
        </w:tc>
        <w:tc>
          <w:tcPr>
            <w:tcW w:w="404" w:type="pct"/>
            <w:noWrap/>
            <w:hideMark/>
          </w:tcPr>
          <w:p w14:paraId="1185C0C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1.48</w:t>
            </w:r>
          </w:p>
        </w:tc>
        <w:tc>
          <w:tcPr>
            <w:tcW w:w="794" w:type="pct"/>
            <w:noWrap/>
            <w:hideMark/>
          </w:tcPr>
          <w:p w14:paraId="5341520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0.91, 2.42</w:t>
            </w:r>
          </w:p>
        </w:tc>
        <w:tc>
          <w:tcPr>
            <w:tcW w:w="481" w:type="pct"/>
            <w:noWrap/>
            <w:hideMark/>
          </w:tcPr>
          <w:p w14:paraId="0BF5D30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0.12</w:t>
            </w:r>
          </w:p>
        </w:tc>
        <w:tc>
          <w:tcPr>
            <w:tcW w:w="348" w:type="pct"/>
            <w:noWrap/>
            <w:hideMark/>
          </w:tcPr>
          <w:p w14:paraId="70AD9B9E"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4F37E1B3"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2DDA800C"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0D89701"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3F705BD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Dizziness</w:t>
            </w:r>
          </w:p>
        </w:tc>
        <w:tc>
          <w:tcPr>
            <w:tcW w:w="404" w:type="pct"/>
            <w:noWrap/>
            <w:hideMark/>
          </w:tcPr>
          <w:p w14:paraId="547FECA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1.59</w:t>
            </w:r>
          </w:p>
        </w:tc>
        <w:tc>
          <w:tcPr>
            <w:tcW w:w="794" w:type="pct"/>
            <w:noWrap/>
            <w:hideMark/>
          </w:tcPr>
          <w:p w14:paraId="4AA64FD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0.96, 2.63</w:t>
            </w:r>
          </w:p>
        </w:tc>
        <w:tc>
          <w:tcPr>
            <w:tcW w:w="481" w:type="pct"/>
            <w:noWrap/>
            <w:hideMark/>
          </w:tcPr>
          <w:p w14:paraId="69525D3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0.069</w:t>
            </w:r>
          </w:p>
        </w:tc>
        <w:tc>
          <w:tcPr>
            <w:tcW w:w="348" w:type="pct"/>
            <w:noWrap/>
            <w:hideMark/>
          </w:tcPr>
          <w:p w14:paraId="17CE42CC"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5EE55AB5"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FD5C05A"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841BCBF" w14:textId="77777777" w:rsidTr="001C0071">
        <w:trPr>
          <w:trHeight w:val="300"/>
        </w:trPr>
        <w:tc>
          <w:tcPr>
            <w:tcW w:w="1860" w:type="pct"/>
            <w:noWrap/>
            <w:hideMark/>
          </w:tcPr>
          <w:p w14:paraId="5025D5C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Shock</w:t>
            </w:r>
          </w:p>
        </w:tc>
        <w:tc>
          <w:tcPr>
            <w:tcW w:w="404" w:type="pct"/>
            <w:noWrap/>
            <w:hideMark/>
          </w:tcPr>
          <w:p w14:paraId="56884BE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3.85</w:t>
            </w:r>
          </w:p>
        </w:tc>
        <w:tc>
          <w:tcPr>
            <w:tcW w:w="794" w:type="pct"/>
            <w:noWrap/>
            <w:hideMark/>
          </w:tcPr>
          <w:p w14:paraId="45D3BCD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0.94, 15.7</w:t>
            </w:r>
          </w:p>
        </w:tc>
        <w:tc>
          <w:tcPr>
            <w:tcW w:w="481" w:type="pct"/>
            <w:noWrap/>
            <w:hideMark/>
          </w:tcPr>
          <w:p w14:paraId="6701917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0.061</w:t>
            </w:r>
          </w:p>
        </w:tc>
        <w:tc>
          <w:tcPr>
            <w:tcW w:w="348" w:type="pct"/>
            <w:noWrap/>
            <w:hideMark/>
          </w:tcPr>
          <w:p w14:paraId="4235CBD5"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24D9892A"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486FE17B"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53BE479"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0CF2DBC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Anorexia</w:t>
            </w:r>
          </w:p>
        </w:tc>
        <w:tc>
          <w:tcPr>
            <w:tcW w:w="404" w:type="pct"/>
            <w:noWrap/>
            <w:hideMark/>
          </w:tcPr>
          <w:p w14:paraId="5BE64CD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1.62</w:t>
            </w:r>
          </w:p>
        </w:tc>
        <w:tc>
          <w:tcPr>
            <w:tcW w:w="794" w:type="pct"/>
            <w:noWrap/>
            <w:hideMark/>
          </w:tcPr>
          <w:p w14:paraId="2D1DBA8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0.99, 2.66</w:t>
            </w:r>
          </w:p>
        </w:tc>
        <w:tc>
          <w:tcPr>
            <w:tcW w:w="481" w:type="pct"/>
            <w:noWrap/>
            <w:hideMark/>
          </w:tcPr>
          <w:p w14:paraId="6888B2C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0.057</w:t>
            </w:r>
          </w:p>
        </w:tc>
        <w:tc>
          <w:tcPr>
            <w:tcW w:w="348" w:type="pct"/>
            <w:noWrap/>
            <w:hideMark/>
          </w:tcPr>
          <w:p w14:paraId="5F3EE31E"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0A9BCE8B"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64F5967"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B870BAE" w14:textId="77777777" w:rsidTr="001C0071">
        <w:trPr>
          <w:trHeight w:val="300"/>
        </w:trPr>
        <w:tc>
          <w:tcPr>
            <w:tcW w:w="1860" w:type="pct"/>
            <w:noWrap/>
            <w:hideMark/>
          </w:tcPr>
          <w:p w14:paraId="25B8DF3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Loss</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of</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axillary</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and</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pubic</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hair</w:t>
            </w:r>
          </w:p>
        </w:tc>
        <w:tc>
          <w:tcPr>
            <w:tcW w:w="404" w:type="pct"/>
            <w:noWrap/>
            <w:hideMark/>
          </w:tcPr>
          <w:p w14:paraId="4058BC2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2.62</w:t>
            </w:r>
          </w:p>
        </w:tc>
        <w:tc>
          <w:tcPr>
            <w:tcW w:w="794" w:type="pct"/>
            <w:noWrap/>
            <w:hideMark/>
          </w:tcPr>
          <w:p w14:paraId="2736858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1.32, 5.18</w:t>
            </w:r>
          </w:p>
        </w:tc>
        <w:tc>
          <w:tcPr>
            <w:tcW w:w="481" w:type="pct"/>
            <w:noWrap/>
            <w:hideMark/>
          </w:tcPr>
          <w:p w14:paraId="71AD345A"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0.006</w:t>
            </w:r>
          </w:p>
        </w:tc>
        <w:tc>
          <w:tcPr>
            <w:tcW w:w="348" w:type="pct"/>
            <w:noWrap/>
            <w:hideMark/>
          </w:tcPr>
          <w:p w14:paraId="1CBE5643"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4CFFFBAA"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36692DC"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17A1A6D3"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16D7EF5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Any</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postural</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drop</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in</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blood</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pressure</w:t>
            </w:r>
          </w:p>
        </w:tc>
        <w:tc>
          <w:tcPr>
            <w:tcW w:w="404" w:type="pct"/>
            <w:noWrap/>
            <w:hideMark/>
          </w:tcPr>
          <w:p w14:paraId="7505FAB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1.50</w:t>
            </w:r>
          </w:p>
        </w:tc>
        <w:tc>
          <w:tcPr>
            <w:tcW w:w="794" w:type="pct"/>
            <w:noWrap/>
            <w:hideMark/>
          </w:tcPr>
          <w:p w14:paraId="016FAF4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0.54, 4.13</w:t>
            </w:r>
          </w:p>
        </w:tc>
        <w:tc>
          <w:tcPr>
            <w:tcW w:w="481" w:type="pct"/>
            <w:noWrap/>
            <w:hideMark/>
          </w:tcPr>
          <w:p w14:paraId="34A3C8D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w:t>
            </w:r>
          </w:p>
        </w:tc>
        <w:tc>
          <w:tcPr>
            <w:tcW w:w="348" w:type="pct"/>
            <w:noWrap/>
            <w:hideMark/>
          </w:tcPr>
          <w:p w14:paraId="0A5D246C"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324AFE51"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020B38AB"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54486A90" w14:textId="77777777" w:rsidTr="001C0071">
        <w:trPr>
          <w:trHeight w:val="300"/>
        </w:trPr>
        <w:tc>
          <w:tcPr>
            <w:tcW w:w="1860" w:type="pct"/>
            <w:noWrap/>
            <w:hideMark/>
          </w:tcPr>
          <w:p w14:paraId="2F89BAE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Presence</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of</w:t>
            </w:r>
            <w:r>
              <w:rPr>
                <w:rFonts w:ascii="Arial" w:eastAsia="Arial" w:hAnsi="Arial" w:cs="Arial"/>
                <w:color w:val="000000"/>
                <w:sz w:val="20"/>
                <w:szCs w:val="20"/>
                <w:lang w:eastAsia="en-ZA"/>
              </w:rPr>
              <w:t xml:space="preserve"> </w:t>
            </w:r>
            <w:proofErr w:type="spellStart"/>
            <w:r w:rsidRPr="005A674E">
              <w:rPr>
                <w:rFonts w:ascii="Arial" w:eastAsia="Arial" w:hAnsi="Arial" w:cs="Arial"/>
                <w:color w:val="000000"/>
                <w:sz w:val="20"/>
                <w:szCs w:val="20"/>
                <w:lang w:eastAsia="en-ZA"/>
              </w:rPr>
              <w:t>anaemia</w:t>
            </w:r>
            <w:proofErr w:type="spellEnd"/>
          </w:p>
        </w:tc>
        <w:tc>
          <w:tcPr>
            <w:tcW w:w="404" w:type="pct"/>
            <w:noWrap/>
            <w:hideMark/>
          </w:tcPr>
          <w:p w14:paraId="51D3157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1.28</w:t>
            </w:r>
          </w:p>
        </w:tc>
        <w:tc>
          <w:tcPr>
            <w:tcW w:w="794" w:type="pct"/>
            <w:noWrap/>
            <w:hideMark/>
          </w:tcPr>
          <w:p w14:paraId="29EC4EC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0.77, 2.14</w:t>
            </w:r>
          </w:p>
        </w:tc>
        <w:tc>
          <w:tcPr>
            <w:tcW w:w="481" w:type="pct"/>
            <w:noWrap/>
            <w:hideMark/>
          </w:tcPr>
          <w:p w14:paraId="6995FCA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0.3</w:t>
            </w:r>
          </w:p>
        </w:tc>
        <w:tc>
          <w:tcPr>
            <w:tcW w:w="348" w:type="pct"/>
            <w:noWrap/>
            <w:hideMark/>
          </w:tcPr>
          <w:p w14:paraId="3A09A75F"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F66BD28"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4373729C"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3FE18A2"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792D018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Tuberculosis</w:t>
            </w:r>
          </w:p>
        </w:tc>
        <w:tc>
          <w:tcPr>
            <w:tcW w:w="404" w:type="pct"/>
            <w:noWrap/>
            <w:hideMark/>
          </w:tcPr>
          <w:p w14:paraId="4EA0BBD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0.84</w:t>
            </w:r>
          </w:p>
        </w:tc>
        <w:tc>
          <w:tcPr>
            <w:tcW w:w="794" w:type="pct"/>
            <w:noWrap/>
            <w:hideMark/>
          </w:tcPr>
          <w:p w14:paraId="0752DD4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0.45, 1.58</w:t>
            </w:r>
          </w:p>
        </w:tc>
        <w:tc>
          <w:tcPr>
            <w:tcW w:w="481" w:type="pct"/>
            <w:noWrap/>
            <w:hideMark/>
          </w:tcPr>
          <w:p w14:paraId="10FFD32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w:t>
            </w:r>
          </w:p>
        </w:tc>
        <w:tc>
          <w:tcPr>
            <w:tcW w:w="348" w:type="pct"/>
            <w:noWrap/>
            <w:hideMark/>
          </w:tcPr>
          <w:p w14:paraId="415410ED"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511A2FCF"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4A8FEA0"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52272A97" w14:textId="77777777" w:rsidTr="001C0071">
        <w:trPr>
          <w:trHeight w:val="300"/>
        </w:trPr>
        <w:tc>
          <w:tcPr>
            <w:tcW w:w="1860" w:type="pct"/>
            <w:noWrap/>
            <w:hideMark/>
          </w:tcPr>
          <w:p w14:paraId="0603E8F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Cryptococcus neoformans</w:t>
            </w:r>
          </w:p>
        </w:tc>
        <w:tc>
          <w:tcPr>
            <w:tcW w:w="404" w:type="pct"/>
            <w:noWrap/>
            <w:hideMark/>
          </w:tcPr>
          <w:p w14:paraId="5F0C93E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1.82</w:t>
            </w:r>
          </w:p>
        </w:tc>
        <w:tc>
          <w:tcPr>
            <w:tcW w:w="794" w:type="pct"/>
            <w:noWrap/>
            <w:hideMark/>
          </w:tcPr>
          <w:p w14:paraId="00931F2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0.78, 4.21</w:t>
            </w:r>
          </w:p>
        </w:tc>
        <w:tc>
          <w:tcPr>
            <w:tcW w:w="481" w:type="pct"/>
            <w:noWrap/>
            <w:hideMark/>
          </w:tcPr>
          <w:p w14:paraId="271DBB0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w:t>
            </w:r>
          </w:p>
        </w:tc>
        <w:tc>
          <w:tcPr>
            <w:tcW w:w="348" w:type="pct"/>
            <w:noWrap/>
            <w:hideMark/>
          </w:tcPr>
          <w:p w14:paraId="3A9DFD4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1.98</w:t>
            </w:r>
          </w:p>
        </w:tc>
        <w:tc>
          <w:tcPr>
            <w:tcW w:w="622" w:type="pct"/>
            <w:noWrap/>
            <w:hideMark/>
          </w:tcPr>
          <w:p w14:paraId="5A0A4F1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0.85, 4.63</w:t>
            </w:r>
          </w:p>
        </w:tc>
        <w:tc>
          <w:tcPr>
            <w:tcW w:w="491" w:type="pct"/>
            <w:noWrap/>
            <w:hideMark/>
          </w:tcPr>
          <w:p w14:paraId="58881F3C"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0.11</w:t>
            </w:r>
          </w:p>
        </w:tc>
      </w:tr>
      <w:tr w:rsidR="004C2BD9" w:rsidRPr="005A674E" w14:paraId="1DD92AFF"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4399BEF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lastRenderedPageBreak/>
              <w:t>Pneumonia</w:t>
            </w:r>
          </w:p>
        </w:tc>
        <w:tc>
          <w:tcPr>
            <w:tcW w:w="404" w:type="pct"/>
            <w:noWrap/>
            <w:hideMark/>
          </w:tcPr>
          <w:p w14:paraId="7C3F067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0.94</w:t>
            </w:r>
          </w:p>
        </w:tc>
        <w:tc>
          <w:tcPr>
            <w:tcW w:w="794" w:type="pct"/>
            <w:noWrap/>
            <w:hideMark/>
          </w:tcPr>
          <w:p w14:paraId="18E7875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0.43, 2.06</w:t>
            </w:r>
          </w:p>
        </w:tc>
        <w:tc>
          <w:tcPr>
            <w:tcW w:w="481" w:type="pct"/>
            <w:noWrap/>
            <w:hideMark/>
          </w:tcPr>
          <w:p w14:paraId="0540613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w:t>
            </w:r>
          </w:p>
        </w:tc>
        <w:tc>
          <w:tcPr>
            <w:tcW w:w="348" w:type="pct"/>
            <w:noWrap/>
            <w:hideMark/>
          </w:tcPr>
          <w:p w14:paraId="11DF16F6"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36809EE1"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F5BEA76"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31D71AF8" w14:textId="77777777" w:rsidTr="001C0071">
        <w:trPr>
          <w:trHeight w:val="300"/>
        </w:trPr>
        <w:tc>
          <w:tcPr>
            <w:tcW w:w="1860" w:type="pct"/>
            <w:noWrap/>
            <w:hideMark/>
          </w:tcPr>
          <w:p w14:paraId="2F532C5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HSV</w:t>
            </w:r>
          </w:p>
        </w:tc>
        <w:tc>
          <w:tcPr>
            <w:tcW w:w="404" w:type="pct"/>
            <w:noWrap/>
            <w:hideMark/>
          </w:tcPr>
          <w:p w14:paraId="24D8C5D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2B29D65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0.14, 7.18</w:t>
            </w:r>
          </w:p>
        </w:tc>
        <w:tc>
          <w:tcPr>
            <w:tcW w:w="481" w:type="pct"/>
            <w:noWrap/>
            <w:hideMark/>
          </w:tcPr>
          <w:p w14:paraId="7F0FB0C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&gt;0.9</w:t>
            </w:r>
          </w:p>
        </w:tc>
        <w:tc>
          <w:tcPr>
            <w:tcW w:w="348" w:type="pct"/>
            <w:noWrap/>
            <w:hideMark/>
          </w:tcPr>
          <w:p w14:paraId="17FD837C"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73A9E0B8"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571EE748"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1C1ED916"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24326D8B" w14:textId="77777777" w:rsidR="004C2BD9" w:rsidRPr="005A674E" w:rsidRDefault="004C2BD9" w:rsidP="001C0071">
            <w:pPr>
              <w:contextualSpacing/>
              <w:rPr>
                <w:rFonts w:ascii="Arial" w:eastAsia="Times New Roman" w:hAnsi="Arial" w:cs="Arial"/>
                <w:color w:val="000000"/>
                <w:sz w:val="20"/>
                <w:szCs w:val="20"/>
                <w:lang w:val="en-ZA" w:eastAsia="en-ZA"/>
              </w:rPr>
            </w:pPr>
            <w:proofErr w:type="spellStart"/>
            <w:r w:rsidRPr="005A674E">
              <w:rPr>
                <w:rFonts w:ascii="Arial" w:eastAsia="Arial" w:hAnsi="Arial" w:cs="Arial"/>
                <w:color w:val="000000"/>
                <w:sz w:val="20"/>
                <w:szCs w:val="20"/>
                <w:lang w:eastAsia="en-ZA"/>
              </w:rPr>
              <w:t>HepB</w:t>
            </w:r>
            <w:proofErr w:type="spellEnd"/>
          </w:p>
        </w:tc>
        <w:tc>
          <w:tcPr>
            <w:tcW w:w="404" w:type="pct"/>
            <w:noWrap/>
            <w:hideMark/>
          </w:tcPr>
          <w:p w14:paraId="3DA131F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0.44</w:t>
            </w:r>
          </w:p>
        </w:tc>
        <w:tc>
          <w:tcPr>
            <w:tcW w:w="794" w:type="pct"/>
            <w:noWrap/>
            <w:hideMark/>
          </w:tcPr>
          <w:p w14:paraId="6C0744C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0.06, 3.15</w:t>
            </w:r>
          </w:p>
        </w:tc>
        <w:tc>
          <w:tcPr>
            <w:tcW w:w="481" w:type="pct"/>
            <w:noWrap/>
            <w:hideMark/>
          </w:tcPr>
          <w:p w14:paraId="6DE62A8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w:t>
            </w:r>
          </w:p>
        </w:tc>
        <w:tc>
          <w:tcPr>
            <w:tcW w:w="348" w:type="pct"/>
            <w:noWrap/>
            <w:hideMark/>
          </w:tcPr>
          <w:p w14:paraId="31FB867E"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96361D3"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4AC8B29"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0D56D20B" w14:textId="77777777" w:rsidTr="001C0071">
        <w:trPr>
          <w:trHeight w:val="300"/>
        </w:trPr>
        <w:tc>
          <w:tcPr>
            <w:tcW w:w="1860" w:type="pct"/>
            <w:noWrap/>
            <w:hideMark/>
          </w:tcPr>
          <w:p w14:paraId="667AD88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Candida</w:t>
            </w:r>
          </w:p>
        </w:tc>
        <w:tc>
          <w:tcPr>
            <w:tcW w:w="404" w:type="pct"/>
            <w:noWrap/>
            <w:hideMark/>
          </w:tcPr>
          <w:p w14:paraId="11D10A4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w:t>
            </w:r>
          </w:p>
        </w:tc>
        <w:tc>
          <w:tcPr>
            <w:tcW w:w="794" w:type="pct"/>
            <w:noWrap/>
            <w:hideMark/>
          </w:tcPr>
          <w:p w14:paraId="1B844D3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0.36, 2.73</w:t>
            </w:r>
          </w:p>
        </w:tc>
        <w:tc>
          <w:tcPr>
            <w:tcW w:w="481" w:type="pct"/>
            <w:noWrap/>
            <w:hideMark/>
          </w:tcPr>
          <w:p w14:paraId="3D920CE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&gt;0.9</w:t>
            </w:r>
          </w:p>
        </w:tc>
        <w:tc>
          <w:tcPr>
            <w:tcW w:w="348" w:type="pct"/>
            <w:noWrap/>
            <w:hideMark/>
          </w:tcPr>
          <w:p w14:paraId="27057A98"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83CE50D"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32BD04D"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7B4D039"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56C4A21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Syphilis</w:t>
            </w:r>
          </w:p>
        </w:tc>
        <w:tc>
          <w:tcPr>
            <w:tcW w:w="404" w:type="pct"/>
            <w:noWrap/>
            <w:hideMark/>
          </w:tcPr>
          <w:p w14:paraId="508C6CF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1.44</w:t>
            </w:r>
          </w:p>
        </w:tc>
        <w:tc>
          <w:tcPr>
            <w:tcW w:w="794" w:type="pct"/>
            <w:noWrap/>
            <w:hideMark/>
          </w:tcPr>
          <w:p w14:paraId="363CC9D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0.45, 4.58</w:t>
            </w:r>
          </w:p>
        </w:tc>
        <w:tc>
          <w:tcPr>
            <w:tcW w:w="481" w:type="pct"/>
            <w:noWrap/>
            <w:hideMark/>
          </w:tcPr>
          <w:p w14:paraId="5518515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w:t>
            </w:r>
          </w:p>
        </w:tc>
        <w:tc>
          <w:tcPr>
            <w:tcW w:w="348" w:type="pct"/>
            <w:noWrap/>
            <w:hideMark/>
          </w:tcPr>
          <w:p w14:paraId="20F44ED8"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578173B5"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C40CC49"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BEC81C2" w14:textId="77777777" w:rsidTr="001C0071">
        <w:trPr>
          <w:trHeight w:val="300"/>
        </w:trPr>
        <w:tc>
          <w:tcPr>
            <w:tcW w:w="1860" w:type="pct"/>
            <w:noWrap/>
            <w:hideMark/>
          </w:tcPr>
          <w:p w14:paraId="1EA5110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 xml:space="preserve">B </w:t>
            </w:r>
            <w:proofErr w:type="spellStart"/>
            <w:r w:rsidRPr="005A674E">
              <w:rPr>
                <w:rFonts w:ascii="Arial" w:eastAsia="Arial" w:hAnsi="Arial" w:cs="Arial"/>
                <w:color w:val="000000"/>
                <w:sz w:val="20"/>
                <w:szCs w:val="20"/>
                <w:lang w:eastAsia="en-ZA"/>
              </w:rPr>
              <w:t>menigitis</w:t>
            </w:r>
            <w:proofErr w:type="spellEnd"/>
          </w:p>
        </w:tc>
        <w:tc>
          <w:tcPr>
            <w:tcW w:w="404" w:type="pct"/>
            <w:noWrap/>
            <w:hideMark/>
          </w:tcPr>
          <w:p w14:paraId="3D8ABF6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1.41</w:t>
            </w:r>
          </w:p>
        </w:tc>
        <w:tc>
          <w:tcPr>
            <w:tcW w:w="794" w:type="pct"/>
            <w:noWrap/>
            <w:hideMark/>
          </w:tcPr>
          <w:p w14:paraId="0EDD194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0.20, 10.2</w:t>
            </w:r>
          </w:p>
        </w:tc>
        <w:tc>
          <w:tcPr>
            <w:tcW w:w="481" w:type="pct"/>
            <w:noWrap/>
            <w:hideMark/>
          </w:tcPr>
          <w:p w14:paraId="531E6F6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w:t>
            </w:r>
          </w:p>
        </w:tc>
        <w:tc>
          <w:tcPr>
            <w:tcW w:w="348" w:type="pct"/>
            <w:noWrap/>
            <w:hideMark/>
          </w:tcPr>
          <w:p w14:paraId="51A3F936"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A9C7B10"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0029E49E"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383A5429"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3B3AEF2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UTI / Leptospirosis</w:t>
            </w:r>
          </w:p>
        </w:tc>
        <w:tc>
          <w:tcPr>
            <w:tcW w:w="404" w:type="pct"/>
            <w:noWrap/>
            <w:hideMark/>
          </w:tcPr>
          <w:p w14:paraId="5EF598C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1.19</w:t>
            </w:r>
          </w:p>
        </w:tc>
        <w:tc>
          <w:tcPr>
            <w:tcW w:w="794" w:type="pct"/>
            <w:noWrap/>
            <w:hideMark/>
          </w:tcPr>
          <w:p w14:paraId="0EF34D4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0.17, 8.61</w:t>
            </w:r>
          </w:p>
        </w:tc>
        <w:tc>
          <w:tcPr>
            <w:tcW w:w="481" w:type="pct"/>
            <w:noWrap/>
            <w:hideMark/>
          </w:tcPr>
          <w:p w14:paraId="26E7A89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w:t>
            </w:r>
          </w:p>
        </w:tc>
        <w:tc>
          <w:tcPr>
            <w:tcW w:w="348" w:type="pct"/>
            <w:noWrap/>
            <w:hideMark/>
          </w:tcPr>
          <w:p w14:paraId="203B1A2C"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667CCC0"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27268F29"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2F1C1867" w14:textId="77777777" w:rsidTr="001C0071">
        <w:trPr>
          <w:trHeight w:val="300"/>
        </w:trPr>
        <w:tc>
          <w:tcPr>
            <w:tcW w:w="1860" w:type="pct"/>
            <w:noWrap/>
            <w:hideMark/>
          </w:tcPr>
          <w:p w14:paraId="30BB884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PCP</w:t>
            </w:r>
          </w:p>
        </w:tc>
        <w:tc>
          <w:tcPr>
            <w:tcW w:w="404" w:type="pct"/>
            <w:noWrap/>
            <w:hideMark/>
          </w:tcPr>
          <w:p w14:paraId="2567EE6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4.24</w:t>
            </w:r>
          </w:p>
        </w:tc>
        <w:tc>
          <w:tcPr>
            <w:tcW w:w="794" w:type="pct"/>
            <w:noWrap/>
            <w:hideMark/>
          </w:tcPr>
          <w:p w14:paraId="1F319A6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1.04, 17.3</w:t>
            </w:r>
          </w:p>
        </w:tc>
        <w:tc>
          <w:tcPr>
            <w:tcW w:w="481" w:type="pct"/>
            <w:noWrap/>
            <w:hideMark/>
          </w:tcPr>
          <w:p w14:paraId="4CFCD847"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0.044</w:t>
            </w:r>
          </w:p>
        </w:tc>
        <w:tc>
          <w:tcPr>
            <w:tcW w:w="348" w:type="pct"/>
            <w:noWrap/>
            <w:hideMark/>
          </w:tcPr>
          <w:p w14:paraId="1B01EF7E"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344D6421"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807180A"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9088438"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63E0EE0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Viral</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load</w:t>
            </w:r>
          </w:p>
        </w:tc>
        <w:tc>
          <w:tcPr>
            <w:tcW w:w="404" w:type="pct"/>
            <w:noWrap/>
            <w:hideMark/>
          </w:tcPr>
          <w:p w14:paraId="471753E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1.19</w:t>
            </w:r>
          </w:p>
        </w:tc>
        <w:tc>
          <w:tcPr>
            <w:tcW w:w="794" w:type="pct"/>
            <w:noWrap/>
            <w:hideMark/>
          </w:tcPr>
          <w:p w14:paraId="64F9F5C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1.01, 1.41</w:t>
            </w:r>
          </w:p>
        </w:tc>
        <w:tc>
          <w:tcPr>
            <w:tcW w:w="481" w:type="pct"/>
            <w:noWrap/>
            <w:hideMark/>
          </w:tcPr>
          <w:p w14:paraId="64574DC7"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0.036</w:t>
            </w:r>
          </w:p>
        </w:tc>
        <w:tc>
          <w:tcPr>
            <w:tcW w:w="348" w:type="pct"/>
            <w:noWrap/>
            <w:hideMark/>
          </w:tcPr>
          <w:p w14:paraId="044FADC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1.05</w:t>
            </w:r>
          </w:p>
        </w:tc>
        <w:tc>
          <w:tcPr>
            <w:tcW w:w="622" w:type="pct"/>
            <w:noWrap/>
            <w:hideMark/>
          </w:tcPr>
          <w:p w14:paraId="7FC96C2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0.94, 1.17</w:t>
            </w:r>
          </w:p>
        </w:tc>
        <w:tc>
          <w:tcPr>
            <w:tcW w:w="491" w:type="pct"/>
            <w:noWrap/>
            <w:hideMark/>
          </w:tcPr>
          <w:p w14:paraId="6D46DFF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0.4</w:t>
            </w:r>
          </w:p>
        </w:tc>
      </w:tr>
      <w:tr w:rsidR="004C2BD9" w:rsidRPr="005A674E" w14:paraId="162AE28C" w14:textId="77777777" w:rsidTr="001C0071">
        <w:trPr>
          <w:trHeight w:val="300"/>
        </w:trPr>
        <w:tc>
          <w:tcPr>
            <w:tcW w:w="1860" w:type="pct"/>
            <w:noWrap/>
            <w:hideMark/>
          </w:tcPr>
          <w:p w14:paraId="06C5358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CD4</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count</w:t>
            </w:r>
          </w:p>
        </w:tc>
        <w:tc>
          <w:tcPr>
            <w:tcW w:w="404" w:type="pct"/>
            <w:noWrap/>
            <w:hideMark/>
          </w:tcPr>
          <w:p w14:paraId="56A460E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w:t>
            </w:r>
          </w:p>
        </w:tc>
        <w:tc>
          <w:tcPr>
            <w:tcW w:w="794" w:type="pct"/>
            <w:noWrap/>
            <w:hideMark/>
          </w:tcPr>
          <w:p w14:paraId="7B2743DA"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0.98, 1.00</w:t>
            </w:r>
          </w:p>
        </w:tc>
        <w:tc>
          <w:tcPr>
            <w:tcW w:w="481" w:type="pct"/>
            <w:noWrap/>
            <w:hideMark/>
          </w:tcPr>
          <w:p w14:paraId="2C6307A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w:t>
            </w:r>
          </w:p>
        </w:tc>
        <w:tc>
          <w:tcPr>
            <w:tcW w:w="348" w:type="pct"/>
            <w:noWrap/>
            <w:hideMark/>
          </w:tcPr>
          <w:p w14:paraId="6E290BB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622" w:type="pct"/>
            <w:noWrap/>
            <w:hideMark/>
          </w:tcPr>
          <w:p w14:paraId="37B4912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0.99, 1.01</w:t>
            </w:r>
          </w:p>
        </w:tc>
        <w:tc>
          <w:tcPr>
            <w:tcW w:w="491" w:type="pct"/>
            <w:noWrap/>
            <w:hideMark/>
          </w:tcPr>
          <w:p w14:paraId="25324FA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w:t>
            </w:r>
          </w:p>
        </w:tc>
      </w:tr>
      <w:tr w:rsidR="004C2BD9" w:rsidRPr="005A674E" w14:paraId="0D72F436"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0641D95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Sodium</w:t>
            </w:r>
          </w:p>
        </w:tc>
        <w:tc>
          <w:tcPr>
            <w:tcW w:w="404" w:type="pct"/>
            <w:noWrap/>
            <w:hideMark/>
          </w:tcPr>
          <w:p w14:paraId="273BDF8F"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3EFC3B9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0.98, 1.02</w:t>
            </w:r>
          </w:p>
        </w:tc>
        <w:tc>
          <w:tcPr>
            <w:tcW w:w="481" w:type="pct"/>
            <w:noWrap/>
            <w:hideMark/>
          </w:tcPr>
          <w:p w14:paraId="6D86734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&gt;0.9</w:t>
            </w:r>
          </w:p>
        </w:tc>
        <w:tc>
          <w:tcPr>
            <w:tcW w:w="348" w:type="pct"/>
            <w:noWrap/>
            <w:hideMark/>
          </w:tcPr>
          <w:p w14:paraId="5A026FAB"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2A82E889"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B1F9B72"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D9A3183" w14:textId="77777777" w:rsidTr="001C0071">
        <w:trPr>
          <w:trHeight w:val="300"/>
        </w:trPr>
        <w:tc>
          <w:tcPr>
            <w:tcW w:w="1860" w:type="pct"/>
            <w:noWrap/>
            <w:hideMark/>
          </w:tcPr>
          <w:p w14:paraId="0E0F755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Potassium</w:t>
            </w:r>
          </w:p>
        </w:tc>
        <w:tc>
          <w:tcPr>
            <w:tcW w:w="404" w:type="pct"/>
            <w:noWrap/>
            <w:hideMark/>
          </w:tcPr>
          <w:p w14:paraId="021452A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0.98</w:t>
            </w:r>
          </w:p>
        </w:tc>
        <w:tc>
          <w:tcPr>
            <w:tcW w:w="794" w:type="pct"/>
            <w:noWrap/>
            <w:hideMark/>
          </w:tcPr>
          <w:p w14:paraId="60B3D3A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0.94, 1.03</w:t>
            </w:r>
          </w:p>
        </w:tc>
        <w:tc>
          <w:tcPr>
            <w:tcW w:w="481" w:type="pct"/>
            <w:noWrap/>
            <w:hideMark/>
          </w:tcPr>
          <w:p w14:paraId="6DCB27E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0.5</w:t>
            </w:r>
          </w:p>
        </w:tc>
        <w:tc>
          <w:tcPr>
            <w:tcW w:w="348" w:type="pct"/>
            <w:noWrap/>
            <w:hideMark/>
          </w:tcPr>
          <w:p w14:paraId="25C693EC"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4E2597D4"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33E8AB7"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4CCE0D0F"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1F6A66B4" w14:textId="77777777" w:rsidR="004C2BD9" w:rsidRPr="005A674E" w:rsidRDefault="004C2BD9" w:rsidP="001C0071">
            <w:pPr>
              <w:contextualSpacing/>
              <w:rPr>
                <w:rFonts w:ascii="Arial" w:eastAsia="Times New Roman" w:hAnsi="Arial" w:cs="Arial"/>
                <w:color w:val="000000"/>
                <w:sz w:val="20"/>
                <w:szCs w:val="20"/>
                <w:lang w:val="en-ZA" w:eastAsia="en-ZA"/>
              </w:rPr>
            </w:pPr>
            <w:proofErr w:type="spellStart"/>
            <w:r w:rsidRPr="005A674E">
              <w:rPr>
                <w:rFonts w:ascii="Arial" w:eastAsia="Arial" w:hAnsi="Arial" w:cs="Arial"/>
                <w:color w:val="000000"/>
                <w:sz w:val="20"/>
                <w:szCs w:val="20"/>
                <w:lang w:eastAsia="en-ZA"/>
              </w:rPr>
              <w:t>Haemoglobin</w:t>
            </w:r>
            <w:proofErr w:type="spellEnd"/>
          </w:p>
        </w:tc>
        <w:tc>
          <w:tcPr>
            <w:tcW w:w="404" w:type="pct"/>
            <w:noWrap/>
            <w:hideMark/>
          </w:tcPr>
          <w:p w14:paraId="4FF2C176"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0.97</w:t>
            </w:r>
          </w:p>
        </w:tc>
        <w:tc>
          <w:tcPr>
            <w:tcW w:w="794" w:type="pct"/>
            <w:noWrap/>
            <w:hideMark/>
          </w:tcPr>
          <w:p w14:paraId="2EF49CF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0.87, 1.08</w:t>
            </w:r>
          </w:p>
        </w:tc>
        <w:tc>
          <w:tcPr>
            <w:tcW w:w="481" w:type="pct"/>
            <w:noWrap/>
            <w:hideMark/>
          </w:tcPr>
          <w:p w14:paraId="7935918E"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w:t>
            </w:r>
          </w:p>
        </w:tc>
        <w:tc>
          <w:tcPr>
            <w:tcW w:w="348" w:type="pct"/>
            <w:noWrap/>
            <w:hideMark/>
          </w:tcPr>
          <w:p w14:paraId="171DE3C8"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70B83869"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6658FC4B"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5D8DB9E0" w14:textId="77777777" w:rsidTr="001C0071">
        <w:trPr>
          <w:trHeight w:val="300"/>
        </w:trPr>
        <w:tc>
          <w:tcPr>
            <w:tcW w:w="1860" w:type="pct"/>
            <w:noWrap/>
            <w:hideMark/>
          </w:tcPr>
          <w:p w14:paraId="17D7C4F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White</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cell</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count</w:t>
            </w:r>
          </w:p>
        </w:tc>
        <w:tc>
          <w:tcPr>
            <w:tcW w:w="404" w:type="pct"/>
            <w:noWrap/>
            <w:hideMark/>
          </w:tcPr>
          <w:p w14:paraId="4BAB899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w:t>
            </w:r>
          </w:p>
        </w:tc>
        <w:tc>
          <w:tcPr>
            <w:tcW w:w="794" w:type="pct"/>
            <w:noWrap/>
            <w:hideMark/>
          </w:tcPr>
          <w:p w14:paraId="0EC9AA7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1.00, 1.00</w:t>
            </w:r>
          </w:p>
        </w:tc>
        <w:tc>
          <w:tcPr>
            <w:tcW w:w="481" w:type="pct"/>
            <w:noWrap/>
            <w:hideMark/>
          </w:tcPr>
          <w:p w14:paraId="699C62F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&gt;0.9</w:t>
            </w:r>
          </w:p>
        </w:tc>
        <w:tc>
          <w:tcPr>
            <w:tcW w:w="348" w:type="pct"/>
            <w:noWrap/>
            <w:hideMark/>
          </w:tcPr>
          <w:p w14:paraId="2F8D036F"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4FC9762A"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EC715FA"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BA49018"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2120ABFB"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Lymphocyte</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count</w:t>
            </w:r>
          </w:p>
        </w:tc>
        <w:tc>
          <w:tcPr>
            <w:tcW w:w="404" w:type="pct"/>
            <w:noWrap/>
            <w:hideMark/>
          </w:tcPr>
          <w:p w14:paraId="7D727B58"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0.92</w:t>
            </w:r>
          </w:p>
        </w:tc>
        <w:tc>
          <w:tcPr>
            <w:tcW w:w="794" w:type="pct"/>
            <w:noWrap/>
            <w:hideMark/>
          </w:tcPr>
          <w:p w14:paraId="2BF2E3E5"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0.81, 1.05</w:t>
            </w:r>
          </w:p>
        </w:tc>
        <w:tc>
          <w:tcPr>
            <w:tcW w:w="481" w:type="pct"/>
            <w:noWrap/>
            <w:hideMark/>
          </w:tcPr>
          <w:p w14:paraId="201D84A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0.2</w:t>
            </w:r>
          </w:p>
        </w:tc>
        <w:tc>
          <w:tcPr>
            <w:tcW w:w="348" w:type="pct"/>
            <w:noWrap/>
            <w:hideMark/>
          </w:tcPr>
          <w:p w14:paraId="27771147"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DDE8804"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7D14D645"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7CC0046D" w14:textId="77777777" w:rsidTr="001C0071">
        <w:trPr>
          <w:trHeight w:val="300"/>
        </w:trPr>
        <w:tc>
          <w:tcPr>
            <w:tcW w:w="1860" w:type="pct"/>
            <w:noWrap/>
            <w:hideMark/>
          </w:tcPr>
          <w:p w14:paraId="2338DAF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ART exposure</w:t>
            </w:r>
          </w:p>
        </w:tc>
        <w:tc>
          <w:tcPr>
            <w:tcW w:w="404" w:type="pct"/>
            <w:noWrap/>
            <w:hideMark/>
          </w:tcPr>
          <w:p w14:paraId="5735CF89"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1.16</w:t>
            </w:r>
          </w:p>
        </w:tc>
        <w:tc>
          <w:tcPr>
            <w:tcW w:w="794" w:type="pct"/>
            <w:noWrap/>
            <w:hideMark/>
          </w:tcPr>
          <w:p w14:paraId="46679A6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0.71, 1.89</w:t>
            </w:r>
          </w:p>
        </w:tc>
        <w:tc>
          <w:tcPr>
            <w:tcW w:w="481" w:type="pct"/>
            <w:noWrap/>
            <w:hideMark/>
          </w:tcPr>
          <w:p w14:paraId="0F9A4C6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0.6</w:t>
            </w:r>
          </w:p>
        </w:tc>
        <w:tc>
          <w:tcPr>
            <w:tcW w:w="348" w:type="pct"/>
            <w:noWrap/>
            <w:hideMark/>
          </w:tcPr>
          <w:p w14:paraId="2D7140F1"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6CD52242"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47902D78"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4E1E98A" w14:textId="77777777" w:rsidTr="001C0071">
        <w:trPr>
          <w:cnfStyle w:val="000000100000" w:firstRow="0" w:lastRow="0" w:firstColumn="0" w:lastColumn="0" w:oddVBand="0" w:evenVBand="0" w:oddHBand="1" w:evenHBand="0" w:firstRowFirstColumn="0" w:firstRowLastColumn="0" w:lastRowFirstColumn="0" w:lastRowLastColumn="0"/>
          <w:trHeight w:val="300"/>
        </w:trPr>
        <w:tc>
          <w:tcPr>
            <w:tcW w:w="1860" w:type="pct"/>
            <w:noWrap/>
            <w:hideMark/>
          </w:tcPr>
          <w:p w14:paraId="6D76D1BD"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Kidney medication</w:t>
            </w:r>
          </w:p>
        </w:tc>
        <w:tc>
          <w:tcPr>
            <w:tcW w:w="404" w:type="pct"/>
            <w:noWrap/>
            <w:hideMark/>
          </w:tcPr>
          <w:p w14:paraId="02594184"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2.04</w:t>
            </w:r>
          </w:p>
        </w:tc>
        <w:tc>
          <w:tcPr>
            <w:tcW w:w="794" w:type="pct"/>
            <w:noWrap/>
            <w:hideMark/>
          </w:tcPr>
          <w:p w14:paraId="35331030"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1.07, 3.91</w:t>
            </w:r>
          </w:p>
        </w:tc>
        <w:tc>
          <w:tcPr>
            <w:tcW w:w="481" w:type="pct"/>
            <w:noWrap/>
            <w:hideMark/>
          </w:tcPr>
          <w:p w14:paraId="0300D3DD" w14:textId="77777777" w:rsidR="004C2BD9" w:rsidRPr="00D526A7" w:rsidRDefault="004C2BD9" w:rsidP="001C0071">
            <w:pPr>
              <w:contextualSpacing/>
              <w:rPr>
                <w:rFonts w:ascii="Arial" w:eastAsia="Times New Roman" w:hAnsi="Arial" w:cs="Arial"/>
                <w:b/>
                <w:bCs/>
                <w:color w:val="000000"/>
                <w:sz w:val="20"/>
                <w:szCs w:val="20"/>
                <w:lang w:val="en-ZA" w:eastAsia="en-ZA"/>
              </w:rPr>
            </w:pPr>
            <w:r w:rsidRPr="00D526A7">
              <w:rPr>
                <w:rFonts w:ascii="Arial" w:eastAsia="Arial" w:hAnsi="Arial" w:cs="Arial"/>
                <w:b/>
                <w:bCs/>
                <w:color w:val="000000"/>
                <w:sz w:val="20"/>
                <w:szCs w:val="20"/>
                <w:lang w:eastAsia="en-ZA"/>
              </w:rPr>
              <w:t>0.030</w:t>
            </w:r>
          </w:p>
        </w:tc>
        <w:tc>
          <w:tcPr>
            <w:tcW w:w="348" w:type="pct"/>
            <w:noWrap/>
            <w:hideMark/>
          </w:tcPr>
          <w:p w14:paraId="51CC8845"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2E94A7BF"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17F40B5A" w14:textId="77777777" w:rsidR="004C2BD9" w:rsidRPr="005A674E" w:rsidRDefault="004C2BD9" w:rsidP="001C0071">
            <w:pPr>
              <w:contextualSpacing/>
              <w:rPr>
                <w:rFonts w:ascii="Arial" w:eastAsia="Times New Roman" w:hAnsi="Arial" w:cs="Arial"/>
                <w:sz w:val="20"/>
                <w:szCs w:val="20"/>
                <w:lang w:val="en-ZA" w:eastAsia="en-ZA"/>
              </w:rPr>
            </w:pPr>
          </w:p>
        </w:tc>
      </w:tr>
      <w:tr w:rsidR="004C2BD9" w:rsidRPr="005A674E" w14:paraId="6B0D1443" w14:textId="77777777" w:rsidTr="001C0071">
        <w:trPr>
          <w:trHeight w:val="300"/>
        </w:trPr>
        <w:tc>
          <w:tcPr>
            <w:tcW w:w="1860" w:type="pct"/>
            <w:noWrap/>
            <w:hideMark/>
          </w:tcPr>
          <w:p w14:paraId="49C951C3"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Addisons</w:t>
            </w:r>
            <w:r>
              <w:rPr>
                <w:rFonts w:ascii="Arial" w:eastAsia="Arial" w:hAnsi="Arial" w:cs="Arial"/>
                <w:color w:val="000000"/>
                <w:sz w:val="20"/>
                <w:szCs w:val="20"/>
                <w:lang w:eastAsia="en-ZA"/>
              </w:rPr>
              <w:t xml:space="preserve"> </w:t>
            </w:r>
            <w:r w:rsidRPr="005A674E">
              <w:rPr>
                <w:rFonts w:ascii="Arial" w:eastAsia="Arial" w:hAnsi="Arial" w:cs="Arial"/>
                <w:color w:val="000000"/>
                <w:sz w:val="20"/>
                <w:szCs w:val="20"/>
                <w:lang w:eastAsia="en-ZA"/>
              </w:rPr>
              <w:t>disease</w:t>
            </w:r>
          </w:p>
        </w:tc>
        <w:tc>
          <w:tcPr>
            <w:tcW w:w="404" w:type="pct"/>
            <w:noWrap/>
            <w:hideMark/>
          </w:tcPr>
          <w:p w14:paraId="4B527EA1"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2.11</w:t>
            </w:r>
          </w:p>
        </w:tc>
        <w:tc>
          <w:tcPr>
            <w:tcW w:w="794" w:type="pct"/>
            <w:noWrap/>
            <w:hideMark/>
          </w:tcPr>
          <w:p w14:paraId="36D0C9B2"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0.91, 4.89</w:t>
            </w:r>
          </w:p>
        </w:tc>
        <w:tc>
          <w:tcPr>
            <w:tcW w:w="481" w:type="pct"/>
            <w:noWrap/>
            <w:hideMark/>
          </w:tcPr>
          <w:p w14:paraId="02D67807" w14:textId="77777777" w:rsidR="004C2BD9" w:rsidRPr="005A674E" w:rsidRDefault="004C2BD9" w:rsidP="001C0071">
            <w:pPr>
              <w:contextualSpacing/>
              <w:rPr>
                <w:rFonts w:ascii="Arial" w:eastAsia="Times New Roman" w:hAnsi="Arial" w:cs="Arial"/>
                <w:color w:val="000000"/>
                <w:sz w:val="20"/>
                <w:szCs w:val="20"/>
                <w:lang w:val="en-ZA" w:eastAsia="en-ZA"/>
              </w:rPr>
            </w:pPr>
            <w:r w:rsidRPr="005A674E">
              <w:rPr>
                <w:rFonts w:ascii="Arial" w:eastAsia="Arial" w:hAnsi="Arial" w:cs="Arial"/>
                <w:color w:val="000000"/>
                <w:sz w:val="20"/>
                <w:szCs w:val="20"/>
                <w:lang w:eastAsia="en-ZA"/>
              </w:rPr>
              <w:t>0.081</w:t>
            </w:r>
          </w:p>
        </w:tc>
        <w:tc>
          <w:tcPr>
            <w:tcW w:w="348" w:type="pct"/>
            <w:noWrap/>
            <w:hideMark/>
          </w:tcPr>
          <w:p w14:paraId="78C74728" w14:textId="77777777" w:rsidR="004C2BD9" w:rsidRPr="005A674E" w:rsidRDefault="004C2BD9" w:rsidP="001C0071">
            <w:pPr>
              <w:contextualSpacing/>
              <w:rPr>
                <w:rFonts w:ascii="Arial" w:eastAsia="Times New Roman" w:hAnsi="Arial" w:cs="Arial"/>
                <w:color w:val="000000"/>
                <w:sz w:val="20"/>
                <w:szCs w:val="20"/>
                <w:lang w:val="en-ZA" w:eastAsia="en-ZA"/>
              </w:rPr>
            </w:pPr>
          </w:p>
        </w:tc>
        <w:tc>
          <w:tcPr>
            <w:tcW w:w="622" w:type="pct"/>
            <w:noWrap/>
            <w:hideMark/>
          </w:tcPr>
          <w:p w14:paraId="1001C698" w14:textId="77777777" w:rsidR="004C2BD9" w:rsidRPr="005A674E" w:rsidRDefault="004C2BD9" w:rsidP="001C0071">
            <w:pPr>
              <w:contextualSpacing/>
              <w:rPr>
                <w:rFonts w:ascii="Arial" w:eastAsia="Times New Roman" w:hAnsi="Arial" w:cs="Arial"/>
                <w:sz w:val="20"/>
                <w:szCs w:val="20"/>
                <w:lang w:val="en-ZA" w:eastAsia="en-ZA"/>
              </w:rPr>
            </w:pPr>
          </w:p>
        </w:tc>
        <w:tc>
          <w:tcPr>
            <w:tcW w:w="491" w:type="pct"/>
            <w:noWrap/>
            <w:hideMark/>
          </w:tcPr>
          <w:p w14:paraId="2F2C5F68" w14:textId="77777777" w:rsidR="004C2BD9" w:rsidRPr="005A674E" w:rsidRDefault="004C2BD9" w:rsidP="001C0071">
            <w:pPr>
              <w:contextualSpacing/>
              <w:rPr>
                <w:rFonts w:ascii="Arial" w:eastAsia="Times New Roman" w:hAnsi="Arial" w:cs="Arial"/>
                <w:sz w:val="20"/>
                <w:szCs w:val="20"/>
                <w:lang w:val="en-ZA" w:eastAsia="en-ZA"/>
              </w:rPr>
            </w:pPr>
          </w:p>
        </w:tc>
      </w:tr>
    </w:tbl>
    <w:p w14:paraId="32EE2B42" w14:textId="77777777" w:rsidR="00387FD4" w:rsidRDefault="00387FD4" w:rsidP="00B55A05"/>
    <w:p w14:paraId="5ACD2B83" w14:textId="77777777" w:rsidR="00C40AD8" w:rsidRDefault="00C40AD8" w:rsidP="00B55A05"/>
    <w:p w14:paraId="2FBEA43E" w14:textId="6CC458A8" w:rsidR="00B55A05" w:rsidRDefault="00814A45" w:rsidP="00B55A05">
      <w:r>
        <w:t xml:space="preserve">There was accelerated mortality in the AI group as shown by statistically significant deaths between six and twelve months in the adrenal insufficiency group than the non-AI group with </w:t>
      </w:r>
      <w:r w:rsidRPr="00814A45">
        <w:rPr>
          <w:i/>
          <w:iCs/>
        </w:rPr>
        <w:t>p</w:t>
      </w:r>
      <w:r>
        <w:t>=0.014.</w:t>
      </w:r>
    </w:p>
    <w:p w14:paraId="38F8B2E8" w14:textId="77777777" w:rsidR="00FD496B" w:rsidRDefault="00FD496B" w:rsidP="001B1AA1"/>
    <w:p w14:paraId="07A75844" w14:textId="4BF111FD" w:rsidR="00407C9C" w:rsidRDefault="00407C9C" w:rsidP="001B1AA1">
      <w:r>
        <w:t xml:space="preserve">Table: </w:t>
      </w:r>
      <w:r w:rsidR="00593F13">
        <w:t xml:space="preserve">Bivariate analysis for </w:t>
      </w:r>
      <w:r>
        <w:t>Adrenaline insufficiency</w:t>
      </w:r>
    </w:p>
    <w:tbl>
      <w:tblPr>
        <w:tblStyle w:val="PlainTable53"/>
        <w:tblW w:w="5000" w:type="pct"/>
        <w:tblLook w:val="0420" w:firstRow="1" w:lastRow="0" w:firstColumn="0" w:lastColumn="0" w:noHBand="0" w:noVBand="1"/>
      </w:tblPr>
      <w:tblGrid>
        <w:gridCol w:w="5756"/>
        <w:gridCol w:w="1202"/>
        <w:gridCol w:w="1202"/>
        <w:gridCol w:w="1200"/>
        <w:tblGridChange w:id="20">
          <w:tblGrid>
            <w:gridCol w:w="5756"/>
            <w:gridCol w:w="1202"/>
            <w:gridCol w:w="1202"/>
            <w:gridCol w:w="1200"/>
          </w:tblGrid>
        </w:tblGridChange>
      </w:tblGrid>
      <w:tr w:rsidR="00593F13" w:rsidRPr="00407C9C" w14:paraId="56C34A3B" w14:textId="77777777" w:rsidTr="00407C9C">
        <w:trPr>
          <w:cnfStyle w:val="100000000000" w:firstRow="1" w:lastRow="0" w:firstColumn="0" w:lastColumn="0" w:oddVBand="0" w:evenVBand="0" w:oddHBand="0" w:evenHBand="0" w:firstRowFirstColumn="0" w:firstRowLastColumn="0" w:lastRowFirstColumn="0" w:lastRowLastColumn="0"/>
          <w:trHeight w:val="300"/>
        </w:trPr>
        <w:tc>
          <w:tcPr>
            <w:tcW w:w="3075" w:type="pct"/>
            <w:noWrap/>
            <w:hideMark/>
          </w:tcPr>
          <w:p w14:paraId="64B61F2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Characteristic</w:t>
            </w:r>
          </w:p>
        </w:tc>
        <w:tc>
          <w:tcPr>
            <w:tcW w:w="642" w:type="pct"/>
            <w:noWrap/>
            <w:hideMark/>
          </w:tcPr>
          <w:p w14:paraId="39D71EB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OR</w:t>
            </w:r>
            <w:r w:rsidRPr="001C0071">
              <w:rPr>
                <w:rFonts w:ascii="Aptos Narrow" w:eastAsia="Arial" w:hAnsi="Aptos Narrow" w:cs="Times New Roman"/>
                <w:color w:val="000000"/>
                <w:sz w:val="22"/>
                <w:szCs w:val="22"/>
                <w:vertAlign w:val="superscript"/>
                <w:lang w:eastAsia="en-ZA"/>
              </w:rPr>
              <w:t>1</w:t>
            </w:r>
          </w:p>
        </w:tc>
        <w:tc>
          <w:tcPr>
            <w:tcW w:w="642" w:type="pct"/>
            <w:noWrap/>
            <w:hideMark/>
          </w:tcPr>
          <w:p w14:paraId="0CC17D9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95% CI</w:t>
            </w:r>
            <w:r w:rsidRPr="001C0071">
              <w:rPr>
                <w:rFonts w:ascii="Aptos Narrow" w:eastAsia="Arial" w:hAnsi="Aptos Narrow" w:cs="Times New Roman"/>
                <w:color w:val="000000"/>
                <w:sz w:val="22"/>
                <w:szCs w:val="22"/>
                <w:vertAlign w:val="superscript"/>
                <w:lang w:eastAsia="en-ZA"/>
              </w:rPr>
              <w:t>1</w:t>
            </w:r>
          </w:p>
        </w:tc>
        <w:tc>
          <w:tcPr>
            <w:tcW w:w="642" w:type="pct"/>
            <w:noWrap/>
            <w:hideMark/>
          </w:tcPr>
          <w:p w14:paraId="75FBC50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p-value</w:t>
            </w:r>
          </w:p>
        </w:tc>
      </w:tr>
      <w:tr w:rsidR="00593F13" w:rsidRPr="00407C9C" w14:paraId="6060BCD3"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1D03906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Age at enrolment</w:t>
            </w:r>
          </w:p>
        </w:tc>
        <w:tc>
          <w:tcPr>
            <w:tcW w:w="642" w:type="pct"/>
            <w:noWrap/>
            <w:hideMark/>
          </w:tcPr>
          <w:p w14:paraId="2CC87B0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1.02</w:t>
            </w:r>
          </w:p>
        </w:tc>
        <w:tc>
          <w:tcPr>
            <w:tcW w:w="642" w:type="pct"/>
            <w:noWrap/>
            <w:hideMark/>
          </w:tcPr>
          <w:p w14:paraId="222424F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0.98, 1.07</w:t>
            </w:r>
          </w:p>
        </w:tc>
        <w:tc>
          <w:tcPr>
            <w:tcW w:w="642" w:type="pct"/>
            <w:noWrap/>
            <w:hideMark/>
          </w:tcPr>
          <w:p w14:paraId="5FABE44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w:t>
            </w:r>
          </w:p>
        </w:tc>
      </w:tr>
      <w:tr w:rsidR="00407C9C" w:rsidRPr="00407C9C" w14:paraId="7279BD8C" w14:textId="77777777" w:rsidTr="001C0071">
        <w:trPr>
          <w:trHeight w:val="300"/>
        </w:trPr>
        <w:tc>
          <w:tcPr>
            <w:tcW w:w="3075" w:type="pct"/>
            <w:noWrap/>
            <w:hideMark/>
          </w:tcPr>
          <w:p w14:paraId="7A38C65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Male gender</w:t>
            </w:r>
          </w:p>
        </w:tc>
        <w:tc>
          <w:tcPr>
            <w:tcW w:w="642" w:type="pct"/>
            <w:noWrap/>
            <w:hideMark/>
          </w:tcPr>
          <w:p w14:paraId="6F1EC43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0.97</w:t>
            </w:r>
          </w:p>
        </w:tc>
        <w:tc>
          <w:tcPr>
            <w:tcW w:w="642" w:type="pct"/>
            <w:noWrap/>
            <w:hideMark/>
          </w:tcPr>
          <w:p w14:paraId="0A5A312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0.44, 2.11</w:t>
            </w:r>
          </w:p>
        </w:tc>
        <w:tc>
          <w:tcPr>
            <w:tcW w:w="642" w:type="pct"/>
            <w:noWrap/>
            <w:hideMark/>
          </w:tcPr>
          <w:p w14:paraId="411C371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&gt;0.9</w:t>
            </w:r>
          </w:p>
        </w:tc>
      </w:tr>
      <w:tr w:rsidR="00407C9C" w:rsidRPr="00407C9C" w14:paraId="3852CB71"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4369A86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Ethnicity</w:t>
            </w:r>
          </w:p>
        </w:tc>
        <w:tc>
          <w:tcPr>
            <w:tcW w:w="642" w:type="pct"/>
            <w:noWrap/>
            <w:hideMark/>
          </w:tcPr>
          <w:p w14:paraId="476E840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0.62</w:t>
            </w:r>
          </w:p>
        </w:tc>
        <w:tc>
          <w:tcPr>
            <w:tcW w:w="642" w:type="pct"/>
            <w:noWrap/>
            <w:hideMark/>
          </w:tcPr>
          <w:p w14:paraId="75CD0AF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0.18, 1.64</w:t>
            </w:r>
          </w:p>
        </w:tc>
        <w:tc>
          <w:tcPr>
            <w:tcW w:w="642" w:type="pct"/>
            <w:noWrap/>
            <w:hideMark/>
          </w:tcPr>
          <w:p w14:paraId="562A859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w:t>
            </w:r>
          </w:p>
        </w:tc>
      </w:tr>
      <w:tr w:rsidR="00407C9C" w:rsidRPr="00407C9C" w14:paraId="7B5C6CC3" w14:textId="77777777" w:rsidTr="001C0071">
        <w:trPr>
          <w:trHeight w:val="300"/>
        </w:trPr>
        <w:tc>
          <w:tcPr>
            <w:tcW w:w="3075" w:type="pct"/>
            <w:noWrap/>
            <w:hideMark/>
          </w:tcPr>
          <w:p w14:paraId="5B5377A1"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Duration of current illness</w:t>
            </w:r>
          </w:p>
        </w:tc>
        <w:tc>
          <w:tcPr>
            <w:tcW w:w="642" w:type="pct"/>
            <w:noWrap/>
            <w:hideMark/>
          </w:tcPr>
          <w:p w14:paraId="2C214391"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1.00</w:t>
            </w:r>
          </w:p>
        </w:tc>
        <w:tc>
          <w:tcPr>
            <w:tcW w:w="642" w:type="pct"/>
            <w:noWrap/>
            <w:hideMark/>
          </w:tcPr>
          <w:p w14:paraId="1329D09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0.98, 1.00</w:t>
            </w:r>
          </w:p>
        </w:tc>
        <w:tc>
          <w:tcPr>
            <w:tcW w:w="642" w:type="pct"/>
            <w:noWrap/>
            <w:hideMark/>
          </w:tcPr>
          <w:p w14:paraId="4635070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w:t>
            </w:r>
          </w:p>
        </w:tc>
      </w:tr>
      <w:tr w:rsidR="00593F13" w:rsidRPr="00407C9C" w14:paraId="025F0C1F"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23C57C6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Weight loss</w:t>
            </w:r>
          </w:p>
        </w:tc>
        <w:tc>
          <w:tcPr>
            <w:tcW w:w="642" w:type="pct"/>
            <w:noWrap/>
            <w:hideMark/>
          </w:tcPr>
          <w:p w14:paraId="6A41AC11"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0.70</w:t>
            </w:r>
          </w:p>
        </w:tc>
        <w:tc>
          <w:tcPr>
            <w:tcW w:w="642" w:type="pct"/>
            <w:noWrap/>
            <w:hideMark/>
          </w:tcPr>
          <w:p w14:paraId="7472FAA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0.27, 2.13</w:t>
            </w:r>
          </w:p>
        </w:tc>
        <w:tc>
          <w:tcPr>
            <w:tcW w:w="642" w:type="pct"/>
            <w:noWrap/>
            <w:hideMark/>
          </w:tcPr>
          <w:p w14:paraId="7A073A9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w:t>
            </w:r>
          </w:p>
        </w:tc>
      </w:tr>
      <w:tr w:rsidR="00407C9C" w:rsidRPr="00407C9C" w14:paraId="05B951A6" w14:textId="77777777" w:rsidTr="001C0071">
        <w:trPr>
          <w:trHeight w:val="300"/>
        </w:trPr>
        <w:tc>
          <w:tcPr>
            <w:tcW w:w="3075" w:type="pct"/>
            <w:noWrap/>
            <w:hideMark/>
          </w:tcPr>
          <w:p w14:paraId="1360B85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log10 viral load</w:t>
            </w:r>
          </w:p>
        </w:tc>
        <w:tc>
          <w:tcPr>
            <w:tcW w:w="642" w:type="pct"/>
            <w:noWrap/>
            <w:hideMark/>
          </w:tcPr>
          <w:p w14:paraId="008C822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1.11</w:t>
            </w:r>
          </w:p>
        </w:tc>
        <w:tc>
          <w:tcPr>
            <w:tcW w:w="642" w:type="pct"/>
            <w:noWrap/>
            <w:hideMark/>
          </w:tcPr>
          <w:p w14:paraId="2968F00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0.75, 1.84</w:t>
            </w:r>
          </w:p>
        </w:tc>
        <w:tc>
          <w:tcPr>
            <w:tcW w:w="642" w:type="pct"/>
            <w:noWrap/>
            <w:hideMark/>
          </w:tcPr>
          <w:p w14:paraId="39CCED5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0.6</w:t>
            </w:r>
          </w:p>
        </w:tc>
      </w:tr>
      <w:tr w:rsidR="00593F13" w:rsidRPr="00407C9C" w14:paraId="198935A1"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317E09D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Tuberculosis</w:t>
            </w:r>
          </w:p>
        </w:tc>
        <w:tc>
          <w:tcPr>
            <w:tcW w:w="642" w:type="pct"/>
            <w:noWrap/>
            <w:hideMark/>
          </w:tcPr>
          <w:p w14:paraId="4B4C9AA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0.65</w:t>
            </w:r>
          </w:p>
        </w:tc>
        <w:tc>
          <w:tcPr>
            <w:tcW w:w="642" w:type="pct"/>
            <w:noWrap/>
            <w:hideMark/>
          </w:tcPr>
          <w:p w14:paraId="54D6DEA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0.27, 1.82</w:t>
            </w:r>
          </w:p>
        </w:tc>
        <w:tc>
          <w:tcPr>
            <w:tcW w:w="642" w:type="pct"/>
            <w:noWrap/>
            <w:hideMark/>
          </w:tcPr>
          <w:p w14:paraId="5229680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w:t>
            </w:r>
          </w:p>
        </w:tc>
      </w:tr>
      <w:tr w:rsidR="00407C9C" w:rsidRPr="00407C9C" w14:paraId="42971BDB" w14:textId="77777777" w:rsidTr="001C0071">
        <w:trPr>
          <w:trHeight w:val="300"/>
        </w:trPr>
        <w:tc>
          <w:tcPr>
            <w:tcW w:w="3075" w:type="pct"/>
            <w:noWrap/>
            <w:hideMark/>
          </w:tcPr>
          <w:p w14:paraId="3FDB2DD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Cryptococcus neoformans</w:t>
            </w:r>
          </w:p>
        </w:tc>
        <w:tc>
          <w:tcPr>
            <w:tcW w:w="642" w:type="pct"/>
            <w:noWrap/>
            <w:hideMark/>
          </w:tcPr>
          <w:p w14:paraId="567A6E7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14.8</w:t>
            </w:r>
          </w:p>
        </w:tc>
        <w:tc>
          <w:tcPr>
            <w:tcW w:w="642" w:type="pct"/>
            <w:noWrap/>
            <w:hideMark/>
          </w:tcPr>
          <w:p w14:paraId="31ECB18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5.88, 36.1</w:t>
            </w:r>
          </w:p>
        </w:tc>
        <w:tc>
          <w:tcPr>
            <w:tcW w:w="642" w:type="pct"/>
            <w:noWrap/>
            <w:hideMark/>
          </w:tcPr>
          <w:p w14:paraId="60629FB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&lt;0.001</w:t>
            </w:r>
          </w:p>
        </w:tc>
      </w:tr>
      <w:tr w:rsidR="00593F13" w:rsidRPr="00407C9C" w14:paraId="1074671F"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3A14869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Pneumonia</w:t>
            </w:r>
          </w:p>
        </w:tc>
        <w:tc>
          <w:tcPr>
            <w:tcW w:w="642" w:type="pct"/>
            <w:noWrap/>
            <w:hideMark/>
          </w:tcPr>
          <w:p w14:paraId="407CF7A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0.98</w:t>
            </w:r>
          </w:p>
        </w:tc>
        <w:tc>
          <w:tcPr>
            <w:tcW w:w="642" w:type="pct"/>
            <w:noWrap/>
            <w:hideMark/>
          </w:tcPr>
          <w:p w14:paraId="1535612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0.23, 2.92</w:t>
            </w:r>
          </w:p>
        </w:tc>
        <w:tc>
          <w:tcPr>
            <w:tcW w:w="642" w:type="pct"/>
            <w:noWrap/>
            <w:hideMark/>
          </w:tcPr>
          <w:p w14:paraId="3BDC60A5"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&gt;0.9</w:t>
            </w:r>
          </w:p>
        </w:tc>
      </w:tr>
      <w:tr w:rsidR="00407C9C" w:rsidRPr="00407C9C" w14:paraId="4C9FD9F9" w14:textId="77777777" w:rsidTr="001C0071">
        <w:trPr>
          <w:trHeight w:val="300"/>
        </w:trPr>
        <w:tc>
          <w:tcPr>
            <w:tcW w:w="3075" w:type="pct"/>
            <w:noWrap/>
            <w:hideMark/>
          </w:tcPr>
          <w:p w14:paraId="5CA4C72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proofErr w:type="spellStart"/>
            <w:r w:rsidRPr="00407C9C">
              <w:rPr>
                <w:rFonts w:ascii="Aptos Narrow" w:eastAsia="Arial" w:hAnsi="Aptos Narrow" w:cs="Times New Roman"/>
                <w:color w:val="000000"/>
                <w:sz w:val="22"/>
                <w:szCs w:val="22"/>
                <w:lang w:eastAsia="en-ZA"/>
              </w:rPr>
              <w:t>Kaposis</w:t>
            </w:r>
            <w:proofErr w:type="spellEnd"/>
            <w:r w:rsidRPr="00407C9C">
              <w:rPr>
                <w:rFonts w:ascii="Aptos Narrow" w:eastAsia="Arial" w:hAnsi="Aptos Narrow" w:cs="Times New Roman"/>
                <w:color w:val="000000"/>
                <w:sz w:val="22"/>
                <w:szCs w:val="22"/>
                <w:lang w:eastAsia="en-ZA"/>
              </w:rPr>
              <w:t xml:space="preserve"> sarcoma</w:t>
            </w:r>
          </w:p>
        </w:tc>
        <w:tc>
          <w:tcPr>
            <w:tcW w:w="642" w:type="pct"/>
            <w:noWrap/>
            <w:hideMark/>
          </w:tcPr>
          <w:p w14:paraId="387A356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3.98</w:t>
            </w:r>
          </w:p>
        </w:tc>
        <w:tc>
          <w:tcPr>
            <w:tcW w:w="642" w:type="pct"/>
            <w:noWrap/>
            <w:hideMark/>
          </w:tcPr>
          <w:p w14:paraId="435ECC3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0.20, 25.9</w:t>
            </w:r>
          </w:p>
        </w:tc>
        <w:tc>
          <w:tcPr>
            <w:tcW w:w="642" w:type="pct"/>
            <w:noWrap/>
            <w:hideMark/>
          </w:tcPr>
          <w:p w14:paraId="26CE1F9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w:t>
            </w:r>
          </w:p>
        </w:tc>
      </w:tr>
      <w:tr w:rsidR="00593F13" w:rsidRPr="00407C9C" w14:paraId="7C27F4D4"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2B79FCA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HSV</w:t>
            </w:r>
          </w:p>
        </w:tc>
        <w:tc>
          <w:tcPr>
            <w:tcW w:w="642" w:type="pct"/>
            <w:noWrap/>
            <w:hideMark/>
          </w:tcPr>
          <w:p w14:paraId="01DF3CD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2.83</w:t>
            </w:r>
          </w:p>
        </w:tc>
        <w:tc>
          <w:tcPr>
            <w:tcW w:w="642" w:type="pct"/>
            <w:noWrap/>
            <w:hideMark/>
          </w:tcPr>
          <w:p w14:paraId="6C2CA15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0.15, 16.8</w:t>
            </w:r>
          </w:p>
        </w:tc>
        <w:tc>
          <w:tcPr>
            <w:tcW w:w="642" w:type="pct"/>
            <w:noWrap/>
            <w:hideMark/>
          </w:tcPr>
          <w:p w14:paraId="0737A0F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w:t>
            </w:r>
          </w:p>
        </w:tc>
      </w:tr>
      <w:tr w:rsidR="00407C9C" w:rsidRPr="00407C9C" w14:paraId="27B704D5" w14:textId="77777777" w:rsidTr="001C0071">
        <w:trPr>
          <w:trHeight w:val="300"/>
        </w:trPr>
        <w:tc>
          <w:tcPr>
            <w:tcW w:w="3075" w:type="pct"/>
            <w:noWrap/>
            <w:hideMark/>
          </w:tcPr>
          <w:p w14:paraId="23E870F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proofErr w:type="spellStart"/>
            <w:r w:rsidRPr="00407C9C">
              <w:rPr>
                <w:rFonts w:ascii="Aptos Narrow" w:eastAsia="Arial" w:hAnsi="Aptos Narrow" w:cs="Times New Roman"/>
                <w:color w:val="000000"/>
                <w:sz w:val="22"/>
                <w:szCs w:val="22"/>
                <w:lang w:eastAsia="en-ZA"/>
              </w:rPr>
              <w:t>HepB</w:t>
            </w:r>
            <w:proofErr w:type="spellEnd"/>
          </w:p>
        </w:tc>
        <w:tc>
          <w:tcPr>
            <w:tcW w:w="642" w:type="pct"/>
            <w:noWrap/>
            <w:hideMark/>
          </w:tcPr>
          <w:p w14:paraId="27416DD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2.53</w:t>
            </w:r>
          </w:p>
        </w:tc>
        <w:tc>
          <w:tcPr>
            <w:tcW w:w="642" w:type="pct"/>
            <w:noWrap/>
            <w:hideMark/>
          </w:tcPr>
          <w:p w14:paraId="141FDC5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0.39, 9.57</w:t>
            </w:r>
          </w:p>
        </w:tc>
        <w:tc>
          <w:tcPr>
            <w:tcW w:w="642" w:type="pct"/>
            <w:noWrap/>
            <w:hideMark/>
          </w:tcPr>
          <w:p w14:paraId="2554225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w:t>
            </w:r>
          </w:p>
        </w:tc>
      </w:tr>
      <w:tr w:rsidR="00593F13" w:rsidRPr="00407C9C" w14:paraId="3AA40595"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334117F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Candida</w:t>
            </w:r>
          </w:p>
        </w:tc>
        <w:tc>
          <w:tcPr>
            <w:tcW w:w="642" w:type="pct"/>
            <w:noWrap/>
            <w:hideMark/>
          </w:tcPr>
          <w:p w14:paraId="6340A46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0.57</w:t>
            </w:r>
          </w:p>
        </w:tc>
        <w:tc>
          <w:tcPr>
            <w:tcW w:w="642" w:type="pct"/>
            <w:noWrap/>
            <w:hideMark/>
          </w:tcPr>
          <w:p w14:paraId="41F12A6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0.03, 2.82</w:t>
            </w:r>
          </w:p>
        </w:tc>
        <w:tc>
          <w:tcPr>
            <w:tcW w:w="642" w:type="pct"/>
            <w:noWrap/>
            <w:hideMark/>
          </w:tcPr>
          <w:p w14:paraId="5BF3FFA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0.6</w:t>
            </w:r>
          </w:p>
        </w:tc>
      </w:tr>
      <w:tr w:rsidR="00407C9C" w:rsidRPr="00407C9C" w14:paraId="1521E1F1" w14:textId="77777777" w:rsidTr="001C0071">
        <w:trPr>
          <w:trHeight w:val="300"/>
        </w:trPr>
        <w:tc>
          <w:tcPr>
            <w:tcW w:w="3075" w:type="pct"/>
            <w:noWrap/>
            <w:hideMark/>
          </w:tcPr>
          <w:p w14:paraId="4177036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Total CD4 count</w:t>
            </w:r>
          </w:p>
        </w:tc>
        <w:tc>
          <w:tcPr>
            <w:tcW w:w="642" w:type="pct"/>
            <w:noWrap/>
            <w:hideMark/>
          </w:tcPr>
          <w:p w14:paraId="0DC9DA2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0.99</w:t>
            </w:r>
          </w:p>
        </w:tc>
        <w:tc>
          <w:tcPr>
            <w:tcW w:w="642" w:type="pct"/>
            <w:noWrap/>
            <w:hideMark/>
          </w:tcPr>
          <w:p w14:paraId="13C23D25"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0.98, 1.01</w:t>
            </w:r>
          </w:p>
        </w:tc>
        <w:tc>
          <w:tcPr>
            <w:tcW w:w="642" w:type="pct"/>
            <w:noWrap/>
            <w:hideMark/>
          </w:tcPr>
          <w:p w14:paraId="1DB0726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w:t>
            </w:r>
          </w:p>
        </w:tc>
      </w:tr>
      <w:tr w:rsidR="00593F13" w:rsidRPr="00407C9C" w14:paraId="76EC33F7"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4FE58C1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lastRenderedPageBreak/>
              <w:t xml:space="preserve">White </w:t>
            </w:r>
            <w:proofErr w:type="gramStart"/>
            <w:r w:rsidRPr="00407C9C">
              <w:rPr>
                <w:rFonts w:ascii="Aptos Narrow" w:eastAsia="Arial" w:hAnsi="Aptos Narrow" w:cs="Times New Roman"/>
                <w:color w:val="000000"/>
                <w:sz w:val="22"/>
                <w:szCs w:val="22"/>
                <w:lang w:eastAsia="en-ZA"/>
              </w:rPr>
              <w:t>cell</w:t>
            </w:r>
            <w:proofErr w:type="gramEnd"/>
            <w:r w:rsidRPr="00407C9C">
              <w:rPr>
                <w:rFonts w:ascii="Aptos Narrow" w:eastAsia="Arial" w:hAnsi="Aptos Narrow" w:cs="Times New Roman"/>
                <w:color w:val="000000"/>
                <w:sz w:val="22"/>
                <w:szCs w:val="22"/>
                <w:lang w:eastAsia="en-ZA"/>
              </w:rPr>
              <w:t xml:space="preserve"> count X109</w:t>
            </w:r>
          </w:p>
        </w:tc>
        <w:tc>
          <w:tcPr>
            <w:tcW w:w="642" w:type="pct"/>
            <w:noWrap/>
            <w:hideMark/>
          </w:tcPr>
          <w:p w14:paraId="343BB79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1.00</w:t>
            </w:r>
          </w:p>
        </w:tc>
        <w:tc>
          <w:tcPr>
            <w:tcW w:w="642" w:type="pct"/>
            <w:noWrap/>
            <w:hideMark/>
          </w:tcPr>
          <w:p w14:paraId="71FE7A3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1.00, 1.00</w:t>
            </w:r>
          </w:p>
        </w:tc>
        <w:tc>
          <w:tcPr>
            <w:tcW w:w="642" w:type="pct"/>
            <w:noWrap/>
            <w:hideMark/>
          </w:tcPr>
          <w:p w14:paraId="4AA3547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w:t>
            </w:r>
          </w:p>
        </w:tc>
      </w:tr>
      <w:tr w:rsidR="00407C9C" w:rsidRPr="00407C9C" w14:paraId="1F2837F4" w14:textId="77777777" w:rsidTr="001C0071">
        <w:trPr>
          <w:trHeight w:val="300"/>
        </w:trPr>
        <w:tc>
          <w:tcPr>
            <w:tcW w:w="3075" w:type="pct"/>
            <w:noWrap/>
            <w:hideMark/>
          </w:tcPr>
          <w:p w14:paraId="5E9289A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Neutrophils</w:t>
            </w:r>
          </w:p>
        </w:tc>
        <w:tc>
          <w:tcPr>
            <w:tcW w:w="642" w:type="pct"/>
            <w:noWrap/>
            <w:hideMark/>
          </w:tcPr>
          <w:p w14:paraId="36B7E6D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0.24</w:t>
            </w:r>
          </w:p>
        </w:tc>
        <w:tc>
          <w:tcPr>
            <w:tcW w:w="642" w:type="pct"/>
            <w:noWrap/>
            <w:hideMark/>
          </w:tcPr>
          <w:p w14:paraId="481FCD2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0.02, 0.82</w:t>
            </w:r>
          </w:p>
        </w:tc>
        <w:tc>
          <w:tcPr>
            <w:tcW w:w="642" w:type="pct"/>
            <w:noWrap/>
            <w:hideMark/>
          </w:tcPr>
          <w:p w14:paraId="070D2A9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w:t>
            </w:r>
          </w:p>
        </w:tc>
      </w:tr>
      <w:tr w:rsidR="00593F13" w:rsidRPr="00407C9C" w14:paraId="0FD32AC3"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64F7559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Sodium mmol/L</w:t>
            </w:r>
          </w:p>
        </w:tc>
        <w:tc>
          <w:tcPr>
            <w:tcW w:w="642" w:type="pct"/>
            <w:noWrap/>
            <w:hideMark/>
          </w:tcPr>
          <w:p w14:paraId="7F9B8CC5"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1.23</w:t>
            </w:r>
          </w:p>
        </w:tc>
        <w:tc>
          <w:tcPr>
            <w:tcW w:w="642" w:type="pct"/>
            <w:noWrap/>
            <w:hideMark/>
          </w:tcPr>
          <w:p w14:paraId="0D7458A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0.97, 1.54</w:t>
            </w:r>
          </w:p>
        </w:tc>
        <w:tc>
          <w:tcPr>
            <w:tcW w:w="642" w:type="pct"/>
            <w:noWrap/>
            <w:hideMark/>
          </w:tcPr>
          <w:p w14:paraId="4378E41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0.089</w:t>
            </w:r>
          </w:p>
        </w:tc>
      </w:tr>
      <w:tr w:rsidR="00407C9C" w:rsidRPr="00407C9C" w14:paraId="03C4551B" w14:textId="77777777" w:rsidTr="001C0071">
        <w:trPr>
          <w:trHeight w:val="300"/>
        </w:trPr>
        <w:tc>
          <w:tcPr>
            <w:tcW w:w="3075" w:type="pct"/>
            <w:noWrap/>
            <w:hideMark/>
          </w:tcPr>
          <w:p w14:paraId="331C3D9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Potassium mmol/L</w:t>
            </w:r>
          </w:p>
        </w:tc>
        <w:tc>
          <w:tcPr>
            <w:tcW w:w="642" w:type="pct"/>
            <w:noWrap/>
            <w:hideMark/>
          </w:tcPr>
          <w:p w14:paraId="5D7410B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0.96</w:t>
            </w:r>
          </w:p>
        </w:tc>
        <w:tc>
          <w:tcPr>
            <w:tcW w:w="642" w:type="pct"/>
            <w:noWrap/>
            <w:hideMark/>
          </w:tcPr>
          <w:p w14:paraId="48B2192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0.55, 1.13</w:t>
            </w:r>
          </w:p>
        </w:tc>
        <w:tc>
          <w:tcPr>
            <w:tcW w:w="642" w:type="pct"/>
            <w:noWrap/>
            <w:hideMark/>
          </w:tcPr>
          <w:p w14:paraId="737C548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0.8</w:t>
            </w:r>
          </w:p>
        </w:tc>
      </w:tr>
      <w:tr w:rsidR="00593F13" w:rsidRPr="00407C9C" w14:paraId="3B63D294"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1E01A2F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BP (systolic)</w:t>
            </w:r>
          </w:p>
        </w:tc>
        <w:tc>
          <w:tcPr>
            <w:tcW w:w="642" w:type="pct"/>
            <w:noWrap/>
            <w:hideMark/>
          </w:tcPr>
          <w:p w14:paraId="3FD65D8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1.00</w:t>
            </w:r>
          </w:p>
        </w:tc>
        <w:tc>
          <w:tcPr>
            <w:tcW w:w="642" w:type="pct"/>
            <w:noWrap/>
            <w:hideMark/>
          </w:tcPr>
          <w:p w14:paraId="1DCF2F4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0.98, 1.02</w:t>
            </w:r>
          </w:p>
        </w:tc>
        <w:tc>
          <w:tcPr>
            <w:tcW w:w="642" w:type="pct"/>
            <w:noWrap/>
            <w:hideMark/>
          </w:tcPr>
          <w:p w14:paraId="3054AC5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w:t>
            </w:r>
          </w:p>
        </w:tc>
      </w:tr>
      <w:tr w:rsidR="00407C9C" w:rsidRPr="00407C9C" w14:paraId="20271B54" w14:textId="77777777" w:rsidTr="001C0071">
        <w:trPr>
          <w:trHeight w:val="300"/>
        </w:trPr>
        <w:tc>
          <w:tcPr>
            <w:tcW w:w="3075" w:type="pct"/>
            <w:noWrap/>
            <w:hideMark/>
          </w:tcPr>
          <w:p w14:paraId="7F925D3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BP (diastolic)</w:t>
            </w:r>
          </w:p>
        </w:tc>
        <w:tc>
          <w:tcPr>
            <w:tcW w:w="642" w:type="pct"/>
            <w:noWrap/>
            <w:hideMark/>
          </w:tcPr>
          <w:p w14:paraId="2D0F04F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1.02</w:t>
            </w:r>
          </w:p>
        </w:tc>
        <w:tc>
          <w:tcPr>
            <w:tcW w:w="642" w:type="pct"/>
            <w:noWrap/>
            <w:hideMark/>
          </w:tcPr>
          <w:p w14:paraId="343D2BB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0.99, 1.05</w:t>
            </w:r>
          </w:p>
        </w:tc>
        <w:tc>
          <w:tcPr>
            <w:tcW w:w="642" w:type="pct"/>
            <w:noWrap/>
            <w:hideMark/>
          </w:tcPr>
          <w:p w14:paraId="29C25AE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w:t>
            </w:r>
          </w:p>
        </w:tc>
      </w:tr>
      <w:tr w:rsidR="00593F13" w:rsidRPr="00407C9C" w14:paraId="1311AFF9"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1750283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Any postural drop in blood pressure</w:t>
            </w:r>
          </w:p>
        </w:tc>
        <w:tc>
          <w:tcPr>
            <w:tcW w:w="642" w:type="pct"/>
            <w:noWrap/>
            <w:hideMark/>
          </w:tcPr>
          <w:p w14:paraId="79231FB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1.80</w:t>
            </w:r>
          </w:p>
        </w:tc>
        <w:tc>
          <w:tcPr>
            <w:tcW w:w="642" w:type="pct"/>
            <w:noWrap/>
            <w:hideMark/>
          </w:tcPr>
          <w:p w14:paraId="5383AA1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0.28, 6.63</w:t>
            </w:r>
          </w:p>
        </w:tc>
        <w:tc>
          <w:tcPr>
            <w:tcW w:w="642" w:type="pct"/>
            <w:noWrap/>
            <w:hideMark/>
          </w:tcPr>
          <w:p w14:paraId="7D21C1B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w:t>
            </w:r>
          </w:p>
        </w:tc>
      </w:tr>
      <w:tr w:rsidR="00407C9C" w:rsidRPr="00407C9C" w14:paraId="7B082BF1" w14:textId="77777777" w:rsidTr="001C0071">
        <w:trPr>
          <w:trHeight w:val="300"/>
        </w:trPr>
        <w:tc>
          <w:tcPr>
            <w:tcW w:w="3075" w:type="pct"/>
            <w:noWrap/>
            <w:hideMark/>
          </w:tcPr>
          <w:p w14:paraId="2898AE5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Heart rate</w:t>
            </w:r>
          </w:p>
        </w:tc>
        <w:tc>
          <w:tcPr>
            <w:tcW w:w="642" w:type="pct"/>
            <w:noWrap/>
            <w:hideMark/>
          </w:tcPr>
          <w:p w14:paraId="0463F82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1.00</w:t>
            </w:r>
          </w:p>
        </w:tc>
        <w:tc>
          <w:tcPr>
            <w:tcW w:w="642" w:type="pct"/>
            <w:noWrap/>
            <w:hideMark/>
          </w:tcPr>
          <w:p w14:paraId="0A338F6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0.98, 1.01</w:t>
            </w:r>
          </w:p>
        </w:tc>
        <w:tc>
          <w:tcPr>
            <w:tcW w:w="642" w:type="pct"/>
            <w:noWrap/>
            <w:hideMark/>
          </w:tcPr>
          <w:p w14:paraId="7711A58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w:t>
            </w:r>
          </w:p>
        </w:tc>
      </w:tr>
      <w:tr w:rsidR="00593F13" w:rsidRPr="00407C9C" w14:paraId="3E970B17"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038ABF2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Hypotension</w:t>
            </w:r>
          </w:p>
        </w:tc>
        <w:tc>
          <w:tcPr>
            <w:tcW w:w="642" w:type="pct"/>
            <w:noWrap/>
            <w:hideMark/>
          </w:tcPr>
          <w:p w14:paraId="7CD405B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0.38</w:t>
            </w:r>
          </w:p>
        </w:tc>
        <w:tc>
          <w:tcPr>
            <w:tcW w:w="642" w:type="pct"/>
            <w:noWrap/>
            <w:hideMark/>
          </w:tcPr>
          <w:p w14:paraId="6CEC59C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0.02, 1.83</w:t>
            </w:r>
          </w:p>
        </w:tc>
        <w:tc>
          <w:tcPr>
            <w:tcW w:w="642" w:type="pct"/>
            <w:noWrap/>
            <w:hideMark/>
          </w:tcPr>
          <w:p w14:paraId="423D23E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w:t>
            </w:r>
          </w:p>
        </w:tc>
      </w:tr>
      <w:tr w:rsidR="00407C9C" w:rsidRPr="00407C9C" w14:paraId="41604F24" w14:textId="77777777" w:rsidTr="001C0071">
        <w:trPr>
          <w:trHeight w:val="300"/>
        </w:trPr>
        <w:tc>
          <w:tcPr>
            <w:tcW w:w="3075" w:type="pct"/>
            <w:noWrap/>
            <w:hideMark/>
          </w:tcPr>
          <w:p w14:paraId="439157B5"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Weakness</w:t>
            </w:r>
          </w:p>
        </w:tc>
        <w:tc>
          <w:tcPr>
            <w:tcW w:w="642" w:type="pct"/>
            <w:noWrap/>
            <w:hideMark/>
          </w:tcPr>
          <w:p w14:paraId="39DE993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0.61</w:t>
            </w:r>
          </w:p>
        </w:tc>
        <w:tc>
          <w:tcPr>
            <w:tcW w:w="642" w:type="pct"/>
            <w:noWrap/>
            <w:hideMark/>
          </w:tcPr>
          <w:p w14:paraId="2BA994E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0.25, 1.72</w:t>
            </w:r>
          </w:p>
        </w:tc>
        <w:tc>
          <w:tcPr>
            <w:tcW w:w="642" w:type="pct"/>
            <w:noWrap/>
            <w:hideMark/>
          </w:tcPr>
          <w:p w14:paraId="23C11571"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w:t>
            </w:r>
          </w:p>
        </w:tc>
      </w:tr>
      <w:tr w:rsidR="00593F13" w:rsidRPr="00407C9C" w14:paraId="17BE1F7C"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26C8EFA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Tiredness</w:t>
            </w:r>
          </w:p>
        </w:tc>
        <w:tc>
          <w:tcPr>
            <w:tcW w:w="642" w:type="pct"/>
            <w:noWrap/>
            <w:hideMark/>
          </w:tcPr>
          <w:p w14:paraId="059F59E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1.01</w:t>
            </w:r>
          </w:p>
        </w:tc>
        <w:tc>
          <w:tcPr>
            <w:tcW w:w="642" w:type="pct"/>
            <w:noWrap/>
            <w:hideMark/>
          </w:tcPr>
          <w:p w14:paraId="4D4994A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0.37, 3.50</w:t>
            </w:r>
          </w:p>
        </w:tc>
        <w:tc>
          <w:tcPr>
            <w:tcW w:w="642" w:type="pct"/>
            <w:noWrap/>
            <w:hideMark/>
          </w:tcPr>
          <w:p w14:paraId="1AD9271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&gt;0.9</w:t>
            </w:r>
          </w:p>
        </w:tc>
      </w:tr>
      <w:tr w:rsidR="00407C9C" w:rsidRPr="00407C9C" w14:paraId="50BD700D" w14:textId="77777777" w:rsidTr="001C0071">
        <w:trPr>
          <w:trHeight w:val="300"/>
        </w:trPr>
        <w:tc>
          <w:tcPr>
            <w:tcW w:w="3075" w:type="pct"/>
            <w:noWrap/>
            <w:hideMark/>
          </w:tcPr>
          <w:p w14:paraId="73CAA85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Poor appetite</w:t>
            </w:r>
          </w:p>
        </w:tc>
        <w:tc>
          <w:tcPr>
            <w:tcW w:w="642" w:type="pct"/>
            <w:noWrap/>
            <w:hideMark/>
          </w:tcPr>
          <w:p w14:paraId="40AA139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1.40</w:t>
            </w:r>
          </w:p>
        </w:tc>
        <w:tc>
          <w:tcPr>
            <w:tcW w:w="642" w:type="pct"/>
            <w:noWrap/>
            <w:hideMark/>
          </w:tcPr>
          <w:p w14:paraId="57BD471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0.56, 4.25</w:t>
            </w:r>
          </w:p>
        </w:tc>
        <w:tc>
          <w:tcPr>
            <w:tcW w:w="642" w:type="pct"/>
            <w:noWrap/>
            <w:hideMark/>
          </w:tcPr>
          <w:p w14:paraId="135C2328"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w:t>
            </w:r>
          </w:p>
        </w:tc>
      </w:tr>
      <w:tr w:rsidR="00593F13" w:rsidRPr="00407C9C" w14:paraId="2CC1F4CE"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0E80773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Increased pigmentation of the skin</w:t>
            </w:r>
          </w:p>
        </w:tc>
        <w:tc>
          <w:tcPr>
            <w:tcW w:w="642" w:type="pct"/>
            <w:noWrap/>
            <w:hideMark/>
          </w:tcPr>
          <w:p w14:paraId="716B5B2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0.58</w:t>
            </w:r>
          </w:p>
        </w:tc>
        <w:tc>
          <w:tcPr>
            <w:tcW w:w="642" w:type="pct"/>
            <w:noWrap/>
            <w:hideMark/>
          </w:tcPr>
          <w:p w14:paraId="3E954BB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0.24, 1.33</w:t>
            </w:r>
          </w:p>
        </w:tc>
        <w:tc>
          <w:tcPr>
            <w:tcW w:w="642" w:type="pct"/>
            <w:noWrap/>
            <w:hideMark/>
          </w:tcPr>
          <w:p w14:paraId="0085EC2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w:t>
            </w:r>
          </w:p>
        </w:tc>
      </w:tr>
      <w:tr w:rsidR="00407C9C" w:rsidRPr="00407C9C" w14:paraId="2177F89B" w14:textId="77777777" w:rsidTr="001C0071">
        <w:trPr>
          <w:trHeight w:val="300"/>
        </w:trPr>
        <w:tc>
          <w:tcPr>
            <w:tcW w:w="3075" w:type="pct"/>
            <w:noWrap/>
            <w:hideMark/>
          </w:tcPr>
          <w:p w14:paraId="27D94BB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Nausea</w:t>
            </w:r>
          </w:p>
        </w:tc>
        <w:tc>
          <w:tcPr>
            <w:tcW w:w="642" w:type="pct"/>
            <w:noWrap/>
            <w:hideMark/>
          </w:tcPr>
          <w:p w14:paraId="563B933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1.29</w:t>
            </w:r>
          </w:p>
        </w:tc>
        <w:tc>
          <w:tcPr>
            <w:tcW w:w="642" w:type="pct"/>
            <w:noWrap/>
            <w:hideMark/>
          </w:tcPr>
          <w:p w14:paraId="468CCA9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0.59, 2.91</w:t>
            </w:r>
          </w:p>
        </w:tc>
        <w:tc>
          <w:tcPr>
            <w:tcW w:w="642" w:type="pct"/>
            <w:noWrap/>
            <w:hideMark/>
          </w:tcPr>
          <w:p w14:paraId="2243E36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w:t>
            </w:r>
          </w:p>
        </w:tc>
      </w:tr>
      <w:tr w:rsidR="00593F13" w:rsidRPr="00407C9C" w14:paraId="65A9F3BF"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1289146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Vomiting</w:t>
            </w:r>
          </w:p>
        </w:tc>
        <w:tc>
          <w:tcPr>
            <w:tcW w:w="642" w:type="pct"/>
            <w:noWrap/>
            <w:hideMark/>
          </w:tcPr>
          <w:p w14:paraId="2FE0487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1.10</w:t>
            </w:r>
          </w:p>
        </w:tc>
        <w:tc>
          <w:tcPr>
            <w:tcW w:w="642" w:type="pct"/>
            <w:noWrap/>
            <w:hideMark/>
          </w:tcPr>
          <w:p w14:paraId="4A49255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0.44, 2.49</w:t>
            </w:r>
          </w:p>
        </w:tc>
        <w:tc>
          <w:tcPr>
            <w:tcW w:w="642" w:type="pct"/>
            <w:noWrap/>
            <w:hideMark/>
          </w:tcPr>
          <w:p w14:paraId="732B781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0.8</w:t>
            </w:r>
          </w:p>
        </w:tc>
      </w:tr>
      <w:tr w:rsidR="00407C9C" w:rsidRPr="00407C9C" w14:paraId="4B86EF43" w14:textId="77777777" w:rsidTr="001C0071">
        <w:trPr>
          <w:trHeight w:val="300"/>
        </w:trPr>
        <w:tc>
          <w:tcPr>
            <w:tcW w:w="3075" w:type="pct"/>
            <w:noWrap/>
            <w:hideMark/>
          </w:tcPr>
          <w:p w14:paraId="43F8E2F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Liking for salt</w:t>
            </w:r>
          </w:p>
        </w:tc>
        <w:tc>
          <w:tcPr>
            <w:tcW w:w="642" w:type="pct"/>
            <w:noWrap/>
            <w:hideMark/>
          </w:tcPr>
          <w:p w14:paraId="3E2906B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2.10</w:t>
            </w:r>
          </w:p>
        </w:tc>
        <w:tc>
          <w:tcPr>
            <w:tcW w:w="642" w:type="pct"/>
            <w:noWrap/>
            <w:hideMark/>
          </w:tcPr>
          <w:p w14:paraId="46F439A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0.93, 5.18</w:t>
            </w:r>
          </w:p>
        </w:tc>
        <w:tc>
          <w:tcPr>
            <w:tcW w:w="642" w:type="pct"/>
            <w:noWrap/>
            <w:hideMark/>
          </w:tcPr>
          <w:p w14:paraId="2255AAD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0.085</w:t>
            </w:r>
          </w:p>
        </w:tc>
      </w:tr>
      <w:tr w:rsidR="00593F13" w:rsidRPr="00407C9C" w14:paraId="67173D96"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1295C74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proofErr w:type="spellStart"/>
            <w:r w:rsidRPr="00407C9C">
              <w:rPr>
                <w:rFonts w:ascii="Aptos Narrow" w:eastAsia="Arial" w:hAnsi="Aptos Narrow" w:cs="Times New Roman"/>
                <w:color w:val="000000"/>
                <w:sz w:val="22"/>
                <w:szCs w:val="22"/>
                <w:lang w:eastAsia="en-ZA"/>
              </w:rPr>
              <w:t>Diarrhoea</w:t>
            </w:r>
            <w:proofErr w:type="spellEnd"/>
          </w:p>
        </w:tc>
        <w:tc>
          <w:tcPr>
            <w:tcW w:w="642" w:type="pct"/>
            <w:noWrap/>
            <w:hideMark/>
          </w:tcPr>
          <w:p w14:paraId="170B3595"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0.52</w:t>
            </w:r>
          </w:p>
        </w:tc>
        <w:tc>
          <w:tcPr>
            <w:tcW w:w="642" w:type="pct"/>
            <w:noWrap/>
            <w:hideMark/>
          </w:tcPr>
          <w:p w14:paraId="2413447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0.21, 1.18</w:t>
            </w:r>
          </w:p>
        </w:tc>
        <w:tc>
          <w:tcPr>
            <w:tcW w:w="642" w:type="pct"/>
            <w:noWrap/>
            <w:hideMark/>
          </w:tcPr>
          <w:p w14:paraId="12371B19"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0.13</w:t>
            </w:r>
          </w:p>
        </w:tc>
      </w:tr>
      <w:tr w:rsidR="00407C9C" w:rsidRPr="00407C9C" w14:paraId="44C69C90" w14:textId="77777777" w:rsidTr="001C0071">
        <w:trPr>
          <w:trHeight w:val="300"/>
        </w:trPr>
        <w:tc>
          <w:tcPr>
            <w:tcW w:w="3075" w:type="pct"/>
            <w:noWrap/>
            <w:hideMark/>
          </w:tcPr>
          <w:p w14:paraId="01A2837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Dizziness</w:t>
            </w:r>
          </w:p>
        </w:tc>
        <w:tc>
          <w:tcPr>
            <w:tcW w:w="642" w:type="pct"/>
            <w:noWrap/>
            <w:hideMark/>
          </w:tcPr>
          <w:p w14:paraId="529AACF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1.09</w:t>
            </w:r>
          </w:p>
        </w:tc>
        <w:tc>
          <w:tcPr>
            <w:tcW w:w="642" w:type="pct"/>
            <w:noWrap/>
            <w:hideMark/>
          </w:tcPr>
          <w:p w14:paraId="12E9A0A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0.49, 2.43</w:t>
            </w:r>
          </w:p>
        </w:tc>
        <w:tc>
          <w:tcPr>
            <w:tcW w:w="642" w:type="pct"/>
            <w:noWrap/>
            <w:hideMark/>
          </w:tcPr>
          <w:p w14:paraId="27C4D25A"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0.8</w:t>
            </w:r>
          </w:p>
        </w:tc>
      </w:tr>
      <w:tr w:rsidR="00593F13" w:rsidRPr="00407C9C" w14:paraId="501555CB"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1271204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Anorexia</w:t>
            </w:r>
          </w:p>
        </w:tc>
        <w:tc>
          <w:tcPr>
            <w:tcW w:w="642" w:type="pct"/>
            <w:noWrap/>
            <w:hideMark/>
          </w:tcPr>
          <w:p w14:paraId="18F0D13D"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0.47</w:t>
            </w:r>
          </w:p>
        </w:tc>
        <w:tc>
          <w:tcPr>
            <w:tcW w:w="642" w:type="pct"/>
            <w:noWrap/>
            <w:hideMark/>
          </w:tcPr>
          <w:p w14:paraId="6997CB8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0.19, 1.06</w:t>
            </w:r>
          </w:p>
        </w:tc>
        <w:tc>
          <w:tcPr>
            <w:tcW w:w="642" w:type="pct"/>
            <w:noWrap/>
            <w:hideMark/>
          </w:tcPr>
          <w:p w14:paraId="7F67E6F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0.079</w:t>
            </w:r>
          </w:p>
        </w:tc>
      </w:tr>
      <w:tr w:rsidR="00407C9C" w:rsidRPr="00407C9C" w14:paraId="45D777F1" w14:textId="77777777" w:rsidTr="001C0071">
        <w:trPr>
          <w:trHeight w:val="300"/>
        </w:trPr>
        <w:tc>
          <w:tcPr>
            <w:tcW w:w="3075" w:type="pct"/>
            <w:noWrap/>
            <w:hideMark/>
          </w:tcPr>
          <w:p w14:paraId="5D893D8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 xml:space="preserve">Presence of </w:t>
            </w:r>
            <w:proofErr w:type="spellStart"/>
            <w:r w:rsidRPr="00407C9C">
              <w:rPr>
                <w:rFonts w:ascii="Aptos Narrow" w:eastAsia="Arial" w:hAnsi="Aptos Narrow" w:cs="Times New Roman"/>
                <w:color w:val="000000"/>
                <w:sz w:val="22"/>
                <w:szCs w:val="22"/>
                <w:lang w:eastAsia="en-ZA"/>
              </w:rPr>
              <w:t>anaemia</w:t>
            </w:r>
            <w:proofErr w:type="spellEnd"/>
          </w:p>
        </w:tc>
        <w:tc>
          <w:tcPr>
            <w:tcW w:w="642" w:type="pct"/>
            <w:noWrap/>
            <w:hideMark/>
          </w:tcPr>
          <w:p w14:paraId="7509B296"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0.70</w:t>
            </w:r>
          </w:p>
        </w:tc>
        <w:tc>
          <w:tcPr>
            <w:tcW w:w="642" w:type="pct"/>
            <w:noWrap/>
            <w:hideMark/>
          </w:tcPr>
          <w:p w14:paraId="10152932"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0.32, 1.56</w:t>
            </w:r>
          </w:p>
        </w:tc>
        <w:tc>
          <w:tcPr>
            <w:tcW w:w="642" w:type="pct"/>
            <w:noWrap/>
            <w:hideMark/>
          </w:tcPr>
          <w:p w14:paraId="16DA0AA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w:t>
            </w:r>
          </w:p>
        </w:tc>
      </w:tr>
      <w:tr w:rsidR="00593F13" w:rsidRPr="00407C9C" w14:paraId="1FC3456C"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76213921"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ART exposure</w:t>
            </w:r>
          </w:p>
        </w:tc>
        <w:tc>
          <w:tcPr>
            <w:tcW w:w="642" w:type="pct"/>
            <w:noWrap/>
            <w:hideMark/>
          </w:tcPr>
          <w:p w14:paraId="7399AC5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0.46</w:t>
            </w:r>
          </w:p>
        </w:tc>
        <w:tc>
          <w:tcPr>
            <w:tcW w:w="642" w:type="pct"/>
            <w:noWrap/>
            <w:hideMark/>
          </w:tcPr>
          <w:p w14:paraId="69762B8C"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0.17, 1.08</w:t>
            </w:r>
          </w:p>
        </w:tc>
        <w:tc>
          <w:tcPr>
            <w:tcW w:w="642" w:type="pct"/>
            <w:noWrap/>
            <w:hideMark/>
          </w:tcPr>
          <w:p w14:paraId="757189E0"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0.10</w:t>
            </w:r>
          </w:p>
        </w:tc>
      </w:tr>
      <w:tr w:rsidR="00407C9C" w:rsidRPr="00407C9C" w14:paraId="6F27A12E" w14:textId="77777777" w:rsidTr="001C0071">
        <w:trPr>
          <w:trHeight w:val="300"/>
        </w:trPr>
        <w:tc>
          <w:tcPr>
            <w:tcW w:w="3075" w:type="pct"/>
            <w:noWrap/>
            <w:hideMark/>
          </w:tcPr>
          <w:p w14:paraId="214AFB35"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Kidney medication</w:t>
            </w:r>
          </w:p>
        </w:tc>
        <w:tc>
          <w:tcPr>
            <w:tcW w:w="642" w:type="pct"/>
            <w:noWrap/>
            <w:hideMark/>
          </w:tcPr>
          <w:p w14:paraId="5493D1DB"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2.30</w:t>
            </w:r>
          </w:p>
        </w:tc>
        <w:tc>
          <w:tcPr>
            <w:tcW w:w="642" w:type="pct"/>
            <w:noWrap/>
            <w:hideMark/>
          </w:tcPr>
          <w:p w14:paraId="45E6A1D7"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0.74, 5.91</w:t>
            </w:r>
          </w:p>
        </w:tc>
        <w:tc>
          <w:tcPr>
            <w:tcW w:w="642" w:type="pct"/>
            <w:noWrap/>
            <w:hideMark/>
          </w:tcPr>
          <w:p w14:paraId="3BDB826F"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0.11</w:t>
            </w:r>
          </w:p>
        </w:tc>
      </w:tr>
      <w:tr w:rsidR="00593F13" w:rsidRPr="00407C9C" w14:paraId="4031E47D" w14:textId="77777777" w:rsidTr="00407C9C">
        <w:trPr>
          <w:cnfStyle w:val="000000100000" w:firstRow="0" w:lastRow="0" w:firstColumn="0" w:lastColumn="0" w:oddVBand="0" w:evenVBand="0" w:oddHBand="1" w:evenHBand="0" w:firstRowFirstColumn="0" w:firstRowLastColumn="0" w:lastRowFirstColumn="0" w:lastRowLastColumn="0"/>
          <w:trHeight w:val="300"/>
        </w:trPr>
        <w:tc>
          <w:tcPr>
            <w:tcW w:w="3075" w:type="pct"/>
            <w:noWrap/>
            <w:hideMark/>
          </w:tcPr>
          <w:p w14:paraId="5E5F5F2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mortality</w:t>
            </w:r>
          </w:p>
        </w:tc>
        <w:tc>
          <w:tcPr>
            <w:tcW w:w="642" w:type="pct"/>
            <w:noWrap/>
            <w:hideMark/>
          </w:tcPr>
          <w:p w14:paraId="0BD1C49E"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1.30</w:t>
            </w:r>
          </w:p>
        </w:tc>
        <w:tc>
          <w:tcPr>
            <w:tcW w:w="642" w:type="pct"/>
            <w:noWrap/>
            <w:hideMark/>
          </w:tcPr>
          <w:p w14:paraId="0970A164"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0.39, 4.35</w:t>
            </w:r>
          </w:p>
        </w:tc>
        <w:tc>
          <w:tcPr>
            <w:tcW w:w="642" w:type="pct"/>
            <w:noWrap/>
            <w:hideMark/>
          </w:tcPr>
          <w:p w14:paraId="40EC3173" w14:textId="77777777" w:rsidR="00407C9C" w:rsidRPr="00407C9C" w:rsidRDefault="00407C9C" w:rsidP="001C0071">
            <w:pPr>
              <w:spacing w:after="0"/>
              <w:contextualSpacing/>
              <w:rPr>
                <w:rFonts w:ascii="Aptos Narrow" w:eastAsia="Times New Roman" w:hAnsi="Aptos Narrow" w:cs="Times New Roman"/>
                <w:color w:val="000000"/>
                <w:sz w:val="22"/>
                <w:szCs w:val="22"/>
                <w:lang w:val="en-ZA" w:eastAsia="en-ZA"/>
              </w:rPr>
            </w:pPr>
            <w:r w:rsidRPr="00407C9C">
              <w:rPr>
                <w:rFonts w:ascii="Aptos Narrow" w:eastAsia="Arial" w:hAnsi="Aptos Narrow" w:cs="Times New Roman"/>
                <w:color w:val="000000"/>
                <w:sz w:val="22"/>
                <w:szCs w:val="22"/>
                <w:lang w:eastAsia="en-ZA"/>
              </w:rPr>
              <w:t>0.7</w:t>
            </w:r>
          </w:p>
        </w:tc>
      </w:tr>
    </w:tbl>
    <w:p w14:paraId="521FBB2E" w14:textId="22A120BF" w:rsidR="00407C9C" w:rsidRDefault="00407C9C" w:rsidP="00407C9C">
      <w:pPr>
        <w:spacing w:after="0"/>
        <w:rPr>
          <w:rFonts w:ascii="Aptos Narrow" w:eastAsia="Arial" w:hAnsi="Aptos Narrow" w:cs="Times New Roman"/>
          <w:color w:val="000000"/>
          <w:sz w:val="22"/>
          <w:szCs w:val="22"/>
          <w:lang w:eastAsia="en-ZA"/>
        </w:rPr>
      </w:pPr>
      <w:r w:rsidRPr="001C0071">
        <w:rPr>
          <w:rFonts w:ascii="Aptos Narrow" w:eastAsia="Arial" w:hAnsi="Aptos Narrow" w:cs="Times New Roman"/>
          <w:color w:val="000000"/>
          <w:sz w:val="22"/>
          <w:szCs w:val="22"/>
          <w:vertAlign w:val="superscript"/>
          <w:lang w:eastAsia="en-ZA"/>
        </w:rPr>
        <w:t>1</w:t>
      </w:r>
      <w:r w:rsidRPr="001C0071">
        <w:rPr>
          <w:rFonts w:ascii="Aptos Narrow" w:eastAsia="Arial" w:hAnsi="Aptos Narrow" w:cs="Times New Roman"/>
          <w:color w:val="000000"/>
          <w:sz w:val="22"/>
          <w:szCs w:val="22"/>
          <w:lang w:eastAsia="en-ZA"/>
        </w:rPr>
        <w:t>OR = Odds Ratio, CI = Confidence Interval</w:t>
      </w:r>
    </w:p>
    <w:p w14:paraId="267C8186" w14:textId="7ADBFB5B" w:rsidR="00E67283" w:rsidRDefault="00E67283" w:rsidP="00407C9C">
      <w:pPr>
        <w:spacing w:after="0"/>
        <w:rPr>
          <w:rFonts w:ascii="Aptos Narrow" w:eastAsia="Arial" w:hAnsi="Aptos Narrow" w:cs="Times New Roman"/>
          <w:color w:val="000000"/>
          <w:sz w:val="22"/>
          <w:szCs w:val="22"/>
          <w:lang w:eastAsia="en-ZA"/>
        </w:rPr>
      </w:pPr>
    </w:p>
    <w:p w14:paraId="3B6C5EDC" w14:textId="2913FDDB" w:rsidR="00E67283" w:rsidRDefault="001C0071" w:rsidP="00407C9C">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lastRenderedPageBreak/>
        <w:drawing>
          <wp:inline distT="0" distB="0" distL="0" distR="0" wp14:anchorId="7EFE8AA7" wp14:editId="4C1645B9">
            <wp:extent cx="6369298" cy="3829050"/>
            <wp:effectExtent l="0" t="0" r="0" b="0"/>
            <wp:docPr id="2032757681"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57681" name="Picture 2" descr="A graph with numbers and lines&#10;&#10;Description automatically generated"/>
                    <pic:cNvPicPr/>
                  </pic:nvPicPr>
                  <pic:blipFill rotWithShape="1">
                    <a:blip r:embed="rId17">
                      <a:extLst>
                        <a:ext uri="{28A0092B-C50C-407E-A947-70E740481C1C}">
                          <a14:useLocalDpi xmlns:a14="http://schemas.microsoft.com/office/drawing/2010/main" val="0"/>
                        </a:ext>
                      </a:extLst>
                    </a:blip>
                    <a:srcRect l="22917" t="21082" r="22436" b="20513"/>
                    <a:stretch/>
                  </pic:blipFill>
                  <pic:spPr bwMode="auto">
                    <a:xfrm>
                      <a:off x="0" y="0"/>
                      <a:ext cx="6369656" cy="3829265"/>
                    </a:xfrm>
                    <a:prstGeom prst="rect">
                      <a:avLst/>
                    </a:prstGeom>
                    <a:ln>
                      <a:noFill/>
                    </a:ln>
                    <a:extLst>
                      <a:ext uri="{53640926-AAD7-44D8-BBD7-CCE9431645EC}">
                        <a14:shadowObscured xmlns:a14="http://schemas.microsoft.com/office/drawing/2010/main"/>
                      </a:ext>
                    </a:extLst>
                  </pic:spPr>
                </pic:pic>
              </a:graphicData>
            </a:graphic>
          </wp:inline>
        </w:drawing>
      </w:r>
    </w:p>
    <w:p w14:paraId="5E673290" w14:textId="1426A126" w:rsidR="007F52C8" w:rsidRDefault="00235DF8" w:rsidP="00F04257">
      <w:pPr>
        <w:pStyle w:val="BodyText"/>
        <w:rPr>
          <w:rFonts w:asciiTheme="majorHAnsi" w:hAnsiTheme="majorHAnsi" w:cstheme="majorHAnsi"/>
          <w:sz w:val="22"/>
          <w:szCs w:val="22"/>
        </w:rPr>
      </w:pPr>
      <w:r>
        <w:rPr>
          <w:rFonts w:asciiTheme="majorHAnsi" w:hAnsiTheme="majorHAnsi" w:cstheme="majorHAnsi"/>
          <w:sz w:val="22"/>
          <w:szCs w:val="22"/>
        </w:rPr>
        <w:t xml:space="preserve">Fig 1: </w:t>
      </w:r>
      <w:r w:rsidR="00C24975">
        <w:rPr>
          <w:rFonts w:asciiTheme="majorHAnsi" w:hAnsiTheme="majorHAnsi" w:cstheme="majorHAnsi"/>
          <w:sz w:val="22"/>
          <w:szCs w:val="22"/>
        </w:rPr>
        <w:t xml:space="preserve">The Kaplan-Meier </w:t>
      </w:r>
      <w:r>
        <w:rPr>
          <w:rFonts w:asciiTheme="majorHAnsi" w:hAnsiTheme="majorHAnsi" w:cstheme="majorHAnsi"/>
          <w:sz w:val="22"/>
          <w:szCs w:val="22"/>
        </w:rPr>
        <w:t xml:space="preserve">survival </w:t>
      </w:r>
      <w:r w:rsidR="00C24975">
        <w:rPr>
          <w:rFonts w:asciiTheme="majorHAnsi" w:hAnsiTheme="majorHAnsi" w:cstheme="majorHAnsi"/>
          <w:sz w:val="22"/>
          <w:szCs w:val="22"/>
        </w:rPr>
        <w:t xml:space="preserve">curve </w:t>
      </w:r>
      <w:r>
        <w:rPr>
          <w:rFonts w:asciiTheme="majorHAnsi" w:hAnsiTheme="majorHAnsi" w:cstheme="majorHAnsi"/>
          <w:sz w:val="22"/>
          <w:szCs w:val="22"/>
        </w:rPr>
        <w:t>over time</w:t>
      </w:r>
    </w:p>
    <w:p w14:paraId="7B75D8D2" w14:textId="77777777" w:rsidR="001C0071" w:rsidRDefault="001C0071" w:rsidP="00F04257">
      <w:pPr>
        <w:pStyle w:val="BodyText"/>
        <w:rPr>
          <w:rFonts w:asciiTheme="majorHAnsi" w:hAnsiTheme="majorHAnsi" w:cstheme="majorHAnsi"/>
          <w:sz w:val="22"/>
          <w:szCs w:val="22"/>
        </w:rPr>
      </w:pPr>
    </w:p>
    <w:p w14:paraId="5D9EC0C8" w14:textId="23D80489" w:rsidR="00F25E8D" w:rsidRPr="00787F50" w:rsidRDefault="00DE5C72" w:rsidP="00F04257">
      <w:pPr>
        <w:spacing w:after="0"/>
        <w:rPr>
          <w:b/>
          <w:bCs/>
        </w:rPr>
      </w:pPr>
      <w:r w:rsidRPr="00787F50">
        <w:rPr>
          <w:b/>
          <w:bCs/>
        </w:rPr>
        <w:t>Discussion</w:t>
      </w:r>
    </w:p>
    <w:p w14:paraId="0CDA96BF" w14:textId="72249F29" w:rsidR="0034089F" w:rsidRDefault="00574F72" w:rsidP="00C247FB">
      <w:pPr>
        <w:pStyle w:val="BodyText"/>
        <w:rPr>
          <w:rFonts w:asciiTheme="majorHAnsi" w:hAnsiTheme="majorHAnsi" w:cstheme="majorHAnsi"/>
          <w:color w:val="212121"/>
          <w:sz w:val="22"/>
          <w:szCs w:val="22"/>
        </w:rPr>
      </w:pPr>
      <w:r w:rsidRPr="00640D70">
        <w:rPr>
          <w:rFonts w:asciiTheme="majorHAnsi" w:hAnsiTheme="majorHAnsi" w:cstheme="majorHAnsi"/>
          <w:color w:val="212121"/>
          <w:sz w:val="22"/>
          <w:szCs w:val="22"/>
        </w:rPr>
        <w:t xml:space="preserve">HIV is highly </w:t>
      </w:r>
      <w:r w:rsidR="00B24080" w:rsidRPr="00B24080">
        <w:rPr>
          <w:rFonts w:asciiTheme="majorHAnsi" w:hAnsiTheme="majorHAnsi" w:cstheme="majorHAnsi"/>
          <w:color w:val="212121"/>
          <w:sz w:val="22"/>
          <w:szCs w:val="22"/>
        </w:rPr>
        <w:t>prevalent,</w:t>
      </w:r>
      <w:r w:rsidR="00125463" w:rsidRPr="00640D70">
        <w:rPr>
          <w:rFonts w:asciiTheme="majorHAnsi" w:hAnsiTheme="majorHAnsi" w:cstheme="majorHAnsi"/>
          <w:color w:val="212121"/>
          <w:sz w:val="22"/>
          <w:szCs w:val="22"/>
        </w:rPr>
        <w:t xml:space="preserve"> and it</w:t>
      </w:r>
      <w:r w:rsidRPr="00640D70">
        <w:rPr>
          <w:rFonts w:asciiTheme="majorHAnsi" w:hAnsiTheme="majorHAnsi" w:cstheme="majorHAnsi"/>
          <w:color w:val="212121"/>
          <w:sz w:val="22"/>
          <w:szCs w:val="22"/>
        </w:rPr>
        <w:t xml:space="preserve"> has a high mortality, especially if patients are severely immunocompromised. </w:t>
      </w:r>
      <w:proofErr w:type="gramStart"/>
      <w:r w:rsidR="00B21B07" w:rsidRPr="00B21B07">
        <w:rPr>
          <w:rFonts w:asciiTheme="majorHAnsi" w:hAnsiTheme="majorHAnsi" w:cstheme="majorHAnsi"/>
          <w:color w:val="212121"/>
          <w:sz w:val="22"/>
          <w:szCs w:val="22"/>
        </w:rPr>
        <w:t>The majority of</w:t>
      </w:r>
      <w:proofErr w:type="gramEnd"/>
      <w:r w:rsidR="00B21B07" w:rsidRPr="00B21B07">
        <w:rPr>
          <w:rFonts w:asciiTheme="majorHAnsi" w:hAnsiTheme="majorHAnsi" w:cstheme="majorHAnsi"/>
          <w:color w:val="212121"/>
          <w:sz w:val="22"/>
          <w:szCs w:val="22"/>
        </w:rPr>
        <w:t xml:space="preserve"> the patients were black African females </w:t>
      </w:r>
      <w:r w:rsidR="0034089F">
        <w:rPr>
          <w:rFonts w:asciiTheme="majorHAnsi" w:hAnsiTheme="majorHAnsi" w:cstheme="majorHAnsi"/>
          <w:color w:val="212121"/>
          <w:sz w:val="22"/>
          <w:szCs w:val="22"/>
        </w:rPr>
        <w:t>who were significantly younger at</w:t>
      </w:r>
      <w:r w:rsidR="00B21B07" w:rsidRPr="00B21B07">
        <w:rPr>
          <w:rFonts w:asciiTheme="majorHAnsi" w:hAnsiTheme="majorHAnsi" w:cstheme="majorHAnsi"/>
          <w:color w:val="212121"/>
          <w:sz w:val="22"/>
          <w:szCs w:val="22"/>
        </w:rPr>
        <w:t xml:space="preserve"> the median age of 3</w:t>
      </w:r>
      <w:r w:rsidR="0034089F">
        <w:rPr>
          <w:rFonts w:asciiTheme="majorHAnsi" w:hAnsiTheme="majorHAnsi" w:cstheme="majorHAnsi"/>
          <w:color w:val="212121"/>
          <w:sz w:val="22"/>
          <w:szCs w:val="22"/>
        </w:rPr>
        <w:t>5</w:t>
      </w:r>
      <w:r w:rsidR="00B21B07" w:rsidRPr="00B21B07">
        <w:rPr>
          <w:rFonts w:asciiTheme="majorHAnsi" w:hAnsiTheme="majorHAnsi" w:cstheme="majorHAnsi"/>
          <w:color w:val="212121"/>
          <w:sz w:val="22"/>
          <w:szCs w:val="22"/>
        </w:rPr>
        <w:t xml:space="preserve"> y</w:t>
      </w:r>
      <w:r w:rsidR="00B21B07">
        <w:rPr>
          <w:rFonts w:asciiTheme="majorHAnsi" w:hAnsiTheme="majorHAnsi" w:cstheme="majorHAnsi"/>
          <w:color w:val="212121"/>
          <w:sz w:val="22"/>
          <w:szCs w:val="22"/>
        </w:rPr>
        <w:t xml:space="preserve">ears. </w:t>
      </w:r>
      <w:r w:rsidR="00747D57">
        <w:rPr>
          <w:rFonts w:asciiTheme="majorHAnsi" w:hAnsiTheme="majorHAnsi" w:cstheme="majorHAnsi"/>
          <w:sz w:val="22"/>
          <w:szCs w:val="22"/>
        </w:rPr>
        <w:t xml:space="preserve">The overall median age at presentation was 36 years with the older age group associated with higher CD4 counts. </w:t>
      </w:r>
      <w:r w:rsidR="00813134">
        <w:rPr>
          <w:rFonts w:asciiTheme="majorHAnsi" w:hAnsiTheme="majorHAnsi" w:cstheme="majorHAnsi"/>
          <w:sz w:val="22"/>
          <w:szCs w:val="22"/>
        </w:rPr>
        <w:t>The females were significantly younger at enrollment</w:t>
      </w:r>
      <w:r w:rsidR="00813134" w:rsidRPr="000F43EF">
        <w:rPr>
          <w:rFonts w:asciiTheme="majorHAnsi" w:hAnsiTheme="majorHAnsi" w:cstheme="majorHAnsi"/>
          <w:i/>
          <w:iCs/>
          <w:sz w:val="22"/>
          <w:szCs w:val="22"/>
        </w:rPr>
        <w:t xml:space="preserve"> p</w:t>
      </w:r>
      <w:r w:rsidR="00813134">
        <w:rPr>
          <w:rFonts w:asciiTheme="majorHAnsi" w:hAnsiTheme="majorHAnsi" w:cstheme="majorHAnsi"/>
          <w:sz w:val="22"/>
          <w:szCs w:val="22"/>
        </w:rPr>
        <w:t xml:space="preserve">=0.017, and they also had significantly lower </w:t>
      </w:r>
      <w:proofErr w:type="spellStart"/>
      <w:r w:rsidR="00813134">
        <w:rPr>
          <w:rFonts w:asciiTheme="majorHAnsi" w:hAnsiTheme="majorHAnsi" w:cstheme="majorHAnsi"/>
          <w:sz w:val="22"/>
          <w:szCs w:val="22"/>
        </w:rPr>
        <w:t>haemoglobin</w:t>
      </w:r>
      <w:proofErr w:type="spellEnd"/>
      <w:r w:rsidR="00813134">
        <w:rPr>
          <w:rFonts w:asciiTheme="majorHAnsi" w:hAnsiTheme="majorHAnsi" w:cstheme="majorHAnsi"/>
          <w:sz w:val="22"/>
          <w:szCs w:val="22"/>
        </w:rPr>
        <w:t xml:space="preserve"> p&lt;0.001. </w:t>
      </w:r>
      <w:r w:rsidR="00B21B07" w:rsidRPr="00B21B07">
        <w:rPr>
          <w:rFonts w:asciiTheme="majorHAnsi" w:hAnsiTheme="majorHAnsi" w:cstheme="majorHAnsi"/>
          <w:color w:val="212121"/>
          <w:sz w:val="22"/>
          <w:szCs w:val="22"/>
        </w:rPr>
        <w:t>The median duration of illness was 14 days</w:t>
      </w:r>
      <w:r w:rsidR="00B21B07">
        <w:rPr>
          <w:rFonts w:asciiTheme="majorHAnsi" w:hAnsiTheme="majorHAnsi" w:cstheme="majorHAnsi"/>
          <w:color w:val="212121"/>
          <w:sz w:val="22"/>
          <w:szCs w:val="22"/>
        </w:rPr>
        <w:t xml:space="preserve">. </w:t>
      </w:r>
      <w:r w:rsidR="00B21B07" w:rsidRPr="00B21B07">
        <w:rPr>
          <w:rFonts w:asciiTheme="majorHAnsi" w:hAnsiTheme="majorHAnsi" w:cstheme="majorHAnsi"/>
          <w:color w:val="212121"/>
          <w:sz w:val="22"/>
          <w:szCs w:val="22"/>
        </w:rPr>
        <w:t xml:space="preserve">Most of the patient presented with weight loss and </w:t>
      </w:r>
      <w:r w:rsidR="00B21B07">
        <w:rPr>
          <w:rFonts w:asciiTheme="majorHAnsi" w:hAnsiTheme="majorHAnsi" w:cstheme="majorHAnsi"/>
          <w:color w:val="212121"/>
          <w:sz w:val="22"/>
          <w:szCs w:val="22"/>
        </w:rPr>
        <w:t>CD4 counts</w:t>
      </w:r>
      <w:r w:rsidR="00B21B07" w:rsidRPr="00B21B07">
        <w:rPr>
          <w:rFonts w:asciiTheme="majorHAnsi" w:hAnsiTheme="majorHAnsi" w:cstheme="majorHAnsi"/>
          <w:color w:val="212121"/>
          <w:sz w:val="22"/>
          <w:szCs w:val="22"/>
        </w:rPr>
        <w:t xml:space="preserve"> of around 33</w:t>
      </w:r>
      <w:r w:rsidR="0034089F">
        <w:rPr>
          <w:rFonts w:asciiTheme="majorHAnsi" w:hAnsiTheme="majorHAnsi" w:cstheme="majorHAnsi"/>
          <w:color w:val="212121"/>
          <w:sz w:val="22"/>
          <w:szCs w:val="22"/>
        </w:rPr>
        <w:t xml:space="preserve"> cells /mm</w:t>
      </w:r>
      <w:r w:rsidR="0034089F">
        <w:rPr>
          <w:rFonts w:asciiTheme="majorHAnsi" w:hAnsiTheme="majorHAnsi" w:cstheme="majorHAnsi"/>
          <w:color w:val="212121"/>
          <w:sz w:val="22"/>
          <w:szCs w:val="22"/>
          <w:vertAlign w:val="superscript"/>
        </w:rPr>
        <w:t>3</w:t>
      </w:r>
      <w:r w:rsidR="0034089F">
        <w:rPr>
          <w:rFonts w:asciiTheme="majorHAnsi" w:hAnsiTheme="majorHAnsi" w:cstheme="majorHAnsi"/>
          <w:color w:val="212121"/>
          <w:sz w:val="22"/>
          <w:szCs w:val="22"/>
        </w:rPr>
        <w:t xml:space="preserve">. </w:t>
      </w:r>
      <w:r w:rsidR="0034089F" w:rsidRPr="0034089F">
        <w:rPr>
          <w:rFonts w:asciiTheme="majorHAnsi" w:hAnsiTheme="majorHAnsi" w:cstheme="majorHAnsi"/>
          <w:color w:val="212121"/>
          <w:sz w:val="22"/>
          <w:szCs w:val="22"/>
        </w:rPr>
        <w:t>The opportunistic infections of note</w:t>
      </w:r>
      <w:r w:rsidR="00813134">
        <w:rPr>
          <w:rFonts w:asciiTheme="majorHAnsi" w:hAnsiTheme="majorHAnsi" w:cstheme="majorHAnsi"/>
          <w:color w:val="212121"/>
          <w:sz w:val="22"/>
          <w:szCs w:val="22"/>
        </w:rPr>
        <w:t>. I</w:t>
      </w:r>
      <w:r w:rsidR="0034089F">
        <w:rPr>
          <w:rFonts w:asciiTheme="majorHAnsi" w:hAnsiTheme="majorHAnsi" w:cstheme="majorHAnsi"/>
          <w:color w:val="212121"/>
          <w:sz w:val="22"/>
          <w:szCs w:val="22"/>
        </w:rPr>
        <w:t xml:space="preserve">n this cohort </w:t>
      </w:r>
      <w:r w:rsidR="0034089F" w:rsidRPr="0034089F">
        <w:rPr>
          <w:rFonts w:asciiTheme="majorHAnsi" w:hAnsiTheme="majorHAnsi" w:cstheme="majorHAnsi"/>
          <w:color w:val="212121"/>
          <w:sz w:val="22"/>
          <w:szCs w:val="22"/>
        </w:rPr>
        <w:t>were tuberculosis, pneumonia, cryptococcus,</w:t>
      </w:r>
      <w:r w:rsidR="0034089F">
        <w:rPr>
          <w:rFonts w:asciiTheme="majorHAnsi" w:hAnsiTheme="majorHAnsi" w:cstheme="majorHAnsi"/>
          <w:color w:val="212121"/>
          <w:sz w:val="22"/>
          <w:szCs w:val="22"/>
        </w:rPr>
        <w:t xml:space="preserve"> candida, </w:t>
      </w:r>
      <w:r w:rsidR="0034089F" w:rsidRPr="0034089F">
        <w:rPr>
          <w:rFonts w:asciiTheme="majorHAnsi" w:hAnsiTheme="majorHAnsi" w:cstheme="majorHAnsi"/>
          <w:color w:val="212121"/>
          <w:sz w:val="22"/>
          <w:szCs w:val="22"/>
        </w:rPr>
        <w:t>hepatitis B virus</w:t>
      </w:r>
      <w:r w:rsidR="0034089F">
        <w:rPr>
          <w:rFonts w:asciiTheme="majorHAnsi" w:hAnsiTheme="majorHAnsi" w:cstheme="majorHAnsi"/>
          <w:color w:val="212121"/>
          <w:sz w:val="22"/>
          <w:szCs w:val="22"/>
        </w:rPr>
        <w:t xml:space="preserve"> and syphilis. </w:t>
      </w:r>
      <w:r w:rsidR="005A6923" w:rsidRPr="005A6923">
        <w:rPr>
          <w:rFonts w:asciiTheme="majorHAnsi" w:hAnsiTheme="majorHAnsi" w:cstheme="majorHAnsi"/>
          <w:color w:val="212121"/>
          <w:sz w:val="22"/>
          <w:szCs w:val="22"/>
        </w:rPr>
        <w:t xml:space="preserve">Most of the patients were found in the lowest tertile of 0 to 33 L </w:t>
      </w:r>
      <w:r w:rsidR="005A6923">
        <w:rPr>
          <w:rFonts w:asciiTheme="majorHAnsi" w:hAnsiTheme="majorHAnsi" w:cstheme="majorHAnsi"/>
          <w:color w:val="212121"/>
          <w:sz w:val="22"/>
          <w:szCs w:val="22"/>
        </w:rPr>
        <w:t xml:space="preserve">and they had significantly higher viral loads together with </w:t>
      </w:r>
      <w:r w:rsidR="005A6923" w:rsidRPr="005A6923">
        <w:rPr>
          <w:rFonts w:asciiTheme="majorHAnsi" w:hAnsiTheme="majorHAnsi" w:cstheme="majorHAnsi"/>
          <w:color w:val="212121"/>
          <w:sz w:val="22"/>
          <w:szCs w:val="22"/>
        </w:rPr>
        <w:t xml:space="preserve">low </w:t>
      </w:r>
      <w:r w:rsidR="005A6923">
        <w:rPr>
          <w:rFonts w:asciiTheme="majorHAnsi" w:hAnsiTheme="majorHAnsi" w:cstheme="majorHAnsi"/>
          <w:color w:val="212121"/>
          <w:sz w:val="22"/>
          <w:szCs w:val="22"/>
        </w:rPr>
        <w:t>CD</w:t>
      </w:r>
      <w:r w:rsidR="005A6923" w:rsidRPr="005A6923">
        <w:rPr>
          <w:rFonts w:asciiTheme="majorHAnsi" w:hAnsiTheme="majorHAnsi" w:cstheme="majorHAnsi"/>
          <w:color w:val="212121"/>
          <w:sz w:val="22"/>
          <w:szCs w:val="22"/>
        </w:rPr>
        <w:t>4 counts</w:t>
      </w:r>
      <w:r w:rsidR="005A6923">
        <w:rPr>
          <w:rFonts w:asciiTheme="majorHAnsi" w:hAnsiTheme="majorHAnsi" w:cstheme="majorHAnsi"/>
          <w:color w:val="212121"/>
          <w:sz w:val="22"/>
          <w:szCs w:val="22"/>
        </w:rPr>
        <w:t>,</w:t>
      </w:r>
      <w:r w:rsidR="005A6923" w:rsidRPr="005A6923">
        <w:rPr>
          <w:rFonts w:asciiTheme="majorHAnsi" w:hAnsiTheme="majorHAnsi" w:cstheme="majorHAnsi"/>
          <w:color w:val="212121"/>
          <w:sz w:val="22"/>
          <w:szCs w:val="22"/>
        </w:rPr>
        <w:t xml:space="preserve"> white cell counts and neutrophils</w:t>
      </w:r>
      <w:r w:rsidR="005A6923">
        <w:rPr>
          <w:rFonts w:asciiTheme="majorHAnsi" w:hAnsiTheme="majorHAnsi" w:cstheme="majorHAnsi"/>
          <w:color w:val="212121"/>
          <w:sz w:val="22"/>
          <w:szCs w:val="22"/>
        </w:rPr>
        <w:t xml:space="preserve">. Significant </w:t>
      </w:r>
      <w:r w:rsidR="005A6923" w:rsidRPr="005A6923">
        <w:rPr>
          <w:rFonts w:asciiTheme="majorHAnsi" w:hAnsiTheme="majorHAnsi" w:cstheme="majorHAnsi"/>
          <w:color w:val="212121"/>
          <w:sz w:val="22"/>
          <w:szCs w:val="22"/>
        </w:rPr>
        <w:t xml:space="preserve">Kaposi sarcoma was exclusively found in the lowest </w:t>
      </w:r>
      <w:r w:rsidR="005A6923">
        <w:rPr>
          <w:rFonts w:asciiTheme="majorHAnsi" w:hAnsiTheme="majorHAnsi" w:cstheme="majorHAnsi"/>
          <w:color w:val="212121"/>
          <w:sz w:val="22"/>
          <w:szCs w:val="22"/>
        </w:rPr>
        <w:t>CD4 tertile together candida which was more prevalent in the same tertile.</w:t>
      </w:r>
      <w:r w:rsidR="007D2F80">
        <w:rPr>
          <w:rFonts w:asciiTheme="majorHAnsi" w:hAnsiTheme="majorHAnsi" w:cstheme="majorHAnsi"/>
          <w:color w:val="212121"/>
          <w:sz w:val="22"/>
          <w:szCs w:val="22"/>
        </w:rPr>
        <w:t xml:space="preserve"> There was significant KS in the youngest age group at </w:t>
      </w:r>
      <w:r w:rsidR="00CF5FFD">
        <w:rPr>
          <w:rFonts w:asciiTheme="majorHAnsi" w:hAnsiTheme="majorHAnsi" w:cstheme="majorHAnsi"/>
          <w:color w:val="212121"/>
          <w:sz w:val="22"/>
          <w:szCs w:val="22"/>
        </w:rPr>
        <w:t>p=0. 036</w:t>
      </w:r>
      <w:r w:rsidR="00674CC1">
        <w:rPr>
          <w:rFonts w:asciiTheme="majorHAnsi" w:hAnsiTheme="majorHAnsi" w:cstheme="majorHAnsi"/>
          <w:color w:val="212121"/>
          <w:sz w:val="22"/>
          <w:szCs w:val="22"/>
        </w:rPr>
        <w:t xml:space="preserve">. (Table 1.3) </w:t>
      </w:r>
      <w:proofErr w:type="gramStart"/>
      <w:r w:rsidR="00674CC1">
        <w:rPr>
          <w:rFonts w:asciiTheme="majorHAnsi" w:hAnsiTheme="majorHAnsi" w:cstheme="majorHAnsi"/>
          <w:color w:val="212121"/>
          <w:sz w:val="22"/>
          <w:szCs w:val="22"/>
        </w:rPr>
        <w:t>removed</w:t>
      </w:r>
      <w:proofErr w:type="gramEnd"/>
    </w:p>
    <w:p w14:paraId="4EFF3E37" w14:textId="01CC9780" w:rsidR="00EF1434" w:rsidRPr="00F26FA5" w:rsidRDefault="00574F72" w:rsidP="00250A65">
      <w:pPr>
        <w:pStyle w:val="BodyText"/>
        <w:rPr>
          <w:rFonts w:asciiTheme="majorHAnsi" w:hAnsiTheme="majorHAnsi" w:cstheme="majorHAnsi"/>
          <w:color w:val="212121"/>
          <w:sz w:val="22"/>
          <w:szCs w:val="22"/>
        </w:rPr>
      </w:pPr>
      <w:r w:rsidRPr="00640D70">
        <w:rPr>
          <w:rFonts w:asciiTheme="majorHAnsi" w:hAnsiTheme="majorHAnsi" w:cstheme="majorHAnsi"/>
          <w:color w:val="212121"/>
          <w:sz w:val="22"/>
          <w:szCs w:val="22"/>
        </w:rPr>
        <w:t>The patients with hypoadrenalism</w:t>
      </w:r>
      <w:r w:rsidR="00043176" w:rsidRPr="00640D70">
        <w:rPr>
          <w:rFonts w:asciiTheme="majorHAnsi" w:hAnsiTheme="majorHAnsi" w:cstheme="majorHAnsi"/>
          <w:color w:val="212121"/>
          <w:sz w:val="22"/>
          <w:szCs w:val="22"/>
        </w:rPr>
        <w:t xml:space="preserve"> </w:t>
      </w:r>
      <w:r w:rsidR="00156866">
        <w:rPr>
          <w:rFonts w:asciiTheme="majorHAnsi" w:hAnsiTheme="majorHAnsi" w:cstheme="majorHAnsi"/>
          <w:color w:val="212121"/>
          <w:sz w:val="22"/>
          <w:szCs w:val="22"/>
        </w:rPr>
        <w:t>2</w:t>
      </w:r>
      <w:r w:rsidR="00B30088">
        <w:rPr>
          <w:rFonts w:asciiTheme="majorHAnsi" w:hAnsiTheme="majorHAnsi" w:cstheme="majorHAnsi"/>
          <w:color w:val="212121"/>
          <w:sz w:val="22"/>
          <w:szCs w:val="22"/>
        </w:rPr>
        <w:t>6</w:t>
      </w:r>
      <w:r w:rsidR="00156866">
        <w:rPr>
          <w:rFonts w:asciiTheme="majorHAnsi" w:hAnsiTheme="majorHAnsi" w:cstheme="majorHAnsi"/>
          <w:color w:val="212121"/>
          <w:sz w:val="22"/>
          <w:szCs w:val="22"/>
        </w:rPr>
        <w:t>/</w:t>
      </w:r>
      <w:r w:rsidR="00B30088">
        <w:rPr>
          <w:rFonts w:asciiTheme="majorHAnsi" w:hAnsiTheme="majorHAnsi" w:cstheme="majorHAnsi"/>
          <w:color w:val="212121"/>
          <w:sz w:val="22"/>
          <w:szCs w:val="22"/>
        </w:rPr>
        <w:t>528</w:t>
      </w:r>
      <w:r w:rsidRPr="00640D70">
        <w:rPr>
          <w:rFonts w:asciiTheme="majorHAnsi" w:hAnsiTheme="majorHAnsi" w:cstheme="majorHAnsi"/>
          <w:color w:val="212121"/>
          <w:sz w:val="22"/>
          <w:szCs w:val="22"/>
        </w:rPr>
        <w:t xml:space="preserve">, looked the same </w:t>
      </w:r>
      <w:r w:rsidR="00D90664" w:rsidRPr="00640D70">
        <w:rPr>
          <w:rFonts w:asciiTheme="majorHAnsi" w:hAnsiTheme="majorHAnsi" w:cstheme="majorHAnsi"/>
          <w:color w:val="212121"/>
          <w:sz w:val="22"/>
          <w:szCs w:val="22"/>
        </w:rPr>
        <w:t>as</w:t>
      </w:r>
      <w:r w:rsidRPr="00640D70">
        <w:rPr>
          <w:rFonts w:asciiTheme="majorHAnsi" w:hAnsiTheme="majorHAnsi" w:cstheme="majorHAnsi"/>
          <w:color w:val="212121"/>
          <w:sz w:val="22"/>
          <w:szCs w:val="22"/>
        </w:rPr>
        <w:t xml:space="preserve"> the rest of the cohort</w:t>
      </w:r>
      <w:r w:rsidR="005124A3" w:rsidRPr="00640D70">
        <w:rPr>
          <w:rFonts w:asciiTheme="majorHAnsi" w:hAnsiTheme="majorHAnsi" w:cstheme="majorHAnsi"/>
          <w:color w:val="212121"/>
          <w:sz w:val="22"/>
          <w:szCs w:val="22"/>
        </w:rPr>
        <w:t xml:space="preserve"> in</w:t>
      </w:r>
      <w:r w:rsidR="00051B04">
        <w:rPr>
          <w:rFonts w:asciiTheme="majorHAnsi" w:hAnsiTheme="majorHAnsi" w:cstheme="majorHAnsi"/>
          <w:color w:val="212121"/>
          <w:sz w:val="22"/>
          <w:szCs w:val="22"/>
        </w:rPr>
        <w:t xml:space="preserve"> all</w:t>
      </w:r>
      <w:r w:rsidR="005124A3" w:rsidRPr="00640D70">
        <w:rPr>
          <w:rFonts w:asciiTheme="majorHAnsi" w:hAnsiTheme="majorHAnsi" w:cstheme="majorHAnsi"/>
          <w:color w:val="212121"/>
          <w:sz w:val="22"/>
          <w:szCs w:val="22"/>
        </w:rPr>
        <w:t xml:space="preserve"> respect except </w:t>
      </w:r>
      <w:r w:rsidR="00D03F7C" w:rsidRPr="00640D70">
        <w:rPr>
          <w:rFonts w:asciiTheme="majorHAnsi" w:hAnsiTheme="majorHAnsi" w:cstheme="majorHAnsi"/>
          <w:color w:val="212121"/>
          <w:sz w:val="22"/>
          <w:szCs w:val="22"/>
        </w:rPr>
        <w:t>random, baseline</w:t>
      </w:r>
      <w:r w:rsidR="00946279">
        <w:rPr>
          <w:rFonts w:asciiTheme="majorHAnsi" w:hAnsiTheme="majorHAnsi" w:cstheme="majorHAnsi"/>
          <w:color w:val="212121"/>
          <w:sz w:val="22"/>
          <w:szCs w:val="22"/>
        </w:rPr>
        <w:t>,</w:t>
      </w:r>
      <w:r w:rsidR="00D03F7C" w:rsidRPr="00640D70">
        <w:rPr>
          <w:rFonts w:asciiTheme="majorHAnsi" w:hAnsiTheme="majorHAnsi" w:cstheme="majorHAnsi"/>
          <w:color w:val="212121"/>
          <w:sz w:val="22"/>
          <w:szCs w:val="22"/>
        </w:rPr>
        <w:t xml:space="preserve"> </w:t>
      </w:r>
      <w:r w:rsidR="00520D72" w:rsidRPr="00640D70">
        <w:rPr>
          <w:rFonts w:asciiTheme="majorHAnsi" w:hAnsiTheme="majorHAnsi" w:cstheme="majorHAnsi"/>
          <w:color w:val="212121"/>
          <w:sz w:val="22"/>
          <w:szCs w:val="22"/>
        </w:rPr>
        <w:t>stimulated cortisol</w:t>
      </w:r>
      <w:r w:rsidR="00946279">
        <w:rPr>
          <w:rFonts w:asciiTheme="majorHAnsi" w:hAnsiTheme="majorHAnsi" w:cstheme="majorHAnsi"/>
          <w:color w:val="212121"/>
          <w:sz w:val="22"/>
          <w:szCs w:val="22"/>
        </w:rPr>
        <w:t xml:space="preserve">, </w:t>
      </w:r>
      <w:proofErr w:type="gramStart"/>
      <w:r w:rsidR="00946279">
        <w:rPr>
          <w:rFonts w:asciiTheme="majorHAnsi" w:hAnsiTheme="majorHAnsi" w:cstheme="majorHAnsi"/>
          <w:color w:val="212121"/>
          <w:sz w:val="22"/>
          <w:szCs w:val="22"/>
        </w:rPr>
        <w:t>potassium</w:t>
      </w:r>
      <w:proofErr w:type="gramEnd"/>
      <w:r w:rsidR="00946279">
        <w:rPr>
          <w:rFonts w:asciiTheme="majorHAnsi" w:hAnsiTheme="majorHAnsi" w:cstheme="majorHAnsi"/>
          <w:color w:val="212121"/>
          <w:sz w:val="22"/>
          <w:szCs w:val="22"/>
        </w:rPr>
        <w:t xml:space="preserve"> and neutrophils </w:t>
      </w:r>
      <w:r w:rsidR="007F080F" w:rsidRPr="00640D70">
        <w:rPr>
          <w:rFonts w:asciiTheme="majorHAnsi" w:hAnsiTheme="majorHAnsi" w:cstheme="majorHAnsi"/>
          <w:color w:val="212121"/>
          <w:sz w:val="22"/>
          <w:szCs w:val="22"/>
        </w:rPr>
        <w:t xml:space="preserve">which were significantly lower in the </w:t>
      </w:r>
      <w:proofErr w:type="spellStart"/>
      <w:r w:rsidR="007F080F" w:rsidRPr="00640D70">
        <w:rPr>
          <w:rFonts w:asciiTheme="majorHAnsi" w:hAnsiTheme="majorHAnsi" w:cstheme="majorHAnsi"/>
          <w:color w:val="212121"/>
          <w:sz w:val="22"/>
          <w:szCs w:val="22"/>
        </w:rPr>
        <w:t>hypoadre</w:t>
      </w:r>
      <w:r w:rsidR="00B241CF" w:rsidRPr="00640D70">
        <w:rPr>
          <w:rFonts w:asciiTheme="majorHAnsi" w:hAnsiTheme="majorHAnsi" w:cstheme="majorHAnsi"/>
          <w:color w:val="212121"/>
          <w:sz w:val="22"/>
          <w:szCs w:val="22"/>
        </w:rPr>
        <w:t>nal</w:t>
      </w:r>
      <w:proofErr w:type="spellEnd"/>
      <w:r w:rsidR="00B241CF" w:rsidRPr="00640D70">
        <w:rPr>
          <w:rFonts w:asciiTheme="majorHAnsi" w:hAnsiTheme="majorHAnsi" w:cstheme="majorHAnsi"/>
          <w:color w:val="212121"/>
          <w:sz w:val="22"/>
          <w:szCs w:val="22"/>
        </w:rPr>
        <w:t xml:space="preserve"> group</w:t>
      </w:r>
      <w:r w:rsidRPr="00640D70">
        <w:rPr>
          <w:rFonts w:asciiTheme="majorHAnsi" w:hAnsiTheme="majorHAnsi" w:cstheme="majorHAnsi"/>
          <w:color w:val="212121"/>
          <w:sz w:val="22"/>
          <w:szCs w:val="22"/>
        </w:rPr>
        <w:t>. When comparing patients with hypoadrenalism, subdivided into primary</w:t>
      </w:r>
      <w:r w:rsidR="008B2093" w:rsidRPr="00640D70">
        <w:rPr>
          <w:rFonts w:asciiTheme="majorHAnsi" w:hAnsiTheme="majorHAnsi" w:cstheme="majorHAnsi"/>
          <w:color w:val="212121"/>
          <w:sz w:val="22"/>
          <w:szCs w:val="22"/>
        </w:rPr>
        <w:t xml:space="preserve"> </w:t>
      </w:r>
      <w:r w:rsidR="00B30088">
        <w:rPr>
          <w:rFonts w:asciiTheme="majorHAnsi" w:hAnsiTheme="majorHAnsi" w:cstheme="majorHAnsi"/>
          <w:color w:val="212121"/>
          <w:sz w:val="22"/>
          <w:szCs w:val="22"/>
        </w:rPr>
        <w:t>20/26</w:t>
      </w:r>
      <w:r w:rsidRPr="00640D70">
        <w:rPr>
          <w:rFonts w:asciiTheme="majorHAnsi" w:hAnsiTheme="majorHAnsi" w:cstheme="majorHAnsi"/>
          <w:color w:val="212121"/>
          <w:sz w:val="22"/>
          <w:szCs w:val="22"/>
        </w:rPr>
        <w:t xml:space="preserve"> and secondary</w:t>
      </w:r>
      <w:r w:rsidR="008B2093" w:rsidRPr="00640D70">
        <w:rPr>
          <w:rFonts w:asciiTheme="majorHAnsi" w:hAnsiTheme="majorHAnsi" w:cstheme="majorHAnsi"/>
          <w:color w:val="212121"/>
          <w:sz w:val="22"/>
          <w:szCs w:val="22"/>
        </w:rPr>
        <w:t xml:space="preserve"> </w:t>
      </w:r>
      <w:r w:rsidR="00B30088">
        <w:rPr>
          <w:rFonts w:asciiTheme="majorHAnsi" w:hAnsiTheme="majorHAnsi" w:cstheme="majorHAnsi"/>
          <w:color w:val="212121"/>
          <w:sz w:val="22"/>
          <w:szCs w:val="22"/>
        </w:rPr>
        <w:t xml:space="preserve">6/26 </w:t>
      </w:r>
      <w:r w:rsidRPr="00640D70">
        <w:rPr>
          <w:rFonts w:asciiTheme="majorHAnsi" w:hAnsiTheme="majorHAnsi" w:cstheme="majorHAnsi"/>
          <w:color w:val="212121"/>
          <w:sz w:val="22"/>
          <w:szCs w:val="22"/>
        </w:rPr>
        <w:t>hypoadrenalism</w:t>
      </w:r>
      <w:r w:rsidR="00946279">
        <w:rPr>
          <w:rFonts w:asciiTheme="majorHAnsi" w:hAnsiTheme="majorHAnsi" w:cstheme="majorHAnsi"/>
          <w:color w:val="212121"/>
          <w:sz w:val="22"/>
          <w:szCs w:val="22"/>
        </w:rPr>
        <w:t xml:space="preserve">, there were no significant differences </w:t>
      </w:r>
      <w:r w:rsidR="000A3284">
        <w:rPr>
          <w:rFonts w:asciiTheme="majorHAnsi" w:hAnsiTheme="majorHAnsi" w:cstheme="majorHAnsi"/>
          <w:color w:val="212121"/>
          <w:sz w:val="22"/>
          <w:szCs w:val="22"/>
        </w:rPr>
        <w:t>respect of</w:t>
      </w:r>
      <w:r w:rsidR="00946279">
        <w:rPr>
          <w:rFonts w:asciiTheme="majorHAnsi" w:hAnsiTheme="majorHAnsi" w:cstheme="majorHAnsi"/>
          <w:color w:val="212121"/>
          <w:sz w:val="22"/>
          <w:szCs w:val="22"/>
        </w:rPr>
        <w:t xml:space="preserve"> demographics,</w:t>
      </w:r>
      <w:r w:rsidR="000A3284">
        <w:rPr>
          <w:rFonts w:asciiTheme="majorHAnsi" w:hAnsiTheme="majorHAnsi" w:cstheme="majorHAnsi"/>
          <w:color w:val="212121"/>
          <w:sz w:val="22"/>
          <w:szCs w:val="22"/>
        </w:rPr>
        <w:t xml:space="preserve"> clinical</w:t>
      </w:r>
      <w:r w:rsidR="00946279">
        <w:rPr>
          <w:rFonts w:asciiTheme="majorHAnsi" w:hAnsiTheme="majorHAnsi" w:cstheme="majorHAnsi"/>
          <w:color w:val="212121"/>
          <w:sz w:val="22"/>
          <w:szCs w:val="22"/>
        </w:rPr>
        <w:t xml:space="preserve"> history, clinical </w:t>
      </w:r>
      <w:proofErr w:type="gramStart"/>
      <w:r w:rsidR="00946279">
        <w:rPr>
          <w:rFonts w:asciiTheme="majorHAnsi" w:hAnsiTheme="majorHAnsi" w:cstheme="majorHAnsi"/>
          <w:color w:val="212121"/>
          <w:sz w:val="22"/>
          <w:szCs w:val="22"/>
        </w:rPr>
        <w:t>signs</w:t>
      </w:r>
      <w:proofErr w:type="gramEnd"/>
      <w:r w:rsidR="00946279">
        <w:rPr>
          <w:rFonts w:asciiTheme="majorHAnsi" w:hAnsiTheme="majorHAnsi" w:cstheme="majorHAnsi"/>
          <w:color w:val="212121"/>
          <w:sz w:val="22"/>
          <w:szCs w:val="22"/>
        </w:rPr>
        <w:t xml:space="preserve"> and investigations</w:t>
      </w:r>
      <w:r w:rsidRPr="00640D70">
        <w:rPr>
          <w:rFonts w:asciiTheme="majorHAnsi" w:hAnsiTheme="majorHAnsi" w:cstheme="majorHAnsi"/>
          <w:color w:val="212121"/>
          <w:sz w:val="22"/>
          <w:szCs w:val="22"/>
        </w:rPr>
        <w:t xml:space="preserve">. When examining the </w:t>
      </w:r>
      <w:r w:rsidR="00FB620B" w:rsidRPr="00FB620B">
        <w:rPr>
          <w:rFonts w:asciiTheme="majorHAnsi" w:hAnsiTheme="majorHAnsi" w:cstheme="majorHAnsi"/>
          <w:color w:val="212121"/>
          <w:sz w:val="22"/>
          <w:szCs w:val="22"/>
        </w:rPr>
        <w:t>etiology</w:t>
      </w:r>
      <w:r w:rsidRPr="00640D70">
        <w:rPr>
          <w:rFonts w:asciiTheme="majorHAnsi" w:hAnsiTheme="majorHAnsi" w:cstheme="majorHAnsi"/>
          <w:color w:val="212121"/>
          <w:sz w:val="22"/>
          <w:szCs w:val="22"/>
        </w:rPr>
        <w:t xml:space="preserve"> for primary </w:t>
      </w:r>
      <w:r w:rsidR="004F03A1" w:rsidRPr="00640D70">
        <w:rPr>
          <w:rFonts w:asciiTheme="majorHAnsi" w:hAnsiTheme="majorHAnsi" w:cstheme="majorHAnsi"/>
          <w:color w:val="212121"/>
          <w:sz w:val="22"/>
          <w:szCs w:val="22"/>
        </w:rPr>
        <w:t xml:space="preserve">and </w:t>
      </w:r>
      <w:r w:rsidRPr="00640D70">
        <w:rPr>
          <w:rFonts w:asciiTheme="majorHAnsi" w:hAnsiTheme="majorHAnsi" w:cstheme="majorHAnsi"/>
          <w:color w:val="212121"/>
          <w:sz w:val="22"/>
          <w:szCs w:val="22"/>
        </w:rPr>
        <w:t xml:space="preserve">secondary hypoadrenalism we identified </w:t>
      </w:r>
      <w:r w:rsidR="001B4B08" w:rsidRPr="00640D70">
        <w:rPr>
          <w:rFonts w:asciiTheme="majorHAnsi" w:hAnsiTheme="majorHAnsi" w:cstheme="majorHAnsi"/>
          <w:color w:val="212121"/>
          <w:sz w:val="22"/>
          <w:szCs w:val="22"/>
        </w:rPr>
        <w:t>mainly tube</w:t>
      </w:r>
      <w:r w:rsidR="00DA0F8A" w:rsidRPr="00640D70">
        <w:rPr>
          <w:rFonts w:asciiTheme="majorHAnsi" w:hAnsiTheme="majorHAnsi" w:cstheme="majorHAnsi"/>
          <w:color w:val="212121"/>
          <w:sz w:val="22"/>
          <w:szCs w:val="22"/>
        </w:rPr>
        <w:t>rc</w:t>
      </w:r>
      <w:r w:rsidR="001B4B08" w:rsidRPr="00640D70">
        <w:rPr>
          <w:rFonts w:asciiTheme="majorHAnsi" w:hAnsiTheme="majorHAnsi" w:cstheme="majorHAnsi"/>
          <w:color w:val="212121"/>
          <w:sz w:val="22"/>
          <w:szCs w:val="22"/>
        </w:rPr>
        <w:t xml:space="preserve">ulosis </w:t>
      </w:r>
      <w:r w:rsidR="00A07B32" w:rsidRPr="00D12B86">
        <w:rPr>
          <w:rFonts w:asciiTheme="majorHAnsi" w:hAnsiTheme="majorHAnsi" w:cstheme="majorHAnsi"/>
          <w:sz w:val="22"/>
          <w:szCs w:val="22"/>
        </w:rPr>
        <w:t xml:space="preserve">at </w:t>
      </w:r>
      <w:r w:rsidR="00747D57">
        <w:rPr>
          <w:rFonts w:asciiTheme="majorHAnsi" w:hAnsiTheme="majorHAnsi" w:cstheme="majorHAnsi"/>
          <w:sz w:val="22"/>
          <w:szCs w:val="22"/>
        </w:rPr>
        <w:t>8</w:t>
      </w:r>
      <w:r w:rsidR="00A07B32" w:rsidRPr="00D12B86">
        <w:rPr>
          <w:rFonts w:asciiTheme="majorHAnsi" w:hAnsiTheme="majorHAnsi" w:cstheme="majorHAnsi"/>
          <w:sz w:val="22"/>
          <w:szCs w:val="22"/>
        </w:rPr>
        <w:t>3%, followed by cryptococcus (</w:t>
      </w:r>
      <w:r w:rsidR="00747D57">
        <w:rPr>
          <w:rFonts w:asciiTheme="majorHAnsi" w:hAnsiTheme="majorHAnsi" w:cstheme="majorHAnsi"/>
          <w:sz w:val="22"/>
          <w:szCs w:val="22"/>
        </w:rPr>
        <w:t>42</w:t>
      </w:r>
      <w:r w:rsidR="00A07B32" w:rsidRPr="00D12B86">
        <w:rPr>
          <w:rFonts w:asciiTheme="majorHAnsi" w:hAnsiTheme="majorHAnsi" w:cstheme="majorHAnsi"/>
          <w:sz w:val="22"/>
          <w:szCs w:val="22"/>
        </w:rPr>
        <w:t>%)</w:t>
      </w:r>
      <w:r w:rsidR="00747D57">
        <w:rPr>
          <w:rFonts w:asciiTheme="majorHAnsi" w:hAnsiTheme="majorHAnsi" w:cstheme="majorHAnsi"/>
          <w:sz w:val="22"/>
          <w:szCs w:val="22"/>
        </w:rPr>
        <w:t xml:space="preserve">. </w:t>
      </w:r>
    </w:p>
    <w:p w14:paraId="1E31FA90" w14:textId="26D9E42D" w:rsidR="006B7CD6" w:rsidRDefault="003C58FB" w:rsidP="002C2274">
      <w:pPr>
        <w:pStyle w:val="BodyText"/>
        <w:jc w:val="both"/>
        <w:rPr>
          <w:rFonts w:asciiTheme="majorHAnsi" w:hAnsiTheme="majorHAnsi" w:cstheme="majorHAnsi"/>
          <w:sz w:val="22"/>
          <w:szCs w:val="22"/>
        </w:rPr>
      </w:pPr>
      <w:r>
        <w:rPr>
          <w:rFonts w:asciiTheme="majorHAnsi" w:hAnsiTheme="majorHAnsi" w:cstheme="majorHAnsi"/>
          <w:sz w:val="22"/>
          <w:szCs w:val="22"/>
        </w:rPr>
        <w:lastRenderedPageBreak/>
        <w:t>As expected, c</w:t>
      </w:r>
      <w:r w:rsidR="00CC182E">
        <w:rPr>
          <w:rFonts w:asciiTheme="majorHAnsi" w:hAnsiTheme="majorHAnsi" w:cstheme="majorHAnsi"/>
          <w:sz w:val="22"/>
          <w:szCs w:val="22"/>
        </w:rPr>
        <w:t xml:space="preserve">omparison of </w:t>
      </w:r>
      <w:proofErr w:type="spellStart"/>
      <w:r w:rsidR="007573B6">
        <w:rPr>
          <w:rFonts w:asciiTheme="majorHAnsi" w:hAnsiTheme="majorHAnsi" w:cstheme="majorHAnsi"/>
          <w:sz w:val="22"/>
          <w:szCs w:val="22"/>
        </w:rPr>
        <w:t>hypoadrenal</w:t>
      </w:r>
      <w:proofErr w:type="spellEnd"/>
      <w:r w:rsidR="007573B6">
        <w:rPr>
          <w:rFonts w:asciiTheme="majorHAnsi" w:hAnsiTheme="majorHAnsi" w:cstheme="majorHAnsi"/>
          <w:sz w:val="22"/>
          <w:szCs w:val="22"/>
        </w:rPr>
        <w:t xml:space="preserve"> patients with the rest of the cohort </w:t>
      </w:r>
      <w:r w:rsidR="00A56080">
        <w:rPr>
          <w:rFonts w:asciiTheme="majorHAnsi" w:hAnsiTheme="majorHAnsi" w:cstheme="majorHAnsi"/>
          <w:sz w:val="22"/>
          <w:szCs w:val="22"/>
        </w:rPr>
        <w:t>revealed</w:t>
      </w:r>
      <w:r w:rsidR="003C3AE3">
        <w:rPr>
          <w:rFonts w:asciiTheme="majorHAnsi" w:hAnsiTheme="majorHAnsi" w:cstheme="majorHAnsi"/>
          <w:sz w:val="22"/>
          <w:szCs w:val="22"/>
        </w:rPr>
        <w:t xml:space="preserve"> statist</w:t>
      </w:r>
      <w:r w:rsidR="00C4725D">
        <w:rPr>
          <w:rFonts w:asciiTheme="majorHAnsi" w:hAnsiTheme="majorHAnsi" w:cstheme="majorHAnsi"/>
          <w:sz w:val="22"/>
          <w:szCs w:val="22"/>
        </w:rPr>
        <w:t>ically</w:t>
      </w:r>
      <w:r w:rsidR="00A56080">
        <w:rPr>
          <w:rFonts w:asciiTheme="majorHAnsi" w:hAnsiTheme="majorHAnsi" w:cstheme="majorHAnsi"/>
          <w:sz w:val="22"/>
          <w:szCs w:val="22"/>
        </w:rPr>
        <w:t xml:space="preserve"> </w:t>
      </w:r>
      <w:r w:rsidR="00AC0702">
        <w:rPr>
          <w:rFonts w:asciiTheme="majorHAnsi" w:hAnsiTheme="majorHAnsi" w:cstheme="majorHAnsi"/>
          <w:sz w:val="22"/>
          <w:szCs w:val="22"/>
        </w:rPr>
        <w:t xml:space="preserve">significant differences </w:t>
      </w:r>
      <w:r w:rsidR="00FC235F">
        <w:rPr>
          <w:rFonts w:asciiTheme="majorHAnsi" w:hAnsiTheme="majorHAnsi" w:cstheme="majorHAnsi"/>
          <w:sz w:val="22"/>
          <w:szCs w:val="22"/>
        </w:rPr>
        <w:t>on</w:t>
      </w:r>
      <w:r w:rsidR="003D6528">
        <w:rPr>
          <w:rFonts w:asciiTheme="majorHAnsi" w:hAnsiTheme="majorHAnsi" w:cstheme="majorHAnsi"/>
          <w:sz w:val="22"/>
          <w:szCs w:val="22"/>
        </w:rPr>
        <w:t xml:space="preserve">ly in the random, </w:t>
      </w:r>
      <w:r w:rsidR="00AC32C7">
        <w:rPr>
          <w:rFonts w:asciiTheme="majorHAnsi" w:hAnsiTheme="majorHAnsi" w:cstheme="majorHAnsi"/>
          <w:sz w:val="22"/>
          <w:szCs w:val="22"/>
        </w:rPr>
        <w:t>baseline and stimulated cortisol levels</w:t>
      </w:r>
      <w:r w:rsidR="00C4725D">
        <w:rPr>
          <w:rFonts w:asciiTheme="majorHAnsi" w:hAnsiTheme="majorHAnsi" w:cstheme="majorHAnsi"/>
          <w:sz w:val="22"/>
          <w:szCs w:val="22"/>
        </w:rPr>
        <w:t xml:space="preserve">. There were also </w:t>
      </w:r>
      <w:r w:rsidR="00D02947">
        <w:rPr>
          <w:rFonts w:asciiTheme="majorHAnsi" w:hAnsiTheme="majorHAnsi" w:cstheme="majorHAnsi"/>
          <w:sz w:val="22"/>
          <w:szCs w:val="22"/>
        </w:rPr>
        <w:t xml:space="preserve">differences in </w:t>
      </w:r>
      <w:r w:rsidR="00230F30">
        <w:rPr>
          <w:rFonts w:asciiTheme="majorHAnsi" w:hAnsiTheme="majorHAnsi" w:cstheme="majorHAnsi"/>
          <w:sz w:val="22"/>
          <w:szCs w:val="22"/>
        </w:rPr>
        <w:t xml:space="preserve">the median </w:t>
      </w:r>
      <w:r w:rsidR="000A546F">
        <w:rPr>
          <w:rFonts w:asciiTheme="majorHAnsi" w:hAnsiTheme="majorHAnsi" w:cstheme="majorHAnsi"/>
          <w:sz w:val="22"/>
          <w:szCs w:val="22"/>
        </w:rPr>
        <w:t>diastolic blood pressur</w:t>
      </w:r>
      <w:r w:rsidR="00230F30">
        <w:rPr>
          <w:rFonts w:asciiTheme="majorHAnsi" w:hAnsiTheme="majorHAnsi" w:cstheme="majorHAnsi"/>
          <w:sz w:val="22"/>
          <w:szCs w:val="22"/>
        </w:rPr>
        <w:t>e</w:t>
      </w:r>
      <w:r w:rsidR="00B5329D">
        <w:rPr>
          <w:rFonts w:asciiTheme="majorHAnsi" w:hAnsiTheme="majorHAnsi" w:cstheme="majorHAnsi"/>
          <w:sz w:val="22"/>
          <w:szCs w:val="22"/>
        </w:rPr>
        <w:t xml:space="preserve"> </w:t>
      </w:r>
      <w:r w:rsidR="00F63572">
        <w:rPr>
          <w:rFonts w:asciiTheme="majorHAnsi" w:hAnsiTheme="majorHAnsi" w:cstheme="majorHAnsi"/>
          <w:sz w:val="22"/>
          <w:szCs w:val="22"/>
        </w:rPr>
        <w:t xml:space="preserve">and </w:t>
      </w:r>
      <w:r w:rsidR="00DD2250">
        <w:rPr>
          <w:rFonts w:asciiTheme="majorHAnsi" w:hAnsiTheme="majorHAnsi" w:cstheme="majorHAnsi"/>
          <w:sz w:val="22"/>
          <w:szCs w:val="22"/>
        </w:rPr>
        <w:t xml:space="preserve">sodium levels </w:t>
      </w:r>
      <w:r w:rsidR="00B5329D">
        <w:rPr>
          <w:rFonts w:asciiTheme="majorHAnsi" w:hAnsiTheme="majorHAnsi" w:cstheme="majorHAnsi"/>
          <w:sz w:val="22"/>
          <w:szCs w:val="22"/>
        </w:rPr>
        <w:t>which w</w:t>
      </w:r>
      <w:r w:rsidR="00DD2250">
        <w:rPr>
          <w:rFonts w:asciiTheme="majorHAnsi" w:hAnsiTheme="majorHAnsi" w:cstheme="majorHAnsi"/>
          <w:sz w:val="22"/>
          <w:szCs w:val="22"/>
        </w:rPr>
        <w:t>ere</w:t>
      </w:r>
      <w:r w:rsidR="00B5329D">
        <w:rPr>
          <w:rFonts w:asciiTheme="majorHAnsi" w:hAnsiTheme="majorHAnsi" w:cstheme="majorHAnsi"/>
          <w:sz w:val="22"/>
          <w:szCs w:val="22"/>
        </w:rPr>
        <w:t xml:space="preserve"> higher in the </w:t>
      </w:r>
      <w:proofErr w:type="spellStart"/>
      <w:r w:rsidR="00B5329D">
        <w:rPr>
          <w:rFonts w:asciiTheme="majorHAnsi" w:hAnsiTheme="majorHAnsi" w:cstheme="majorHAnsi"/>
          <w:sz w:val="22"/>
          <w:szCs w:val="22"/>
        </w:rPr>
        <w:t>hypoadrenal</w:t>
      </w:r>
      <w:proofErr w:type="spellEnd"/>
      <w:r w:rsidR="00B5329D">
        <w:rPr>
          <w:rFonts w:asciiTheme="majorHAnsi" w:hAnsiTheme="majorHAnsi" w:cstheme="majorHAnsi"/>
          <w:sz w:val="22"/>
          <w:szCs w:val="22"/>
        </w:rPr>
        <w:t xml:space="preserve"> grou</w:t>
      </w:r>
      <w:r w:rsidR="00C241B6">
        <w:rPr>
          <w:rFonts w:asciiTheme="majorHAnsi" w:hAnsiTheme="majorHAnsi" w:cstheme="majorHAnsi"/>
          <w:sz w:val="22"/>
          <w:szCs w:val="22"/>
        </w:rPr>
        <w:t>p, though not statistically significant.</w:t>
      </w:r>
      <w:r w:rsidR="00B43D13">
        <w:rPr>
          <w:rFonts w:asciiTheme="majorHAnsi" w:hAnsiTheme="majorHAnsi" w:cstheme="majorHAnsi"/>
          <w:sz w:val="22"/>
          <w:szCs w:val="22"/>
        </w:rPr>
        <w:t xml:space="preserve"> In contrast, the median neutrophil </w:t>
      </w:r>
      <w:r w:rsidR="00C721DE">
        <w:rPr>
          <w:rFonts w:asciiTheme="majorHAnsi" w:hAnsiTheme="majorHAnsi" w:cstheme="majorHAnsi"/>
          <w:sz w:val="22"/>
          <w:szCs w:val="22"/>
        </w:rPr>
        <w:t>levels were higher in the rest of the cohort</w:t>
      </w:r>
      <w:r w:rsidR="008630D1">
        <w:rPr>
          <w:rFonts w:asciiTheme="majorHAnsi" w:hAnsiTheme="majorHAnsi" w:cstheme="majorHAnsi"/>
          <w:sz w:val="22"/>
          <w:szCs w:val="22"/>
        </w:rPr>
        <w:t>, though also not statistically significant.</w:t>
      </w:r>
      <w:r w:rsidR="00D9424E">
        <w:rPr>
          <w:rFonts w:asciiTheme="majorHAnsi" w:hAnsiTheme="majorHAnsi" w:cstheme="majorHAnsi"/>
          <w:sz w:val="22"/>
          <w:szCs w:val="22"/>
        </w:rPr>
        <w:t xml:space="preserve"> Neutrophil levels can be </w:t>
      </w:r>
      <w:r w:rsidR="008F7F97">
        <w:rPr>
          <w:rFonts w:asciiTheme="majorHAnsi" w:hAnsiTheme="majorHAnsi" w:cstheme="majorHAnsi"/>
          <w:sz w:val="22"/>
          <w:szCs w:val="22"/>
        </w:rPr>
        <w:t xml:space="preserve">elevated by </w:t>
      </w:r>
      <w:r w:rsidR="00E43EED">
        <w:rPr>
          <w:rFonts w:asciiTheme="majorHAnsi" w:hAnsiTheme="majorHAnsi" w:cstheme="majorHAnsi"/>
          <w:sz w:val="22"/>
          <w:szCs w:val="22"/>
        </w:rPr>
        <w:t xml:space="preserve">steroid-induced </w:t>
      </w:r>
      <w:r w:rsidR="008F7F97">
        <w:rPr>
          <w:rFonts w:asciiTheme="majorHAnsi" w:hAnsiTheme="majorHAnsi" w:cstheme="majorHAnsi"/>
          <w:sz w:val="22"/>
          <w:szCs w:val="22"/>
        </w:rPr>
        <w:t>de</w:t>
      </w:r>
      <w:r w:rsidR="00E43EED">
        <w:rPr>
          <w:rFonts w:asciiTheme="majorHAnsi" w:hAnsiTheme="majorHAnsi" w:cstheme="majorHAnsi"/>
          <w:sz w:val="22"/>
          <w:szCs w:val="22"/>
        </w:rPr>
        <w:t>-</w:t>
      </w:r>
      <w:r w:rsidR="008F7F97">
        <w:rPr>
          <w:rFonts w:asciiTheme="majorHAnsi" w:hAnsiTheme="majorHAnsi" w:cstheme="majorHAnsi"/>
          <w:sz w:val="22"/>
          <w:szCs w:val="22"/>
        </w:rPr>
        <w:t xml:space="preserve">margination </w:t>
      </w:r>
      <w:r w:rsidR="0045753E">
        <w:rPr>
          <w:rFonts w:asciiTheme="majorHAnsi" w:hAnsiTheme="majorHAnsi" w:cstheme="majorHAnsi"/>
          <w:sz w:val="22"/>
          <w:szCs w:val="22"/>
        </w:rPr>
        <w:t>during inflammatory states</w:t>
      </w:r>
      <w:r w:rsidR="0084680E">
        <w:rPr>
          <w:rFonts w:asciiTheme="majorHAnsi" w:hAnsiTheme="majorHAnsi" w:cstheme="majorHAnsi"/>
          <w:sz w:val="22"/>
          <w:szCs w:val="22"/>
        </w:rPr>
        <w:t xml:space="preserve">, </w:t>
      </w:r>
      <w:r w:rsidR="002E627D">
        <w:rPr>
          <w:rFonts w:asciiTheme="majorHAnsi" w:hAnsiTheme="majorHAnsi" w:cstheme="majorHAnsi"/>
          <w:sz w:val="22"/>
          <w:szCs w:val="22"/>
        </w:rPr>
        <w:t>including HIV infection</w:t>
      </w:r>
      <w:r w:rsidR="0011444F">
        <w:rPr>
          <w:rFonts w:asciiTheme="majorHAnsi" w:hAnsiTheme="majorHAnsi" w:cstheme="majorHAnsi"/>
          <w:sz w:val="22"/>
          <w:szCs w:val="22"/>
        </w:rPr>
        <w:fldChar w:fldCharType="begin"/>
      </w:r>
      <w:r w:rsidR="0011444F">
        <w:rPr>
          <w:rFonts w:asciiTheme="majorHAnsi" w:hAnsiTheme="majorHAnsi" w:cstheme="majorHAnsi"/>
          <w:sz w:val="22"/>
          <w:szCs w:val="22"/>
        </w:rPr>
        <w:instrText xml:space="preserve"> ADDIN EN.CITE &lt;EndNote&gt;&lt;Cite&gt;&lt;Author&gt;Cavalcanti&lt;/Author&gt;&lt;Year&gt;2006&lt;/Year&gt;&lt;RecNum&gt;29117&lt;/RecNum&gt;&lt;DisplayText&gt;(17)&lt;/DisplayText&gt;&lt;record&gt;&lt;rec-number&gt;29117&lt;/rec-number&gt;&lt;foreign-keys&gt;&lt;key app="EN" db-id="xzvfpae2fxdffzes59g5pwd2dwdvvx0ss2x0" timestamp="1681859344"&gt;29117&lt;/key&gt;&lt;/foreign-keys&gt;&lt;ref-type name="Journal Article"&gt;17&lt;/ref-type&gt;&lt;contributors&gt;&lt;authors&gt;&lt;author&gt;Cavalcanti, Danielle MH&lt;/author&gt;&lt;author&gt;Lotufo, Celina MC&lt;/author&gt;&lt;author&gt;Borelli, Primavera&lt;/author&gt;&lt;author&gt;Tavassi, Ana Marisa C&lt;/author&gt;&lt;author&gt;Pereira, Agostinho LM&lt;/author&gt;&lt;author&gt;Markus, Regina P&lt;/author&gt;&lt;author&gt;Farsky, Sandra HP&lt;/author&gt;&lt;/authors&gt;&lt;/contributors&gt;&lt;titles&gt;&lt;title&gt;Adrenal deficiency alters mechanisms of neutrophil mobilization&lt;/title&gt;&lt;secondary-title&gt;Molecular and cellular endocrinology&lt;/secondary-title&gt;&lt;/titles&gt;&lt;periodical&gt;&lt;full-title&gt;Molecular and cellular endocrinology&lt;/full-title&gt;&lt;/periodical&gt;&lt;pages&gt;32-39&lt;/pages&gt;&lt;volume&gt;249&lt;/volume&gt;&lt;number&gt;1-2&lt;/number&gt;&lt;dates&gt;&lt;year&gt;2006&lt;/year&gt;&lt;/dates&gt;&lt;isbn&gt;0303-7207&lt;/isbn&gt;&lt;urls&gt;&lt;/urls&gt;&lt;/record&gt;&lt;/Cite&gt;&lt;/EndNote&gt;</w:instrText>
      </w:r>
      <w:r w:rsidR="0011444F">
        <w:rPr>
          <w:rFonts w:asciiTheme="majorHAnsi" w:hAnsiTheme="majorHAnsi" w:cstheme="majorHAnsi"/>
          <w:sz w:val="22"/>
          <w:szCs w:val="22"/>
        </w:rPr>
        <w:fldChar w:fldCharType="separate"/>
      </w:r>
      <w:r w:rsidR="0011444F">
        <w:rPr>
          <w:rFonts w:asciiTheme="majorHAnsi" w:hAnsiTheme="majorHAnsi" w:cstheme="majorHAnsi"/>
          <w:noProof/>
          <w:sz w:val="22"/>
          <w:szCs w:val="22"/>
        </w:rPr>
        <w:t>(17)</w:t>
      </w:r>
      <w:r w:rsidR="0011444F">
        <w:rPr>
          <w:rFonts w:asciiTheme="majorHAnsi" w:hAnsiTheme="majorHAnsi" w:cstheme="majorHAnsi"/>
          <w:sz w:val="22"/>
          <w:szCs w:val="22"/>
        </w:rPr>
        <w:fldChar w:fldCharType="end"/>
      </w:r>
      <w:r w:rsidR="005212CB">
        <w:rPr>
          <w:rFonts w:asciiTheme="majorHAnsi" w:hAnsiTheme="majorHAnsi" w:cstheme="majorHAnsi"/>
          <w:sz w:val="22"/>
          <w:szCs w:val="22"/>
        </w:rPr>
        <w:t>.</w:t>
      </w:r>
      <w:r w:rsidR="00E43EED">
        <w:rPr>
          <w:rFonts w:asciiTheme="majorHAnsi" w:hAnsiTheme="majorHAnsi" w:cstheme="majorHAnsi"/>
          <w:sz w:val="22"/>
          <w:szCs w:val="22"/>
        </w:rPr>
        <w:t xml:space="preserve"> </w:t>
      </w:r>
      <w:r w:rsidR="00EF1434">
        <w:rPr>
          <w:rFonts w:asciiTheme="majorHAnsi" w:hAnsiTheme="majorHAnsi" w:cstheme="majorHAnsi"/>
          <w:sz w:val="22"/>
          <w:szCs w:val="22"/>
        </w:rPr>
        <w:t xml:space="preserve"> We consider the lower neutrophil count </w:t>
      </w:r>
      <w:r w:rsidR="001879B3">
        <w:rPr>
          <w:rFonts w:asciiTheme="majorHAnsi" w:hAnsiTheme="majorHAnsi" w:cstheme="majorHAnsi"/>
          <w:sz w:val="22"/>
          <w:szCs w:val="22"/>
        </w:rPr>
        <w:t xml:space="preserve">in the AI group </w:t>
      </w:r>
      <w:r w:rsidR="00EF1434">
        <w:rPr>
          <w:rFonts w:asciiTheme="majorHAnsi" w:hAnsiTheme="majorHAnsi" w:cstheme="majorHAnsi"/>
          <w:sz w:val="22"/>
          <w:szCs w:val="22"/>
        </w:rPr>
        <w:t>to be inappropriate and perhaps a marker of low cortisol state in advanced HIV which we consider to be a state of medical stress.</w:t>
      </w:r>
      <w:r w:rsidR="001879B3">
        <w:rPr>
          <w:rFonts w:asciiTheme="majorHAnsi" w:hAnsiTheme="majorHAnsi" w:cstheme="majorHAnsi"/>
          <w:sz w:val="22"/>
          <w:szCs w:val="22"/>
        </w:rPr>
        <w:t xml:space="preserve"> Steroids can exert both pro and anti-inflammatory effect on the neutrophils depending on the inflammatory microenvironment</w:t>
      </w:r>
      <w:r w:rsidR="00FA6408">
        <w:rPr>
          <w:rFonts w:asciiTheme="majorHAnsi" w:hAnsiTheme="majorHAnsi" w:cstheme="majorHAnsi"/>
          <w:sz w:val="22"/>
          <w:szCs w:val="22"/>
        </w:rPr>
        <w:t xml:space="preserve"> </w:t>
      </w:r>
      <w:r w:rsidR="007A0D37">
        <w:rPr>
          <w:rFonts w:asciiTheme="majorHAnsi" w:hAnsiTheme="majorHAnsi" w:cstheme="majorHAnsi"/>
          <w:sz w:val="22"/>
          <w:szCs w:val="22"/>
        </w:rPr>
        <w:fldChar w:fldCharType="begin"/>
      </w:r>
      <w:r w:rsidR="007A0D37">
        <w:rPr>
          <w:rFonts w:asciiTheme="majorHAnsi" w:hAnsiTheme="majorHAnsi" w:cstheme="majorHAnsi"/>
          <w:sz w:val="22"/>
          <w:szCs w:val="22"/>
        </w:rPr>
        <w:instrText xml:space="preserve"> ADDIN EN.CITE &lt;EndNote&gt;&lt;Cite&gt;&lt;Author&gt;Ronchetti&lt;/Author&gt;&lt;Year&gt;2018&lt;/Year&gt;&lt;RecNum&gt;29118&lt;/RecNum&gt;&lt;DisplayText&gt;(18)&lt;/DisplayText&gt;&lt;record&gt;&lt;rec-number&gt;29118&lt;/rec-number&gt;&lt;foreign-keys&gt;&lt;key app="EN" db-id="xzvfpae2fxdffzes59g5pwd2dwdvvx0ss2x0" timestamp="1681860080"&gt;29118&lt;/key&gt;&lt;/foreign-keys&gt;&lt;ref-type name="Journal Article"&gt;17&lt;/ref-type&gt;&lt;contributors&gt;&lt;authors&gt;&lt;author&gt;Ronchetti, Simona&lt;/author&gt;&lt;author&gt;Ricci, Erika&lt;/author&gt;&lt;author&gt;Migliorati, Graziella&lt;/author&gt;&lt;author&gt;Gentili, Marco&lt;/author&gt;&lt;author&gt;Riccardi, Carlo&lt;/author&gt;&lt;/authors&gt;&lt;/contributors&gt;&lt;titles&gt;&lt;title&gt;How glucocorticoids affect the neutrophil life&lt;/title&gt;&lt;secondary-title&gt;International journal of molecular sciences&lt;/secondary-title&gt;&lt;/titles&gt;&lt;periodical&gt;&lt;full-title&gt;International journal of molecular sciences&lt;/full-title&gt;&lt;/periodical&gt;&lt;pages&gt;4090&lt;/pages&gt;&lt;volume&gt;19&lt;/volume&gt;&lt;number&gt;12&lt;/number&gt;&lt;dates&gt;&lt;year&gt;2018&lt;/year&gt;&lt;/dates&gt;&lt;isbn&gt;1422-0067&lt;/isbn&gt;&lt;urls&gt;&lt;/urls&gt;&lt;/record&gt;&lt;/Cite&gt;&lt;/EndNote&gt;</w:instrText>
      </w:r>
      <w:r w:rsidR="007A0D37">
        <w:rPr>
          <w:rFonts w:asciiTheme="majorHAnsi" w:hAnsiTheme="majorHAnsi" w:cstheme="majorHAnsi"/>
          <w:sz w:val="22"/>
          <w:szCs w:val="22"/>
        </w:rPr>
        <w:fldChar w:fldCharType="separate"/>
      </w:r>
      <w:r w:rsidR="007A0D37">
        <w:rPr>
          <w:rFonts w:asciiTheme="majorHAnsi" w:hAnsiTheme="majorHAnsi" w:cstheme="majorHAnsi"/>
          <w:noProof/>
          <w:sz w:val="22"/>
          <w:szCs w:val="22"/>
        </w:rPr>
        <w:t>(18)</w:t>
      </w:r>
      <w:r w:rsidR="007A0D37">
        <w:rPr>
          <w:rFonts w:asciiTheme="majorHAnsi" w:hAnsiTheme="majorHAnsi" w:cstheme="majorHAnsi"/>
          <w:sz w:val="22"/>
          <w:szCs w:val="22"/>
        </w:rPr>
        <w:fldChar w:fldCharType="end"/>
      </w:r>
      <w:r w:rsidR="001879B3">
        <w:rPr>
          <w:rFonts w:asciiTheme="majorHAnsi" w:hAnsiTheme="majorHAnsi" w:cstheme="majorHAnsi"/>
          <w:sz w:val="22"/>
          <w:szCs w:val="22"/>
        </w:rPr>
        <w:t>.</w:t>
      </w:r>
      <w:r w:rsidR="002D2755">
        <w:rPr>
          <w:rFonts w:asciiTheme="majorHAnsi" w:hAnsiTheme="majorHAnsi" w:cstheme="majorHAnsi"/>
          <w:sz w:val="22"/>
          <w:szCs w:val="22"/>
        </w:rPr>
        <w:t xml:space="preserve"> </w:t>
      </w:r>
      <w:r w:rsidR="00536C2B">
        <w:rPr>
          <w:rFonts w:asciiTheme="majorHAnsi" w:hAnsiTheme="majorHAnsi" w:cstheme="majorHAnsi"/>
          <w:sz w:val="22"/>
          <w:szCs w:val="22"/>
        </w:rPr>
        <w:t xml:space="preserve">On the other hand, </w:t>
      </w:r>
      <w:r w:rsidR="001879B3">
        <w:rPr>
          <w:rFonts w:asciiTheme="majorHAnsi" w:hAnsiTheme="majorHAnsi" w:cstheme="majorHAnsi"/>
          <w:sz w:val="22"/>
          <w:szCs w:val="22"/>
        </w:rPr>
        <w:t>natural killer cell cytotoxicity (</w:t>
      </w:r>
      <w:proofErr w:type="spellStart"/>
      <w:r w:rsidR="007F7C7E">
        <w:rPr>
          <w:rFonts w:asciiTheme="majorHAnsi" w:hAnsiTheme="majorHAnsi" w:cstheme="majorHAnsi"/>
          <w:sz w:val="22"/>
          <w:szCs w:val="22"/>
        </w:rPr>
        <w:t>NKCC</w:t>
      </w:r>
      <w:proofErr w:type="spellEnd"/>
      <w:r w:rsidR="001879B3">
        <w:rPr>
          <w:rFonts w:asciiTheme="majorHAnsi" w:hAnsiTheme="majorHAnsi" w:cstheme="majorHAnsi"/>
          <w:sz w:val="22"/>
          <w:szCs w:val="22"/>
        </w:rPr>
        <w:t>)</w:t>
      </w:r>
      <w:r w:rsidR="007F7C7E">
        <w:rPr>
          <w:rFonts w:asciiTheme="majorHAnsi" w:hAnsiTheme="majorHAnsi" w:cstheme="majorHAnsi"/>
          <w:sz w:val="22"/>
          <w:szCs w:val="22"/>
        </w:rPr>
        <w:t xml:space="preserve"> </w:t>
      </w:r>
      <w:r w:rsidR="00536C2B">
        <w:rPr>
          <w:rFonts w:asciiTheme="majorHAnsi" w:hAnsiTheme="majorHAnsi" w:cstheme="majorHAnsi"/>
          <w:sz w:val="22"/>
          <w:szCs w:val="22"/>
        </w:rPr>
        <w:t>lymphocyte dysfunction leading to increased infections has been associated with adrenal insufficiency</w:t>
      </w:r>
      <w:r w:rsidR="00536C2B">
        <w:rPr>
          <w:rFonts w:asciiTheme="majorHAnsi" w:hAnsiTheme="majorHAnsi" w:cstheme="majorHAnsi"/>
          <w:sz w:val="22"/>
          <w:szCs w:val="22"/>
        </w:rPr>
        <w:fldChar w:fldCharType="begin"/>
      </w:r>
      <w:r w:rsidR="00536C2B">
        <w:rPr>
          <w:rFonts w:asciiTheme="majorHAnsi" w:hAnsiTheme="majorHAnsi" w:cstheme="majorHAnsi"/>
          <w:sz w:val="22"/>
          <w:szCs w:val="22"/>
        </w:rPr>
        <w:instrText xml:space="preserve"> ADDIN EN.CITE &lt;EndNote&gt;&lt;Cite&gt;&lt;Author&gt;Bancos&lt;/Author&gt;&lt;Year&gt;2017&lt;/Year&gt;&lt;RecNum&gt;29119&lt;/RecNum&gt;&lt;DisplayText&gt;(19)&lt;/DisplayText&gt;&lt;record&gt;&lt;rec-number&gt;29119&lt;/rec-number&gt;&lt;foreign-keys&gt;&lt;key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536C2B">
        <w:rPr>
          <w:rFonts w:asciiTheme="majorHAnsi" w:hAnsiTheme="majorHAnsi" w:cstheme="majorHAnsi"/>
          <w:sz w:val="22"/>
          <w:szCs w:val="22"/>
        </w:rPr>
        <w:fldChar w:fldCharType="separate"/>
      </w:r>
      <w:r w:rsidR="00536C2B">
        <w:rPr>
          <w:rFonts w:asciiTheme="majorHAnsi" w:hAnsiTheme="majorHAnsi" w:cstheme="majorHAnsi"/>
          <w:noProof/>
          <w:sz w:val="22"/>
          <w:szCs w:val="22"/>
        </w:rPr>
        <w:t>(19)</w:t>
      </w:r>
      <w:r w:rsidR="00536C2B">
        <w:rPr>
          <w:rFonts w:asciiTheme="majorHAnsi" w:hAnsiTheme="majorHAnsi" w:cstheme="majorHAnsi"/>
          <w:sz w:val="22"/>
          <w:szCs w:val="22"/>
        </w:rPr>
        <w:fldChar w:fldCharType="end"/>
      </w:r>
      <w:r w:rsidR="0040501F">
        <w:rPr>
          <w:rFonts w:asciiTheme="majorHAnsi" w:hAnsiTheme="majorHAnsi" w:cstheme="majorHAnsi"/>
          <w:sz w:val="22"/>
          <w:szCs w:val="22"/>
        </w:rPr>
        <w:t>, and increased mortality</w:t>
      </w:r>
      <w:r w:rsidR="005212CB">
        <w:rPr>
          <w:rFonts w:asciiTheme="majorHAnsi" w:hAnsiTheme="majorHAnsi" w:cstheme="majorHAnsi"/>
          <w:sz w:val="22"/>
          <w:szCs w:val="22"/>
        </w:rPr>
        <w:t>.</w:t>
      </w:r>
      <w:r w:rsidR="009B0BA0">
        <w:rPr>
          <w:rFonts w:asciiTheme="majorHAnsi" w:hAnsiTheme="majorHAnsi" w:cstheme="majorHAnsi"/>
          <w:sz w:val="22"/>
          <w:szCs w:val="22"/>
        </w:rPr>
        <w:t xml:space="preserve"> </w:t>
      </w:r>
      <w:r w:rsidR="00536C2B">
        <w:rPr>
          <w:rFonts w:asciiTheme="majorHAnsi" w:hAnsiTheme="majorHAnsi" w:cstheme="majorHAnsi"/>
          <w:sz w:val="22"/>
          <w:szCs w:val="22"/>
        </w:rPr>
        <w:t xml:space="preserve"> </w:t>
      </w:r>
      <w:r w:rsidR="001879B3">
        <w:rPr>
          <w:rFonts w:asciiTheme="majorHAnsi" w:hAnsiTheme="majorHAnsi" w:cstheme="majorHAnsi"/>
          <w:sz w:val="22"/>
          <w:szCs w:val="22"/>
        </w:rPr>
        <w:t xml:space="preserve">In our </w:t>
      </w:r>
      <w:r w:rsidR="009B0BA0">
        <w:rPr>
          <w:rFonts w:asciiTheme="majorHAnsi" w:hAnsiTheme="majorHAnsi" w:cstheme="majorHAnsi"/>
          <w:sz w:val="22"/>
          <w:szCs w:val="22"/>
        </w:rPr>
        <w:t>study, the bivariate analysis</w:t>
      </w:r>
      <w:r w:rsidR="0040501F">
        <w:rPr>
          <w:rFonts w:asciiTheme="majorHAnsi" w:hAnsiTheme="majorHAnsi" w:cstheme="majorHAnsi"/>
          <w:sz w:val="22"/>
          <w:szCs w:val="22"/>
        </w:rPr>
        <w:t xml:space="preserve"> a</w:t>
      </w:r>
      <w:r w:rsidR="009B0BA0">
        <w:rPr>
          <w:rFonts w:asciiTheme="majorHAnsi" w:hAnsiTheme="majorHAnsi" w:cstheme="majorHAnsi"/>
          <w:sz w:val="22"/>
          <w:szCs w:val="22"/>
        </w:rPr>
        <w:t xml:space="preserve"> unit rise in lymphocytes was protective against AI, though not statistically significant.</w:t>
      </w:r>
    </w:p>
    <w:p w14:paraId="06EF5DDE" w14:textId="273D80E8" w:rsidR="003B2E1A" w:rsidRDefault="003B2E1A" w:rsidP="002C2274">
      <w:pPr>
        <w:pStyle w:val="BodyText"/>
        <w:jc w:val="both"/>
        <w:rPr>
          <w:rFonts w:asciiTheme="majorHAnsi" w:hAnsiTheme="majorHAnsi" w:cstheme="majorHAnsi"/>
          <w:sz w:val="22"/>
          <w:szCs w:val="22"/>
        </w:rPr>
      </w:pPr>
      <w:r>
        <w:rPr>
          <w:rFonts w:asciiTheme="majorHAnsi" w:hAnsiTheme="majorHAnsi" w:cstheme="majorHAnsi"/>
          <w:sz w:val="22"/>
          <w:szCs w:val="22"/>
        </w:rPr>
        <w:t>Compared to the SAI group, the PAI group had a statistically significant shorter duration of illness at 1</w:t>
      </w:r>
      <w:r w:rsidR="00747D57">
        <w:rPr>
          <w:rFonts w:asciiTheme="majorHAnsi" w:hAnsiTheme="majorHAnsi" w:cstheme="majorHAnsi"/>
          <w:sz w:val="22"/>
          <w:szCs w:val="22"/>
        </w:rPr>
        <w:t xml:space="preserve">4 </w:t>
      </w:r>
      <w:r>
        <w:rPr>
          <w:rFonts w:asciiTheme="majorHAnsi" w:hAnsiTheme="majorHAnsi" w:cstheme="majorHAnsi"/>
          <w:sz w:val="22"/>
          <w:szCs w:val="22"/>
        </w:rPr>
        <w:t xml:space="preserve">days versus </w:t>
      </w:r>
      <w:r w:rsidR="00747D57">
        <w:rPr>
          <w:rFonts w:asciiTheme="majorHAnsi" w:hAnsiTheme="majorHAnsi" w:cstheme="majorHAnsi"/>
          <w:sz w:val="22"/>
          <w:szCs w:val="22"/>
        </w:rPr>
        <w:t xml:space="preserve">30 </w:t>
      </w:r>
      <w:r>
        <w:rPr>
          <w:rFonts w:asciiTheme="majorHAnsi" w:hAnsiTheme="majorHAnsi" w:cstheme="majorHAnsi"/>
          <w:sz w:val="22"/>
          <w:szCs w:val="22"/>
        </w:rPr>
        <w:t>days,</w:t>
      </w:r>
      <w:r w:rsidR="0062571C">
        <w:rPr>
          <w:rFonts w:asciiTheme="majorHAnsi" w:hAnsiTheme="majorHAnsi" w:cstheme="majorHAnsi"/>
          <w:sz w:val="22"/>
          <w:szCs w:val="22"/>
        </w:rPr>
        <w:t xml:space="preserve"> </w:t>
      </w:r>
      <w:r w:rsidR="008C7AD7">
        <w:rPr>
          <w:rFonts w:asciiTheme="majorHAnsi" w:hAnsiTheme="majorHAnsi" w:cstheme="majorHAnsi"/>
          <w:sz w:val="22"/>
          <w:szCs w:val="22"/>
        </w:rPr>
        <w:t xml:space="preserve">and </w:t>
      </w:r>
      <w:r w:rsidR="0062571C">
        <w:rPr>
          <w:rFonts w:asciiTheme="majorHAnsi" w:hAnsiTheme="majorHAnsi" w:cstheme="majorHAnsi"/>
          <w:sz w:val="22"/>
          <w:szCs w:val="22"/>
        </w:rPr>
        <w:t xml:space="preserve">higher median ACTH levels at </w:t>
      </w:r>
      <w:r w:rsidR="008C7AD7">
        <w:rPr>
          <w:rFonts w:asciiTheme="majorHAnsi" w:hAnsiTheme="majorHAnsi" w:cstheme="majorHAnsi"/>
          <w:sz w:val="22"/>
          <w:szCs w:val="22"/>
        </w:rPr>
        <w:t xml:space="preserve">42.4 </w:t>
      </w:r>
      <w:proofErr w:type="spellStart"/>
      <w:r w:rsidR="008C7AD7">
        <w:rPr>
          <w:rFonts w:asciiTheme="majorHAnsi" w:hAnsiTheme="majorHAnsi" w:cstheme="majorHAnsi"/>
          <w:sz w:val="22"/>
          <w:szCs w:val="22"/>
        </w:rPr>
        <w:t>pmol</w:t>
      </w:r>
      <w:proofErr w:type="spellEnd"/>
      <w:r w:rsidR="008C7AD7">
        <w:rPr>
          <w:rFonts w:asciiTheme="majorHAnsi" w:hAnsiTheme="majorHAnsi" w:cstheme="majorHAnsi"/>
          <w:sz w:val="22"/>
          <w:szCs w:val="22"/>
        </w:rPr>
        <w:t xml:space="preserve">/L </w:t>
      </w:r>
      <w:r w:rsidR="0062571C">
        <w:rPr>
          <w:rFonts w:asciiTheme="majorHAnsi" w:hAnsiTheme="majorHAnsi" w:cstheme="majorHAnsi"/>
          <w:sz w:val="22"/>
          <w:szCs w:val="22"/>
        </w:rPr>
        <w:t xml:space="preserve">versus </w:t>
      </w:r>
      <w:r w:rsidR="008C7AD7">
        <w:rPr>
          <w:rFonts w:asciiTheme="majorHAnsi" w:hAnsiTheme="majorHAnsi" w:cstheme="majorHAnsi"/>
          <w:sz w:val="22"/>
          <w:szCs w:val="22"/>
        </w:rPr>
        <w:t xml:space="preserve">9.5 </w:t>
      </w:r>
      <w:proofErr w:type="spellStart"/>
      <w:r w:rsidR="008C7AD7">
        <w:rPr>
          <w:rFonts w:asciiTheme="majorHAnsi" w:hAnsiTheme="majorHAnsi" w:cstheme="majorHAnsi"/>
          <w:sz w:val="22"/>
          <w:szCs w:val="22"/>
        </w:rPr>
        <w:t>pmol</w:t>
      </w:r>
      <w:proofErr w:type="spellEnd"/>
      <w:r w:rsidR="008C7AD7">
        <w:rPr>
          <w:rFonts w:asciiTheme="majorHAnsi" w:hAnsiTheme="majorHAnsi" w:cstheme="majorHAnsi"/>
          <w:sz w:val="22"/>
          <w:szCs w:val="22"/>
        </w:rPr>
        <w:t>/</w:t>
      </w:r>
      <w:proofErr w:type="spellStart"/>
      <w:proofErr w:type="gramStart"/>
      <w:r w:rsidR="008C7AD7">
        <w:rPr>
          <w:rFonts w:asciiTheme="majorHAnsi" w:hAnsiTheme="majorHAnsi" w:cstheme="majorHAnsi"/>
          <w:sz w:val="22"/>
          <w:szCs w:val="22"/>
        </w:rPr>
        <w:t>L.</w:t>
      </w:r>
      <w:r w:rsidR="0092213B">
        <w:rPr>
          <w:rFonts w:asciiTheme="majorHAnsi" w:hAnsiTheme="majorHAnsi" w:cstheme="majorHAnsi"/>
          <w:sz w:val="22"/>
          <w:szCs w:val="22"/>
        </w:rPr>
        <w:t>The</w:t>
      </w:r>
      <w:proofErr w:type="spellEnd"/>
      <w:proofErr w:type="gramEnd"/>
      <w:r w:rsidR="0092213B">
        <w:rPr>
          <w:rFonts w:asciiTheme="majorHAnsi" w:hAnsiTheme="majorHAnsi" w:cstheme="majorHAnsi"/>
          <w:sz w:val="22"/>
          <w:szCs w:val="22"/>
        </w:rPr>
        <w:t xml:space="preserve"> rest of the history, clinical signs and investigations of the PAI and the SAI groups were not significant. The surprising finding was the insignificant difference between the stimulated cortisol levels in both the PAI and SAI group. </w:t>
      </w:r>
    </w:p>
    <w:p w14:paraId="70F13D71" w14:textId="0360F60B" w:rsidR="005F45D3" w:rsidRDefault="004B5420" w:rsidP="001C0071">
      <w:r>
        <w:rPr>
          <w:rFonts w:asciiTheme="majorHAnsi" w:hAnsiTheme="majorHAnsi" w:cstheme="majorHAnsi"/>
          <w:sz w:val="22"/>
          <w:szCs w:val="22"/>
        </w:rPr>
        <w:t>The result of the Bivariate and multivariate analysis is counterintuitive, unless we assume that advanced HIV predicts higher cortisol output</w:t>
      </w:r>
      <w:r w:rsidR="00B26525">
        <w:rPr>
          <w:rFonts w:asciiTheme="majorHAnsi" w:hAnsiTheme="majorHAnsi" w:cstheme="majorHAnsi"/>
          <w:sz w:val="22"/>
          <w:szCs w:val="22"/>
        </w:rPr>
        <w:t xml:space="preserve"> </w:t>
      </w:r>
      <w:r w:rsidR="009045B2">
        <w:rPr>
          <w:rFonts w:asciiTheme="majorHAnsi" w:hAnsiTheme="majorHAnsi" w:cstheme="majorHAnsi"/>
          <w:sz w:val="22"/>
          <w:szCs w:val="22"/>
        </w:rPr>
        <w:t>due to the metabolic and inflammatory stress</w:t>
      </w:r>
      <w:r>
        <w:rPr>
          <w:rFonts w:asciiTheme="majorHAnsi" w:hAnsiTheme="majorHAnsi" w:cstheme="majorHAnsi"/>
          <w:sz w:val="22"/>
          <w:szCs w:val="22"/>
        </w:rPr>
        <w:t xml:space="preserve">, which may lead to adrenal cortisol depletion leading to AI. </w:t>
      </w:r>
      <w:r w:rsidR="00E163C4">
        <w:rPr>
          <w:rFonts w:asciiTheme="majorHAnsi" w:hAnsiTheme="majorHAnsi" w:cstheme="majorHAnsi"/>
          <w:sz w:val="22"/>
          <w:szCs w:val="22"/>
        </w:rPr>
        <w:t>An attempt at generating an Artificial Intelligence</w:t>
      </w:r>
      <w:r w:rsidR="00CE317B">
        <w:rPr>
          <w:rFonts w:asciiTheme="majorHAnsi" w:hAnsiTheme="majorHAnsi" w:cstheme="majorHAnsi"/>
          <w:sz w:val="22"/>
          <w:szCs w:val="22"/>
        </w:rPr>
        <w:t xml:space="preserve"> (Ai) </w:t>
      </w:r>
      <w:r w:rsidR="00E163C4">
        <w:rPr>
          <w:rFonts w:asciiTheme="majorHAnsi" w:hAnsiTheme="majorHAnsi" w:cstheme="majorHAnsi"/>
          <w:sz w:val="22"/>
          <w:szCs w:val="22"/>
        </w:rPr>
        <w:t>tool which</w:t>
      </w:r>
      <w:r w:rsidR="00CE317B">
        <w:rPr>
          <w:rFonts w:asciiTheme="majorHAnsi" w:hAnsiTheme="majorHAnsi" w:cstheme="majorHAnsi"/>
          <w:sz w:val="22"/>
          <w:szCs w:val="22"/>
        </w:rPr>
        <w:t xml:space="preserve"> </w:t>
      </w:r>
      <w:r w:rsidR="00156866">
        <w:rPr>
          <w:rFonts w:asciiTheme="majorHAnsi" w:hAnsiTheme="majorHAnsi" w:cstheme="majorHAnsi"/>
          <w:sz w:val="22"/>
          <w:szCs w:val="22"/>
        </w:rPr>
        <w:t>can predict</w:t>
      </w:r>
      <w:r w:rsidR="00E163C4">
        <w:rPr>
          <w:rFonts w:asciiTheme="majorHAnsi" w:hAnsiTheme="majorHAnsi" w:cstheme="majorHAnsi"/>
          <w:sz w:val="22"/>
          <w:szCs w:val="22"/>
        </w:rPr>
        <w:t xml:space="preserve"> </w:t>
      </w:r>
      <w:r w:rsidR="00CE317B">
        <w:rPr>
          <w:rFonts w:asciiTheme="majorHAnsi" w:hAnsiTheme="majorHAnsi" w:cstheme="majorHAnsi"/>
          <w:sz w:val="22"/>
          <w:szCs w:val="22"/>
        </w:rPr>
        <w:t xml:space="preserve">adrenal insufficiency yielded mixed results due an uneven distribution of the AI and non-AI populations. The Random Forest classifier was the most promising of several classifiers that we experimented </w:t>
      </w:r>
      <w:r w:rsidR="008C7AD7">
        <w:rPr>
          <w:rFonts w:asciiTheme="majorHAnsi" w:hAnsiTheme="majorHAnsi" w:cstheme="majorHAnsi"/>
          <w:sz w:val="22"/>
          <w:szCs w:val="22"/>
        </w:rPr>
        <w:t>with;</w:t>
      </w:r>
      <w:r w:rsidR="00CE317B">
        <w:rPr>
          <w:rFonts w:asciiTheme="majorHAnsi" w:hAnsiTheme="majorHAnsi" w:cstheme="majorHAnsi"/>
          <w:sz w:val="22"/>
          <w:szCs w:val="22"/>
        </w:rPr>
        <w:t xml:space="preserve"> its recall was good as evidenced by its ability to identify 92.4%. However, it was only able to accurately predict AI in 52.6% of the patients with advanced HIV.</w:t>
      </w:r>
      <w:r w:rsidR="00156866">
        <w:rPr>
          <w:rFonts w:asciiTheme="majorHAnsi" w:hAnsiTheme="majorHAnsi" w:cstheme="majorHAnsi"/>
          <w:sz w:val="22"/>
          <w:szCs w:val="22"/>
        </w:rPr>
        <w:t xml:space="preserve"> Refinement of this predictive tool is work in progress.</w:t>
      </w:r>
    </w:p>
    <w:p w14:paraId="298690FD" w14:textId="136B1C19" w:rsidR="00812C3D" w:rsidRDefault="007A5948" w:rsidP="007A5948">
      <w:pPr>
        <w:pStyle w:val="BodyText"/>
        <w:rPr>
          <w:rFonts w:asciiTheme="majorHAnsi" w:hAnsiTheme="majorHAnsi" w:cstheme="majorHAnsi"/>
          <w:b/>
          <w:bCs/>
          <w:sz w:val="22"/>
          <w:szCs w:val="22"/>
        </w:rPr>
      </w:pPr>
      <w:r w:rsidRPr="00717B4A">
        <w:rPr>
          <w:rFonts w:asciiTheme="majorHAnsi" w:hAnsiTheme="majorHAnsi" w:cstheme="majorHAnsi"/>
          <w:b/>
          <w:bCs/>
          <w:sz w:val="22"/>
          <w:szCs w:val="22"/>
        </w:rPr>
        <w:t>Morbidity &amp; Mortality:</w:t>
      </w:r>
    </w:p>
    <w:p w14:paraId="3CCD4F1E" w14:textId="39CBB2FB" w:rsidR="00CA0100" w:rsidRDefault="005F45D3" w:rsidP="001C0071">
      <w:pPr>
        <w:pStyle w:val="BodyText"/>
        <w:rPr>
          <w:rFonts w:asciiTheme="majorHAnsi" w:hAnsiTheme="majorHAnsi" w:cstheme="majorHAnsi"/>
          <w:sz w:val="22"/>
          <w:szCs w:val="22"/>
        </w:rPr>
      </w:pPr>
      <w:r>
        <w:rPr>
          <w:rFonts w:asciiTheme="majorHAnsi" w:hAnsiTheme="majorHAnsi" w:cstheme="majorHAnsi"/>
          <w:sz w:val="22"/>
          <w:szCs w:val="22"/>
        </w:rPr>
        <w:t>The Kaplan-Meier curve confirms the higher mortality rate in AI group</w:t>
      </w:r>
      <w:r w:rsidR="00CB4A15">
        <w:rPr>
          <w:rFonts w:asciiTheme="majorHAnsi" w:hAnsiTheme="majorHAnsi" w:cstheme="majorHAnsi"/>
          <w:sz w:val="22"/>
          <w:szCs w:val="22"/>
        </w:rPr>
        <w:t xml:space="preserve"> over time. </w:t>
      </w:r>
      <w:r w:rsidR="002C2274">
        <w:rPr>
          <w:rFonts w:asciiTheme="majorHAnsi" w:hAnsiTheme="majorHAnsi" w:cstheme="majorHAnsi"/>
          <w:sz w:val="22"/>
          <w:szCs w:val="22"/>
        </w:rPr>
        <w:t xml:space="preserve">The mortality </w:t>
      </w:r>
      <w:r w:rsidR="000A3284">
        <w:rPr>
          <w:rFonts w:asciiTheme="majorHAnsi" w:hAnsiTheme="majorHAnsi" w:cstheme="majorHAnsi"/>
          <w:sz w:val="22"/>
          <w:szCs w:val="22"/>
        </w:rPr>
        <w:t xml:space="preserve">at </w:t>
      </w:r>
      <w:r w:rsidR="00250A65">
        <w:rPr>
          <w:rFonts w:asciiTheme="majorHAnsi" w:hAnsiTheme="majorHAnsi" w:cstheme="majorHAnsi"/>
          <w:sz w:val="22"/>
          <w:szCs w:val="22"/>
        </w:rPr>
        <w:t xml:space="preserve">six months </w:t>
      </w:r>
      <w:r w:rsidR="000A3284">
        <w:rPr>
          <w:rFonts w:asciiTheme="majorHAnsi" w:hAnsiTheme="majorHAnsi" w:cstheme="majorHAnsi"/>
          <w:sz w:val="22"/>
          <w:szCs w:val="22"/>
        </w:rPr>
        <w:t xml:space="preserve">follow-up </w:t>
      </w:r>
      <w:r w:rsidR="002C2274">
        <w:rPr>
          <w:rFonts w:asciiTheme="majorHAnsi" w:hAnsiTheme="majorHAnsi" w:cstheme="majorHAnsi"/>
          <w:sz w:val="22"/>
          <w:szCs w:val="22"/>
        </w:rPr>
        <w:t>was</w:t>
      </w:r>
      <w:r w:rsidR="000A3284">
        <w:rPr>
          <w:rFonts w:asciiTheme="majorHAnsi" w:hAnsiTheme="majorHAnsi" w:cstheme="majorHAnsi"/>
          <w:sz w:val="22"/>
          <w:szCs w:val="22"/>
        </w:rPr>
        <w:t xml:space="preserve"> statistically significant (</w:t>
      </w:r>
      <w:r w:rsidR="000A3284" w:rsidRPr="000A3284">
        <w:rPr>
          <w:rFonts w:asciiTheme="majorHAnsi" w:hAnsiTheme="majorHAnsi" w:cstheme="majorHAnsi"/>
          <w:i/>
          <w:iCs/>
          <w:sz w:val="22"/>
          <w:szCs w:val="22"/>
        </w:rPr>
        <w:t>p</w:t>
      </w:r>
      <w:r w:rsidR="000A3284">
        <w:rPr>
          <w:rFonts w:asciiTheme="majorHAnsi" w:hAnsiTheme="majorHAnsi" w:cstheme="majorHAnsi"/>
          <w:sz w:val="22"/>
          <w:szCs w:val="22"/>
        </w:rPr>
        <w:t>=0.</w:t>
      </w:r>
      <w:r w:rsidR="00250A65">
        <w:rPr>
          <w:rFonts w:asciiTheme="majorHAnsi" w:hAnsiTheme="majorHAnsi" w:cstheme="majorHAnsi"/>
          <w:sz w:val="22"/>
          <w:szCs w:val="22"/>
        </w:rPr>
        <w:t>045</w:t>
      </w:r>
      <w:r w:rsidR="000A3284">
        <w:rPr>
          <w:rFonts w:asciiTheme="majorHAnsi" w:hAnsiTheme="majorHAnsi" w:cstheme="majorHAnsi"/>
          <w:sz w:val="22"/>
          <w:szCs w:val="22"/>
        </w:rPr>
        <w:t>) at</w:t>
      </w:r>
      <w:r w:rsidR="002C2274">
        <w:rPr>
          <w:rFonts w:asciiTheme="majorHAnsi" w:hAnsiTheme="majorHAnsi" w:cstheme="majorHAnsi"/>
          <w:sz w:val="22"/>
          <w:szCs w:val="22"/>
        </w:rPr>
        <w:t xml:space="preserve"> </w:t>
      </w:r>
      <w:r w:rsidR="00250A65">
        <w:rPr>
          <w:rFonts w:asciiTheme="majorHAnsi" w:hAnsiTheme="majorHAnsi" w:cstheme="majorHAnsi"/>
          <w:sz w:val="22"/>
          <w:szCs w:val="22"/>
        </w:rPr>
        <w:t>19.2%</w:t>
      </w:r>
      <w:r w:rsidR="002C2274">
        <w:rPr>
          <w:rFonts w:asciiTheme="majorHAnsi" w:hAnsiTheme="majorHAnsi" w:cstheme="majorHAnsi"/>
          <w:sz w:val="22"/>
          <w:szCs w:val="22"/>
        </w:rPr>
        <w:t xml:space="preserve"> versus </w:t>
      </w:r>
      <w:r w:rsidR="00250A65">
        <w:rPr>
          <w:rFonts w:asciiTheme="majorHAnsi" w:hAnsiTheme="majorHAnsi" w:cstheme="majorHAnsi"/>
          <w:sz w:val="22"/>
          <w:szCs w:val="22"/>
        </w:rPr>
        <w:t>6.8</w:t>
      </w:r>
      <w:r w:rsidR="002C2274">
        <w:rPr>
          <w:rFonts w:asciiTheme="majorHAnsi" w:hAnsiTheme="majorHAnsi" w:cstheme="majorHAnsi"/>
          <w:sz w:val="22"/>
          <w:szCs w:val="22"/>
        </w:rPr>
        <w:t xml:space="preserve">% for AI versus non-AI groups, respectively. Mortality occurred throughout the tertiles in </w:t>
      </w:r>
      <w:r w:rsidR="0007721A">
        <w:rPr>
          <w:rFonts w:asciiTheme="majorHAnsi" w:hAnsiTheme="majorHAnsi" w:cstheme="majorHAnsi"/>
          <w:sz w:val="22"/>
          <w:szCs w:val="22"/>
        </w:rPr>
        <w:t>non-AI</w:t>
      </w:r>
      <w:r w:rsidR="002C2274">
        <w:rPr>
          <w:rFonts w:asciiTheme="majorHAnsi" w:hAnsiTheme="majorHAnsi" w:cstheme="majorHAnsi"/>
          <w:sz w:val="22"/>
          <w:szCs w:val="22"/>
        </w:rPr>
        <w:t xml:space="preserve"> groups. In contrast to the </w:t>
      </w:r>
      <w:r w:rsidR="00250A65">
        <w:rPr>
          <w:rFonts w:asciiTheme="majorHAnsi" w:hAnsiTheme="majorHAnsi" w:cstheme="majorHAnsi"/>
          <w:sz w:val="22"/>
          <w:szCs w:val="22"/>
        </w:rPr>
        <w:t>P</w:t>
      </w:r>
      <w:r w:rsidR="002C2274">
        <w:rPr>
          <w:rFonts w:asciiTheme="majorHAnsi" w:hAnsiTheme="majorHAnsi" w:cstheme="majorHAnsi"/>
          <w:sz w:val="22"/>
          <w:szCs w:val="22"/>
        </w:rPr>
        <w:t xml:space="preserve">AI mortality which occurred </w:t>
      </w:r>
      <w:r w:rsidR="00250A65">
        <w:rPr>
          <w:rFonts w:asciiTheme="majorHAnsi" w:hAnsiTheme="majorHAnsi" w:cstheme="majorHAnsi"/>
          <w:sz w:val="22"/>
          <w:szCs w:val="22"/>
        </w:rPr>
        <w:t>in the second and third</w:t>
      </w:r>
      <w:r w:rsidR="002C2274">
        <w:rPr>
          <w:rFonts w:asciiTheme="majorHAnsi" w:hAnsiTheme="majorHAnsi" w:cstheme="majorHAnsi"/>
          <w:sz w:val="22"/>
          <w:szCs w:val="22"/>
        </w:rPr>
        <w:t xml:space="preserve"> tertiles, the </w:t>
      </w:r>
      <w:r w:rsidR="00250A65">
        <w:rPr>
          <w:rFonts w:asciiTheme="majorHAnsi" w:hAnsiTheme="majorHAnsi" w:cstheme="majorHAnsi"/>
          <w:sz w:val="22"/>
          <w:szCs w:val="22"/>
        </w:rPr>
        <w:t>S</w:t>
      </w:r>
      <w:r w:rsidR="002C2274">
        <w:rPr>
          <w:rFonts w:asciiTheme="majorHAnsi" w:hAnsiTheme="majorHAnsi" w:cstheme="majorHAnsi"/>
          <w:sz w:val="22"/>
          <w:szCs w:val="22"/>
        </w:rPr>
        <w:t xml:space="preserve">AI group experienced intermediate mortality </w:t>
      </w:r>
      <w:r w:rsidR="00250A65">
        <w:rPr>
          <w:rFonts w:asciiTheme="majorHAnsi" w:hAnsiTheme="majorHAnsi" w:cstheme="majorHAnsi"/>
          <w:sz w:val="22"/>
          <w:szCs w:val="22"/>
        </w:rPr>
        <w:t>of 1/6 (17.0%)</w:t>
      </w:r>
      <w:r w:rsidR="002C2274">
        <w:rPr>
          <w:rFonts w:asciiTheme="majorHAnsi" w:hAnsiTheme="majorHAnsi" w:cstheme="majorHAnsi"/>
          <w:sz w:val="22"/>
          <w:szCs w:val="22"/>
        </w:rPr>
        <w:t>.</w:t>
      </w:r>
      <w:r w:rsidR="00075C19">
        <w:rPr>
          <w:rFonts w:asciiTheme="majorHAnsi" w:hAnsiTheme="majorHAnsi" w:cstheme="majorHAnsi"/>
          <w:sz w:val="22"/>
          <w:szCs w:val="22"/>
        </w:rPr>
        <w:t xml:space="preserve"> </w:t>
      </w:r>
      <w:r w:rsidR="00250A65">
        <w:rPr>
          <w:rFonts w:asciiTheme="majorHAnsi" w:hAnsiTheme="majorHAnsi" w:cstheme="majorHAnsi"/>
          <w:color w:val="212121"/>
          <w:sz w:val="22"/>
          <w:szCs w:val="22"/>
        </w:rPr>
        <w:t>The main causes of mortality in this cohort were tuberculosis 81% vs 83.3% and Cryptococcus 5.2% vs 50</w:t>
      </w:r>
      <w:r w:rsidR="00CB4A15">
        <w:rPr>
          <w:rFonts w:asciiTheme="majorHAnsi" w:hAnsiTheme="majorHAnsi" w:cstheme="majorHAnsi"/>
          <w:color w:val="212121"/>
          <w:sz w:val="22"/>
          <w:szCs w:val="22"/>
        </w:rPr>
        <w:t>% in</w:t>
      </w:r>
      <w:r w:rsidR="00250A65">
        <w:rPr>
          <w:rFonts w:asciiTheme="majorHAnsi" w:hAnsiTheme="majorHAnsi" w:cstheme="majorHAnsi"/>
          <w:color w:val="212121"/>
          <w:sz w:val="22"/>
          <w:szCs w:val="22"/>
        </w:rPr>
        <w:t xml:space="preserve"> non-AI vs AI groups, respectively.</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5466F8C9" w14:textId="77777777" w:rsidR="0054781F" w:rsidRDefault="00C371B2" w:rsidP="0054781F">
      <w:pPr>
        <w:pStyle w:val="BodyText"/>
        <w:jc w:val="both"/>
        <w:rPr>
          <w:rFonts w:asciiTheme="majorHAnsi" w:hAnsiTheme="majorHAnsi" w:cstheme="majorHAnsi"/>
          <w:sz w:val="22"/>
          <w:szCs w:val="22"/>
        </w:rPr>
      </w:pPr>
      <w:r>
        <w:rPr>
          <w:rFonts w:asciiTheme="majorHAnsi" w:hAnsiTheme="majorHAnsi" w:cstheme="majorHAnsi"/>
          <w:sz w:val="22"/>
          <w:szCs w:val="22"/>
        </w:rPr>
        <w:t>This is the largest prospective study of patients with advanced HIV in a draining area with a high background of tuberculosis. One weakness is the p</w:t>
      </w:r>
      <w:r w:rsidR="00F32F18">
        <w:rPr>
          <w:rFonts w:asciiTheme="majorHAnsi" w:hAnsiTheme="majorHAnsi" w:cstheme="majorHAnsi"/>
          <w:sz w:val="22"/>
          <w:szCs w:val="22"/>
        </w:rPr>
        <w:t xml:space="preserve">opulation </w:t>
      </w:r>
      <w:r w:rsidR="00A436C5">
        <w:rPr>
          <w:rFonts w:asciiTheme="majorHAnsi" w:hAnsiTheme="majorHAnsi" w:cstheme="majorHAnsi"/>
          <w:sz w:val="22"/>
          <w:szCs w:val="22"/>
        </w:rPr>
        <w:t xml:space="preserve">selection bias with the </w:t>
      </w:r>
      <w:r w:rsidR="00C838A5">
        <w:rPr>
          <w:rFonts w:asciiTheme="majorHAnsi" w:hAnsiTheme="majorHAnsi" w:cstheme="majorHAnsi"/>
          <w:sz w:val="22"/>
          <w:szCs w:val="22"/>
        </w:rPr>
        <w:t xml:space="preserve">black </w:t>
      </w:r>
      <w:r w:rsidR="00A436C5">
        <w:rPr>
          <w:rFonts w:asciiTheme="majorHAnsi" w:hAnsiTheme="majorHAnsi" w:cstheme="majorHAnsi"/>
          <w:sz w:val="22"/>
          <w:szCs w:val="22"/>
        </w:rPr>
        <w:t xml:space="preserve">Africans making </w:t>
      </w:r>
      <w:r w:rsidR="00AF297A">
        <w:rPr>
          <w:rFonts w:asciiTheme="majorHAnsi" w:hAnsiTheme="majorHAnsi" w:cstheme="majorHAnsi"/>
          <w:sz w:val="22"/>
          <w:szCs w:val="22"/>
        </w:rPr>
        <w:t>most of</w:t>
      </w:r>
      <w:r w:rsidR="00A436C5">
        <w:rPr>
          <w:rFonts w:asciiTheme="majorHAnsi" w:hAnsiTheme="majorHAnsi" w:cstheme="majorHAnsi"/>
          <w:sz w:val="22"/>
          <w:szCs w:val="22"/>
        </w:rPr>
        <w:t xml:space="preserve"> the </w:t>
      </w:r>
      <w:r w:rsidR="00841F57" w:rsidRPr="00787F50">
        <w:rPr>
          <w:rFonts w:asciiTheme="majorHAnsi" w:hAnsiTheme="majorHAnsi" w:cstheme="majorHAnsi"/>
          <w:color w:val="0D0D0D" w:themeColor="text1" w:themeTint="F2"/>
          <w:sz w:val="22"/>
          <w:szCs w:val="22"/>
        </w:rPr>
        <w:t>pa</w:t>
      </w:r>
      <w:r w:rsidR="00374517" w:rsidRPr="00787F50">
        <w:rPr>
          <w:rFonts w:asciiTheme="majorHAnsi" w:hAnsiTheme="majorHAnsi" w:cstheme="majorHAnsi"/>
          <w:color w:val="0D0D0D" w:themeColor="text1" w:themeTint="F2"/>
          <w:sz w:val="22"/>
          <w:szCs w:val="22"/>
        </w:rPr>
        <w:t>rticipants</w:t>
      </w:r>
      <w:r w:rsidR="00841F57">
        <w:rPr>
          <w:rFonts w:asciiTheme="majorHAnsi" w:hAnsiTheme="majorHAnsi" w:cstheme="majorHAnsi"/>
          <w:sz w:val="22"/>
          <w:szCs w:val="22"/>
        </w:rPr>
        <w:t xml:space="preserve"> due to the state hospital draining area being predominantly Black African.</w:t>
      </w:r>
      <w:r w:rsidR="0054781F" w:rsidRPr="0054781F">
        <w:rPr>
          <w:rFonts w:asciiTheme="majorHAnsi" w:hAnsiTheme="majorHAnsi" w:cstheme="majorHAnsi"/>
          <w:sz w:val="22"/>
          <w:szCs w:val="22"/>
        </w:rPr>
        <w:t xml:space="preserve"> </w:t>
      </w:r>
    </w:p>
    <w:p w14:paraId="28B9AC01" w14:textId="18E4DE88" w:rsidR="0054781F" w:rsidRPr="00787F50" w:rsidRDefault="0054781F" w:rsidP="00EB54DD">
      <w:pPr>
        <w:pStyle w:val="BodyText"/>
        <w:jc w:val="both"/>
        <w:rPr>
          <w:rFonts w:asciiTheme="majorHAnsi" w:hAnsiTheme="majorHAnsi" w:cstheme="majorHAnsi"/>
          <w:b/>
          <w:bCs/>
          <w:sz w:val="22"/>
          <w:szCs w:val="22"/>
        </w:rPr>
      </w:pPr>
      <w:r w:rsidRPr="00787F50">
        <w:rPr>
          <w:rFonts w:asciiTheme="majorHAnsi" w:hAnsiTheme="majorHAnsi" w:cstheme="majorHAnsi"/>
          <w:b/>
          <w:bCs/>
          <w:sz w:val="22"/>
          <w:szCs w:val="22"/>
        </w:rPr>
        <w:t>AI predictive tool:</w:t>
      </w:r>
      <w:r>
        <w:rPr>
          <w:rFonts w:asciiTheme="majorHAnsi" w:hAnsiTheme="majorHAnsi" w:cstheme="majorHAnsi"/>
          <w:sz w:val="22"/>
          <w:szCs w:val="22"/>
        </w:rPr>
        <w:t xml:space="preserve"> </w:t>
      </w:r>
      <w:r w:rsidR="00CB4A15" w:rsidRPr="00787F50">
        <w:rPr>
          <w:rFonts w:ascii="Calibri" w:eastAsia="Times New Roman" w:hAnsi="Calibri" w:cs="Calibri"/>
          <w:sz w:val="22"/>
          <w:szCs w:val="22"/>
          <w:lang w:eastAsia="zh-CN"/>
        </w:rPr>
        <w:t>Our</w:t>
      </w:r>
      <w:r w:rsidRPr="00787F50">
        <w:rPr>
          <w:rFonts w:ascii="Calibri" w:eastAsia="Times New Roman" w:hAnsi="Calibri" w:cs="Calibri"/>
          <w:sz w:val="22"/>
          <w:szCs w:val="22"/>
          <w:lang w:eastAsia="zh-CN"/>
        </w:rPr>
        <w:t xml:space="preserve"> current</w:t>
      </w:r>
      <w:r w:rsidR="00CB4A15" w:rsidRPr="00787F50">
        <w:rPr>
          <w:rFonts w:ascii="Calibri" w:eastAsia="Times New Roman" w:hAnsi="Calibri" w:cs="Calibri"/>
          <w:sz w:val="22"/>
          <w:szCs w:val="22"/>
          <w:lang w:eastAsia="zh-CN"/>
        </w:rPr>
        <w:t xml:space="preserve"> ten variable machine learning (</w:t>
      </w:r>
      <w:r w:rsidRPr="00787F50">
        <w:rPr>
          <w:rFonts w:ascii="Calibri" w:eastAsia="Times New Roman" w:hAnsi="Calibri" w:cs="Calibri"/>
          <w:sz w:val="22"/>
          <w:szCs w:val="22"/>
          <w:lang w:eastAsia="zh-CN"/>
        </w:rPr>
        <w:t>ML</w:t>
      </w:r>
      <w:r w:rsidR="00CB4A15" w:rsidRPr="00787F50">
        <w:rPr>
          <w:rFonts w:ascii="Calibri" w:eastAsia="Times New Roman" w:hAnsi="Calibri" w:cs="Calibri"/>
          <w:sz w:val="22"/>
          <w:szCs w:val="22"/>
          <w:lang w:eastAsia="zh-CN"/>
        </w:rPr>
        <w:t>)</w:t>
      </w:r>
      <w:r w:rsidRPr="00787F50">
        <w:rPr>
          <w:rFonts w:ascii="Calibri" w:eastAsia="Times New Roman" w:hAnsi="Calibri" w:cs="Calibri"/>
          <w:sz w:val="22"/>
          <w:szCs w:val="22"/>
          <w:lang w:eastAsia="zh-CN"/>
        </w:rPr>
        <w:t xml:space="preserve"> model</w:t>
      </w:r>
      <w:r w:rsidR="00CB4A15" w:rsidRPr="00787F50">
        <w:rPr>
          <w:rFonts w:ascii="Calibri" w:eastAsia="Times New Roman" w:hAnsi="Calibri" w:cs="Calibri"/>
          <w:sz w:val="22"/>
          <w:szCs w:val="22"/>
          <w:lang w:eastAsia="zh-CN"/>
        </w:rPr>
        <w:t xml:space="preserve"> which is based on unbalanced data</w:t>
      </w:r>
      <w:r w:rsidRPr="00787F50">
        <w:rPr>
          <w:rFonts w:ascii="Calibri" w:eastAsia="Times New Roman" w:hAnsi="Calibri" w:cs="Calibri"/>
          <w:sz w:val="22"/>
          <w:szCs w:val="22"/>
          <w:lang w:eastAsia="zh-CN"/>
        </w:rPr>
        <w:t xml:space="preserve"> is biased towards </w:t>
      </w:r>
      <w:r w:rsidR="00CB4A15" w:rsidRPr="00787F50">
        <w:rPr>
          <w:rFonts w:ascii="Calibri" w:eastAsia="Times New Roman" w:hAnsi="Calibri" w:cs="Calibri"/>
          <w:sz w:val="22"/>
          <w:szCs w:val="22"/>
          <w:lang w:eastAsia="zh-CN"/>
        </w:rPr>
        <w:t>the non-AI</w:t>
      </w:r>
      <w:r w:rsidRPr="00787F50">
        <w:rPr>
          <w:rFonts w:ascii="Calibri" w:eastAsia="Times New Roman" w:hAnsi="Calibri" w:cs="Calibri"/>
          <w:sz w:val="22"/>
          <w:szCs w:val="22"/>
          <w:lang w:eastAsia="zh-CN"/>
        </w:rPr>
        <w:t xml:space="preserve"> </w:t>
      </w:r>
      <w:r w:rsidR="00CB4A15" w:rsidRPr="00787F50">
        <w:rPr>
          <w:rFonts w:ascii="Calibri" w:eastAsia="Times New Roman" w:hAnsi="Calibri" w:cs="Calibri"/>
          <w:sz w:val="22"/>
          <w:szCs w:val="22"/>
          <w:lang w:eastAsia="zh-CN"/>
        </w:rPr>
        <w:t xml:space="preserve">group </w:t>
      </w:r>
      <w:r w:rsidRPr="00787F50">
        <w:rPr>
          <w:rFonts w:ascii="Calibri" w:eastAsia="Times New Roman" w:hAnsi="Calibri" w:cs="Calibri"/>
          <w:sz w:val="22"/>
          <w:szCs w:val="22"/>
          <w:lang w:eastAsia="zh-CN"/>
        </w:rPr>
        <w:t xml:space="preserve">due to </w:t>
      </w:r>
      <w:r w:rsidR="00CB4A15" w:rsidRPr="00787F50">
        <w:rPr>
          <w:rFonts w:ascii="Calibri" w:eastAsia="Times New Roman" w:hAnsi="Calibri" w:cs="Calibri"/>
          <w:sz w:val="22"/>
          <w:szCs w:val="22"/>
          <w:lang w:eastAsia="zh-CN"/>
        </w:rPr>
        <w:t xml:space="preserve">its </w:t>
      </w:r>
      <w:r w:rsidRPr="00787F50">
        <w:rPr>
          <w:rFonts w:ascii="Calibri" w:eastAsia="Times New Roman" w:hAnsi="Calibri" w:cs="Calibri"/>
          <w:sz w:val="22"/>
          <w:szCs w:val="22"/>
          <w:lang w:eastAsia="zh-CN"/>
        </w:rPr>
        <w:t xml:space="preserve">over-representation. One can artificially oversample AI or </w:t>
      </w:r>
      <w:r w:rsidR="00CB4A15" w:rsidRPr="00787F50">
        <w:rPr>
          <w:rFonts w:ascii="Calibri" w:eastAsia="Times New Roman" w:hAnsi="Calibri" w:cs="Calibri"/>
          <w:sz w:val="22"/>
          <w:szCs w:val="22"/>
          <w:lang w:eastAsia="zh-CN"/>
        </w:rPr>
        <w:t>under sample</w:t>
      </w:r>
      <w:r w:rsidRPr="00787F50">
        <w:rPr>
          <w:rFonts w:ascii="Calibri" w:eastAsia="Times New Roman" w:hAnsi="Calibri" w:cs="Calibri"/>
          <w:sz w:val="22"/>
          <w:szCs w:val="22"/>
          <w:lang w:eastAsia="zh-CN"/>
        </w:rPr>
        <w:t xml:space="preserve"> </w:t>
      </w:r>
      <w:r w:rsidR="00CB4A15" w:rsidRPr="00787F50">
        <w:rPr>
          <w:rFonts w:ascii="Calibri" w:eastAsia="Times New Roman" w:hAnsi="Calibri" w:cs="Calibri"/>
          <w:sz w:val="22"/>
          <w:szCs w:val="22"/>
          <w:lang w:eastAsia="zh-CN"/>
        </w:rPr>
        <w:t>non-AI thus making it</w:t>
      </w:r>
      <w:r w:rsidRPr="00787F50">
        <w:rPr>
          <w:rFonts w:ascii="Calibri" w:eastAsia="Times New Roman" w:hAnsi="Calibri" w:cs="Calibri"/>
          <w:sz w:val="22"/>
          <w:szCs w:val="22"/>
          <w:lang w:eastAsia="zh-CN"/>
        </w:rPr>
        <w:t xml:space="preserve"> hard</w:t>
      </w:r>
      <w:r w:rsidR="00CB4A15" w:rsidRPr="00787F50">
        <w:rPr>
          <w:rFonts w:ascii="Calibri" w:eastAsia="Times New Roman" w:hAnsi="Calibri" w:cs="Calibri"/>
          <w:sz w:val="22"/>
          <w:szCs w:val="22"/>
          <w:lang w:eastAsia="zh-CN"/>
        </w:rPr>
        <w:t>er</w:t>
      </w:r>
      <w:r w:rsidRPr="00787F50">
        <w:rPr>
          <w:rFonts w:ascii="Calibri" w:eastAsia="Times New Roman" w:hAnsi="Calibri" w:cs="Calibri"/>
          <w:sz w:val="22"/>
          <w:szCs w:val="22"/>
          <w:lang w:eastAsia="zh-CN"/>
        </w:rPr>
        <w:t xml:space="preserve"> to generalize the hypothesis of Adrenal insufficiency</w:t>
      </w:r>
      <w:r w:rsidR="00CB4A15" w:rsidRPr="00787F50">
        <w:rPr>
          <w:rFonts w:ascii="Calibri" w:eastAsia="Times New Roman" w:hAnsi="Calibri" w:cs="Calibri"/>
          <w:sz w:val="22"/>
          <w:szCs w:val="22"/>
          <w:lang w:eastAsia="zh-CN"/>
        </w:rPr>
        <w:t xml:space="preserve"> using the current model</w:t>
      </w:r>
      <w:r w:rsidRPr="00787F50">
        <w:rPr>
          <w:rFonts w:ascii="Calibri" w:eastAsia="Times New Roman" w:hAnsi="Calibri" w:cs="Calibri"/>
          <w:sz w:val="22"/>
          <w:szCs w:val="22"/>
          <w:lang w:eastAsia="zh-CN"/>
        </w:rPr>
        <w:t>.</w:t>
      </w:r>
      <w:r w:rsidR="00CB4A15" w:rsidRPr="00787F50">
        <w:rPr>
          <w:rFonts w:ascii="Calibri" w:eastAsia="Times New Roman" w:hAnsi="Calibri" w:cs="Calibri"/>
          <w:sz w:val="22"/>
          <w:szCs w:val="22"/>
          <w:lang w:eastAsia="zh-CN"/>
        </w:rPr>
        <w:t xml:space="preserve"> It is our belief that</w:t>
      </w:r>
      <w:r w:rsidR="00787F50">
        <w:rPr>
          <w:rFonts w:ascii="Calibri" w:eastAsia="Times New Roman" w:hAnsi="Calibri" w:cs="Calibri"/>
          <w:sz w:val="22"/>
          <w:szCs w:val="22"/>
          <w:lang w:eastAsia="zh-CN"/>
        </w:rPr>
        <w:t xml:space="preserve"> in future,</w:t>
      </w:r>
      <w:r w:rsidR="00CB4A15" w:rsidRPr="00787F50">
        <w:rPr>
          <w:rFonts w:ascii="Calibri" w:eastAsia="Times New Roman" w:hAnsi="Calibri" w:cs="Calibri"/>
          <w:sz w:val="22"/>
          <w:szCs w:val="22"/>
          <w:lang w:eastAsia="zh-CN"/>
        </w:rPr>
        <w:t xml:space="preserve"> with increased AI population or improved classifier sensitivity, it may be possible to improve the precision in predicting AI in patients with advanced HIV.</w:t>
      </w:r>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49C67185" w14:textId="2DA3C1E7" w:rsidR="00FE444F" w:rsidRDefault="004003FC" w:rsidP="000002AF">
      <w:pPr>
        <w:pStyle w:val="BodyText"/>
        <w:rPr>
          <w:rFonts w:asciiTheme="majorHAnsi" w:hAnsiTheme="majorHAnsi" w:cstheme="majorHAnsi"/>
          <w:sz w:val="22"/>
          <w:szCs w:val="22"/>
        </w:rPr>
      </w:pPr>
      <w:bookmarkStart w:id="21" w:name="_Hlk128383764"/>
      <w:r>
        <w:rPr>
          <w:rFonts w:asciiTheme="majorHAnsi" w:hAnsiTheme="majorHAnsi" w:cstheme="majorHAnsi"/>
          <w:sz w:val="22"/>
          <w:szCs w:val="22"/>
        </w:rPr>
        <w:lastRenderedPageBreak/>
        <w:t xml:space="preserve">The largest study on hypoadrenalism in advanced HIV in Africa revealed </w:t>
      </w:r>
      <w:r w:rsidR="00841F57">
        <w:rPr>
          <w:rFonts w:asciiTheme="majorHAnsi" w:hAnsiTheme="majorHAnsi" w:cstheme="majorHAnsi"/>
          <w:sz w:val="22"/>
          <w:szCs w:val="22"/>
        </w:rPr>
        <w:t xml:space="preserve">overall mortality of </w:t>
      </w:r>
      <w:r w:rsidR="00250A65">
        <w:rPr>
          <w:rFonts w:asciiTheme="majorHAnsi" w:hAnsiTheme="majorHAnsi" w:cstheme="majorHAnsi"/>
          <w:sz w:val="22"/>
          <w:szCs w:val="22"/>
        </w:rPr>
        <w:t>12.1</w:t>
      </w:r>
      <w:r w:rsidR="00841F57">
        <w:rPr>
          <w:rFonts w:asciiTheme="majorHAnsi" w:hAnsiTheme="majorHAnsi" w:cstheme="majorHAnsi"/>
          <w:sz w:val="22"/>
          <w:szCs w:val="22"/>
        </w:rPr>
        <w:t xml:space="preserve">%. The overall mortality in the AI group was </w:t>
      </w:r>
      <w:r w:rsidR="00F26FA5">
        <w:rPr>
          <w:rFonts w:asciiTheme="majorHAnsi" w:hAnsiTheme="majorHAnsi" w:cstheme="majorHAnsi"/>
          <w:sz w:val="22"/>
          <w:szCs w:val="22"/>
        </w:rPr>
        <w:t xml:space="preserve">23.1% </w:t>
      </w:r>
      <w:r w:rsidR="00841F57">
        <w:rPr>
          <w:rFonts w:asciiTheme="majorHAnsi" w:hAnsiTheme="majorHAnsi" w:cstheme="majorHAnsi"/>
          <w:sz w:val="22"/>
          <w:szCs w:val="22"/>
        </w:rPr>
        <w:t xml:space="preserve">versus </w:t>
      </w:r>
      <w:r w:rsidR="00F26FA5">
        <w:rPr>
          <w:rFonts w:asciiTheme="majorHAnsi" w:hAnsiTheme="majorHAnsi" w:cstheme="majorHAnsi"/>
          <w:sz w:val="22"/>
          <w:szCs w:val="22"/>
        </w:rPr>
        <w:t>11.6</w:t>
      </w:r>
      <w:r w:rsidR="00841F57">
        <w:rPr>
          <w:rFonts w:asciiTheme="majorHAnsi" w:hAnsiTheme="majorHAnsi" w:cstheme="majorHAnsi"/>
          <w:sz w:val="22"/>
          <w:szCs w:val="22"/>
        </w:rPr>
        <w:t xml:space="preserve">% for the non-AI groups, respectively. </w:t>
      </w:r>
      <w:r w:rsidR="00F26FA5">
        <w:rPr>
          <w:rFonts w:asciiTheme="majorHAnsi" w:hAnsiTheme="majorHAnsi" w:cstheme="majorHAnsi"/>
          <w:sz w:val="22"/>
          <w:szCs w:val="22"/>
        </w:rPr>
        <w:t>M</w:t>
      </w:r>
      <w:r w:rsidR="00841F57">
        <w:rPr>
          <w:rFonts w:asciiTheme="majorHAnsi" w:hAnsiTheme="majorHAnsi" w:cstheme="majorHAnsi"/>
          <w:sz w:val="22"/>
          <w:szCs w:val="22"/>
        </w:rPr>
        <w:t>ortalit</w:t>
      </w:r>
      <w:r w:rsidR="00F26FA5">
        <w:rPr>
          <w:rFonts w:asciiTheme="majorHAnsi" w:hAnsiTheme="majorHAnsi" w:cstheme="majorHAnsi"/>
          <w:sz w:val="22"/>
          <w:szCs w:val="22"/>
        </w:rPr>
        <w:t xml:space="preserve">y </w:t>
      </w:r>
      <w:r w:rsidR="00841F57">
        <w:rPr>
          <w:rFonts w:asciiTheme="majorHAnsi" w:hAnsiTheme="majorHAnsi" w:cstheme="majorHAnsi"/>
          <w:sz w:val="22"/>
          <w:szCs w:val="22"/>
        </w:rPr>
        <w:t xml:space="preserve">was </w:t>
      </w:r>
      <w:r w:rsidR="00F26FA5">
        <w:rPr>
          <w:rFonts w:asciiTheme="majorHAnsi" w:hAnsiTheme="majorHAnsi" w:cstheme="majorHAnsi"/>
          <w:sz w:val="22"/>
          <w:szCs w:val="22"/>
        </w:rPr>
        <w:t>bigger in the PAI group at 25%</w:t>
      </w:r>
      <w:r w:rsidR="00841F57">
        <w:rPr>
          <w:rFonts w:asciiTheme="majorHAnsi" w:hAnsiTheme="majorHAnsi" w:cstheme="majorHAnsi"/>
          <w:sz w:val="22"/>
          <w:szCs w:val="22"/>
        </w:rPr>
        <w:t xml:space="preserve"> compared to the </w:t>
      </w:r>
      <w:r w:rsidR="00F26FA5">
        <w:rPr>
          <w:rFonts w:asciiTheme="majorHAnsi" w:hAnsiTheme="majorHAnsi" w:cstheme="majorHAnsi"/>
          <w:sz w:val="22"/>
          <w:szCs w:val="22"/>
        </w:rPr>
        <w:t xml:space="preserve">16.7% </w:t>
      </w:r>
      <w:r w:rsidR="00841F57">
        <w:rPr>
          <w:rFonts w:asciiTheme="majorHAnsi" w:hAnsiTheme="majorHAnsi" w:cstheme="majorHAnsi"/>
          <w:sz w:val="22"/>
          <w:szCs w:val="22"/>
        </w:rPr>
        <w:t>in the SAI group.</w:t>
      </w:r>
      <w:r>
        <w:rPr>
          <w:rFonts w:asciiTheme="majorHAnsi" w:hAnsiTheme="majorHAnsi" w:cstheme="majorHAnsi"/>
          <w:sz w:val="22"/>
          <w:szCs w:val="22"/>
        </w:rPr>
        <w:t xml:space="preserve"> </w:t>
      </w:r>
      <w:r w:rsidR="009965E8">
        <w:rPr>
          <w:rFonts w:asciiTheme="majorHAnsi" w:hAnsiTheme="majorHAnsi" w:cstheme="majorHAnsi"/>
          <w:sz w:val="22"/>
          <w:szCs w:val="22"/>
        </w:rPr>
        <w:t>Higher mortality</w:t>
      </w:r>
      <w:r w:rsidR="00F26FA5">
        <w:rPr>
          <w:rFonts w:asciiTheme="majorHAnsi" w:hAnsiTheme="majorHAnsi" w:cstheme="majorHAnsi"/>
          <w:sz w:val="22"/>
          <w:szCs w:val="22"/>
        </w:rPr>
        <w:t xml:space="preserve"> rate in the PAI group which is double the non-AI group</w:t>
      </w:r>
      <w:r w:rsidR="009965E8">
        <w:rPr>
          <w:rFonts w:asciiTheme="majorHAnsi" w:hAnsiTheme="majorHAnsi" w:cstheme="majorHAnsi"/>
          <w:sz w:val="22"/>
          <w:szCs w:val="22"/>
        </w:rPr>
        <w:t xml:space="preserve"> suggests </w:t>
      </w:r>
      <w:r w:rsidR="00EC700D">
        <w:rPr>
          <w:rFonts w:asciiTheme="majorHAnsi" w:hAnsiTheme="majorHAnsi" w:cstheme="majorHAnsi"/>
          <w:sz w:val="22"/>
          <w:szCs w:val="22"/>
        </w:rPr>
        <w:t xml:space="preserve">that hypoadrenalism carries a higher risk of mortality </w:t>
      </w:r>
      <w:r w:rsidR="00347139">
        <w:rPr>
          <w:rFonts w:asciiTheme="majorHAnsi" w:hAnsiTheme="majorHAnsi" w:cstheme="majorHAnsi"/>
          <w:sz w:val="22"/>
          <w:szCs w:val="22"/>
        </w:rPr>
        <w:t>in patients with</w:t>
      </w:r>
      <w:r w:rsidR="00E5286B">
        <w:rPr>
          <w:rFonts w:asciiTheme="majorHAnsi" w:hAnsiTheme="majorHAnsi" w:cstheme="majorHAnsi"/>
          <w:sz w:val="22"/>
          <w:szCs w:val="22"/>
        </w:rPr>
        <w:t xml:space="preserve"> ad</w:t>
      </w:r>
      <w:r w:rsidR="00672F8E">
        <w:rPr>
          <w:rFonts w:asciiTheme="majorHAnsi" w:hAnsiTheme="majorHAnsi" w:cstheme="majorHAnsi"/>
          <w:sz w:val="22"/>
          <w:szCs w:val="22"/>
        </w:rPr>
        <w:t>vanced HIV</w:t>
      </w:r>
      <w:r w:rsidR="005E318D">
        <w:rPr>
          <w:rFonts w:asciiTheme="majorHAnsi" w:hAnsiTheme="majorHAnsi" w:cstheme="majorHAnsi"/>
          <w:sz w:val="22"/>
          <w:szCs w:val="22"/>
        </w:rPr>
        <w:t xml:space="preserve"> and </w:t>
      </w:r>
      <w:r w:rsidR="00F72054">
        <w:rPr>
          <w:rFonts w:asciiTheme="majorHAnsi" w:hAnsiTheme="majorHAnsi" w:cstheme="majorHAnsi"/>
          <w:sz w:val="22"/>
          <w:szCs w:val="22"/>
        </w:rPr>
        <w:t>thus justifies screening for it</w:t>
      </w:r>
      <w:r w:rsidR="00672F8E">
        <w:rPr>
          <w:rFonts w:asciiTheme="majorHAnsi" w:hAnsiTheme="majorHAnsi" w:cstheme="majorHAnsi"/>
          <w:sz w:val="22"/>
          <w:szCs w:val="22"/>
        </w:rPr>
        <w:t xml:space="preserve"> in these</w:t>
      </w:r>
      <w:r w:rsidR="00F72054">
        <w:rPr>
          <w:rFonts w:asciiTheme="majorHAnsi" w:hAnsiTheme="majorHAnsi" w:cstheme="majorHAnsi"/>
          <w:sz w:val="22"/>
          <w:szCs w:val="22"/>
        </w:rPr>
        <w:t xml:space="preserve"> </w:t>
      </w:r>
      <w:r w:rsidR="00DD51BC">
        <w:rPr>
          <w:rFonts w:asciiTheme="majorHAnsi" w:hAnsiTheme="majorHAnsi" w:cstheme="majorHAnsi"/>
          <w:sz w:val="22"/>
          <w:szCs w:val="22"/>
        </w:rPr>
        <w:t>patient</w:t>
      </w:r>
      <w:bookmarkEnd w:id="21"/>
      <w:r w:rsidR="00FE444F">
        <w:rPr>
          <w:rFonts w:asciiTheme="majorHAnsi" w:hAnsiTheme="majorHAnsi" w:cstheme="majorHAnsi"/>
          <w:sz w:val="22"/>
          <w:szCs w:val="22"/>
        </w:rPr>
        <w:t>s.</w:t>
      </w:r>
    </w:p>
    <w:p w14:paraId="11E51AD2" w14:textId="4C613F4E" w:rsidR="00A71D8E" w:rsidRPr="00261FEB" w:rsidRDefault="003E5267" w:rsidP="000002AF">
      <w:pPr>
        <w:pStyle w:val="BodyText"/>
        <w:rPr>
          <w:rFonts w:asciiTheme="majorHAnsi" w:hAnsiTheme="majorHAnsi" w:cstheme="majorHAnsi"/>
          <w:b/>
          <w:bCs/>
          <w:sz w:val="22"/>
          <w:szCs w:val="22"/>
        </w:rPr>
      </w:pPr>
      <w:r w:rsidRPr="00261FEB">
        <w:rPr>
          <w:rFonts w:asciiTheme="majorHAnsi" w:hAnsiTheme="majorHAnsi" w:cstheme="majorHAnsi"/>
          <w:b/>
          <w:bCs/>
          <w:sz w:val="22"/>
          <w:szCs w:val="22"/>
        </w:rPr>
        <w:t>References</w:t>
      </w:r>
      <w:r w:rsidR="00DB1779" w:rsidRPr="00261FEB">
        <w:rPr>
          <w:rFonts w:asciiTheme="majorHAnsi" w:hAnsiTheme="majorHAnsi" w:cstheme="majorHAnsi"/>
          <w:b/>
          <w:bCs/>
          <w:sz w:val="22"/>
          <w:szCs w:val="22"/>
        </w:rPr>
        <w:t>:</w:t>
      </w:r>
    </w:p>
    <w:p w14:paraId="0D00A9C5" w14:textId="77777777" w:rsidR="00536C2B" w:rsidRPr="00536C2B" w:rsidRDefault="00A71D8E" w:rsidP="00536C2B">
      <w:pPr>
        <w:pStyle w:val="EndNoteBibliography"/>
        <w:spacing w:after="0"/>
        <w:ind w:left="720" w:hanging="720"/>
        <w:rPr>
          <w:noProof/>
        </w:rPr>
      </w:pPr>
      <w:r w:rsidRPr="00AD1FA0">
        <w:rPr>
          <w:rFonts w:asciiTheme="majorHAnsi" w:hAnsiTheme="majorHAnsi" w:cstheme="majorHAnsi"/>
          <w:sz w:val="22"/>
          <w:szCs w:val="22"/>
        </w:rPr>
        <w:fldChar w:fldCharType="begin"/>
      </w:r>
      <w:r w:rsidRPr="00AD1FA0">
        <w:rPr>
          <w:rFonts w:asciiTheme="majorHAnsi" w:hAnsiTheme="majorHAnsi" w:cstheme="majorHAnsi"/>
          <w:sz w:val="22"/>
          <w:szCs w:val="22"/>
        </w:rPr>
        <w:instrText xml:space="preserve"> ADDIN EN.REFLIST </w:instrText>
      </w:r>
      <w:r w:rsidRPr="00AD1FA0">
        <w:rPr>
          <w:rFonts w:asciiTheme="majorHAnsi" w:hAnsiTheme="majorHAnsi" w:cstheme="majorHAnsi"/>
          <w:sz w:val="22"/>
          <w:szCs w:val="22"/>
        </w:rPr>
        <w:fldChar w:fldCharType="separate"/>
      </w:r>
      <w:r w:rsidR="00536C2B" w:rsidRPr="00536C2B">
        <w:rPr>
          <w:noProof/>
        </w:rPr>
        <w:t>1.</w:t>
      </w:r>
      <w:r w:rsidR="00536C2B" w:rsidRPr="00536C2B">
        <w:rPr>
          <w:noProof/>
        </w:rPr>
        <w:tab/>
        <w:t xml:space="preserve">Dunlop D. Eight-six Cases of Addison's Disease. </w:t>
      </w:r>
      <w:r w:rsidR="00536C2B" w:rsidRPr="00536C2B">
        <w:rPr>
          <w:i/>
          <w:noProof/>
        </w:rPr>
        <w:t>British medical journal</w:t>
      </w:r>
      <w:r w:rsidR="00536C2B" w:rsidRPr="00536C2B">
        <w:rPr>
          <w:noProof/>
        </w:rPr>
        <w:t>.</w:t>
      </w:r>
      <w:r w:rsidR="00536C2B" w:rsidRPr="00536C2B">
        <w:rPr>
          <w:i/>
          <w:noProof/>
        </w:rPr>
        <w:t xml:space="preserve"> </w:t>
      </w:r>
      <w:r w:rsidR="00536C2B" w:rsidRPr="00536C2B">
        <w:rPr>
          <w:noProof/>
        </w:rPr>
        <w:t>1963;2(5362):887.</w:t>
      </w:r>
    </w:p>
    <w:p w14:paraId="05AC4E9D" w14:textId="77777777" w:rsidR="00536C2B" w:rsidRPr="00536C2B" w:rsidRDefault="00536C2B" w:rsidP="00536C2B">
      <w:pPr>
        <w:pStyle w:val="EndNoteBibliography"/>
        <w:spacing w:after="0"/>
        <w:ind w:left="720" w:hanging="720"/>
        <w:rPr>
          <w:noProof/>
        </w:rPr>
      </w:pPr>
      <w:r w:rsidRPr="00536C2B">
        <w:rPr>
          <w:noProof/>
        </w:rPr>
        <w:t>2.</w:t>
      </w:r>
      <w:r w:rsidRPr="00536C2B">
        <w:rPr>
          <w:noProof/>
        </w:rPr>
        <w:tab/>
        <w:t xml:space="preserve">Betterle C, Morlin L. Autoimmune Addison’s disease. </w:t>
      </w:r>
      <w:r w:rsidRPr="00536C2B">
        <w:rPr>
          <w:i/>
          <w:noProof/>
        </w:rPr>
        <w:t>Pediatric Adrenal Diseases</w:t>
      </w:r>
      <w:r w:rsidRPr="00536C2B">
        <w:rPr>
          <w:noProof/>
        </w:rPr>
        <w:t>.</w:t>
      </w:r>
      <w:r w:rsidRPr="00536C2B">
        <w:rPr>
          <w:i/>
          <w:noProof/>
        </w:rPr>
        <w:t xml:space="preserve"> </w:t>
      </w:r>
      <w:r w:rsidRPr="00536C2B">
        <w:rPr>
          <w:noProof/>
        </w:rPr>
        <w:t>2011;20:161-172.</w:t>
      </w:r>
    </w:p>
    <w:p w14:paraId="6750F73A" w14:textId="77777777" w:rsidR="00536C2B" w:rsidRPr="00536C2B" w:rsidRDefault="00536C2B" w:rsidP="00536C2B">
      <w:pPr>
        <w:pStyle w:val="EndNoteBibliography"/>
        <w:spacing w:after="0"/>
        <w:ind w:left="720" w:hanging="720"/>
        <w:rPr>
          <w:noProof/>
        </w:rPr>
      </w:pPr>
      <w:r w:rsidRPr="00536C2B">
        <w:rPr>
          <w:noProof/>
        </w:rPr>
        <w:t>3.</w:t>
      </w:r>
      <w:r w:rsidRPr="00536C2B">
        <w:rPr>
          <w:noProof/>
        </w:rPr>
        <w:tab/>
        <w:t xml:space="preserve">Mofokeng TR, Beshyah SA, Mahomed F, Ndlovu KC, Ross IL. Significant barriers to diagnosis and management of adrenal insufficiency in Africa. </w:t>
      </w:r>
      <w:r w:rsidRPr="00536C2B">
        <w:rPr>
          <w:i/>
          <w:noProof/>
        </w:rPr>
        <w:t>Endocrine connections</w:t>
      </w:r>
      <w:r w:rsidRPr="00536C2B">
        <w:rPr>
          <w:noProof/>
        </w:rPr>
        <w:t>.</w:t>
      </w:r>
      <w:r w:rsidRPr="00536C2B">
        <w:rPr>
          <w:i/>
          <w:noProof/>
        </w:rPr>
        <w:t xml:space="preserve"> </w:t>
      </w:r>
      <w:r w:rsidRPr="00536C2B">
        <w:rPr>
          <w:noProof/>
        </w:rPr>
        <w:t>2020;9(5):445-456.</w:t>
      </w:r>
    </w:p>
    <w:p w14:paraId="40E44F4A" w14:textId="77777777" w:rsidR="00536C2B" w:rsidRPr="00536C2B" w:rsidRDefault="00536C2B" w:rsidP="00536C2B">
      <w:pPr>
        <w:pStyle w:val="EndNoteBibliography"/>
        <w:spacing w:after="0"/>
        <w:ind w:left="720" w:hanging="720"/>
        <w:rPr>
          <w:noProof/>
        </w:rPr>
      </w:pPr>
      <w:r w:rsidRPr="00536C2B">
        <w:rPr>
          <w:noProof/>
        </w:rPr>
        <w:t>4.</w:t>
      </w:r>
      <w:r w:rsidRPr="00536C2B">
        <w:rPr>
          <w:noProof/>
        </w:rPr>
        <w:tab/>
        <w:t xml:space="preserve">Mofokeng TRP, Ndlovu KCZ, Beshyah SA, Ross IL. Tiered healthcare in South Africa exposes deficiencies in management and more patients with infectious etiology of primary adrenal insufficiency. </w:t>
      </w:r>
      <w:r w:rsidRPr="00536C2B">
        <w:rPr>
          <w:i/>
          <w:noProof/>
        </w:rPr>
        <w:t>Plos one</w:t>
      </w:r>
      <w:r w:rsidRPr="00536C2B">
        <w:rPr>
          <w:noProof/>
        </w:rPr>
        <w:t>.</w:t>
      </w:r>
      <w:r w:rsidRPr="00536C2B">
        <w:rPr>
          <w:i/>
          <w:noProof/>
        </w:rPr>
        <w:t xml:space="preserve"> </w:t>
      </w:r>
      <w:r w:rsidRPr="00536C2B">
        <w:rPr>
          <w:noProof/>
        </w:rPr>
        <w:t>2020;15(11):e0241845.</w:t>
      </w:r>
    </w:p>
    <w:p w14:paraId="719A12B0" w14:textId="77777777" w:rsidR="00536C2B" w:rsidRPr="00536C2B" w:rsidRDefault="00536C2B" w:rsidP="00536C2B">
      <w:pPr>
        <w:pStyle w:val="EndNoteBibliography"/>
        <w:spacing w:after="0"/>
        <w:ind w:left="720" w:hanging="720"/>
        <w:rPr>
          <w:noProof/>
        </w:rPr>
      </w:pPr>
      <w:r w:rsidRPr="00536C2B">
        <w:rPr>
          <w:noProof/>
        </w:rPr>
        <w:t>5.</w:t>
      </w:r>
      <w:r w:rsidRPr="00536C2B">
        <w:rPr>
          <w:noProof/>
        </w:rPr>
        <w:tab/>
        <w:t xml:space="preserve">Sinha U, Sengupta N, Mukhopadhyay P, Roy KS. Human immunodeficiency virus endocrinopathy. </w:t>
      </w:r>
      <w:r w:rsidRPr="00536C2B">
        <w:rPr>
          <w:i/>
          <w:noProof/>
        </w:rPr>
        <w:t>Indian journal of endocrinology and metabolism</w:t>
      </w:r>
      <w:r w:rsidRPr="00536C2B">
        <w:rPr>
          <w:noProof/>
        </w:rPr>
        <w:t>.</w:t>
      </w:r>
      <w:r w:rsidRPr="00536C2B">
        <w:rPr>
          <w:i/>
          <w:noProof/>
        </w:rPr>
        <w:t xml:space="preserve"> </w:t>
      </w:r>
      <w:r w:rsidRPr="00536C2B">
        <w:rPr>
          <w:noProof/>
        </w:rPr>
        <w:t>2011;15(4):251.</w:t>
      </w:r>
    </w:p>
    <w:p w14:paraId="2F9D3BEE" w14:textId="77777777" w:rsidR="00536C2B" w:rsidRPr="00536C2B" w:rsidRDefault="00536C2B" w:rsidP="00536C2B">
      <w:pPr>
        <w:pStyle w:val="EndNoteBibliography"/>
        <w:spacing w:after="0"/>
        <w:ind w:left="720" w:hanging="720"/>
        <w:rPr>
          <w:noProof/>
        </w:rPr>
      </w:pPr>
      <w:r w:rsidRPr="00536C2B">
        <w:rPr>
          <w:noProof/>
        </w:rPr>
        <w:t>6.</w:t>
      </w:r>
      <w:r w:rsidRPr="00536C2B">
        <w:rPr>
          <w:noProof/>
        </w:rPr>
        <w:tab/>
        <w:t xml:space="preserve">Nieman LK, Lacroix A, Martin K. Clinical manifestations of adrenal insufficiency in adults. </w:t>
      </w:r>
      <w:r w:rsidRPr="00536C2B">
        <w:rPr>
          <w:i/>
          <w:noProof/>
        </w:rPr>
        <w:t>Retrieved March</w:t>
      </w:r>
      <w:r w:rsidRPr="00536C2B">
        <w:rPr>
          <w:noProof/>
        </w:rPr>
        <w:t>.</w:t>
      </w:r>
      <w:r w:rsidRPr="00536C2B">
        <w:rPr>
          <w:i/>
          <w:noProof/>
        </w:rPr>
        <w:t xml:space="preserve"> </w:t>
      </w:r>
      <w:r w:rsidRPr="00536C2B">
        <w:rPr>
          <w:noProof/>
        </w:rPr>
        <w:t>2018.</w:t>
      </w:r>
    </w:p>
    <w:p w14:paraId="29DFD354" w14:textId="77777777" w:rsidR="00536C2B" w:rsidRPr="00536C2B" w:rsidRDefault="00536C2B" w:rsidP="00536C2B">
      <w:pPr>
        <w:pStyle w:val="EndNoteBibliography"/>
        <w:spacing w:after="0"/>
        <w:ind w:left="720" w:hanging="720"/>
        <w:rPr>
          <w:noProof/>
        </w:rPr>
      </w:pPr>
      <w:r w:rsidRPr="00536C2B">
        <w:rPr>
          <w:noProof/>
        </w:rPr>
        <w:t>7.</w:t>
      </w:r>
      <w:r w:rsidRPr="00536C2B">
        <w:rPr>
          <w:noProof/>
        </w:rPr>
        <w:tab/>
        <w:t xml:space="preserve">Hofbauer LC, Heufelder AE. Endocrine implications of human immunodeficiency virus infection. </w:t>
      </w:r>
      <w:r w:rsidRPr="00536C2B">
        <w:rPr>
          <w:i/>
          <w:noProof/>
        </w:rPr>
        <w:t>Medicine</w:t>
      </w:r>
      <w:r w:rsidRPr="00536C2B">
        <w:rPr>
          <w:noProof/>
        </w:rPr>
        <w:t>.</w:t>
      </w:r>
      <w:r w:rsidRPr="00536C2B">
        <w:rPr>
          <w:i/>
          <w:noProof/>
        </w:rPr>
        <w:t xml:space="preserve"> </w:t>
      </w:r>
      <w:r w:rsidRPr="00536C2B">
        <w:rPr>
          <w:noProof/>
        </w:rPr>
        <w:t>1996;75(5):262-278.</w:t>
      </w:r>
    </w:p>
    <w:p w14:paraId="0F2264F7" w14:textId="77777777" w:rsidR="00536C2B" w:rsidRPr="00536C2B" w:rsidRDefault="00536C2B" w:rsidP="00536C2B">
      <w:pPr>
        <w:pStyle w:val="EndNoteBibliography"/>
        <w:spacing w:after="0"/>
        <w:ind w:left="720" w:hanging="720"/>
        <w:rPr>
          <w:noProof/>
        </w:rPr>
      </w:pPr>
      <w:r w:rsidRPr="00536C2B">
        <w:rPr>
          <w:noProof/>
        </w:rPr>
        <w:t>8.</w:t>
      </w:r>
      <w:r w:rsidRPr="00536C2B">
        <w:rPr>
          <w:noProof/>
        </w:rPr>
        <w:tab/>
        <w:t xml:space="preserve">Afreen B, Khan KA, Riaz A. Adrenal insufficiency in Pakistani HIV infected patients. </w:t>
      </w:r>
      <w:r w:rsidRPr="00536C2B">
        <w:rPr>
          <w:i/>
          <w:noProof/>
        </w:rPr>
        <w:t>Journal of Ayub Medical College Abbottabad</w:t>
      </w:r>
      <w:r w:rsidRPr="00536C2B">
        <w:rPr>
          <w:noProof/>
        </w:rPr>
        <w:t>.</w:t>
      </w:r>
      <w:r w:rsidRPr="00536C2B">
        <w:rPr>
          <w:i/>
          <w:noProof/>
        </w:rPr>
        <w:t xml:space="preserve"> </w:t>
      </w:r>
      <w:r w:rsidRPr="00536C2B">
        <w:rPr>
          <w:noProof/>
        </w:rPr>
        <w:t>2017;29(3):428-431.</w:t>
      </w:r>
    </w:p>
    <w:p w14:paraId="5502C2A4" w14:textId="77777777" w:rsidR="00536C2B" w:rsidRPr="00536C2B" w:rsidRDefault="00536C2B" w:rsidP="00536C2B">
      <w:pPr>
        <w:pStyle w:val="EndNoteBibliography"/>
        <w:spacing w:after="0"/>
        <w:ind w:left="720" w:hanging="720"/>
        <w:rPr>
          <w:noProof/>
        </w:rPr>
      </w:pPr>
      <w:r w:rsidRPr="00536C2B">
        <w:rPr>
          <w:noProof/>
        </w:rPr>
        <w:t>9.</w:t>
      </w:r>
      <w:r w:rsidRPr="00536C2B">
        <w:rPr>
          <w:noProof/>
        </w:rPr>
        <w:tab/>
        <w:t xml:space="preserve">Odeniyi I, Fasanmade O, Ajala M, Ohwovoriole A. Adrenocortical function in Nigerians with human immunodeficiency virus infection. </w:t>
      </w:r>
      <w:r w:rsidRPr="00536C2B">
        <w:rPr>
          <w:i/>
          <w:noProof/>
        </w:rPr>
        <w:t>Ghana Medical Journal</w:t>
      </w:r>
      <w:r w:rsidRPr="00536C2B">
        <w:rPr>
          <w:noProof/>
        </w:rPr>
        <w:t>.</w:t>
      </w:r>
      <w:r w:rsidRPr="00536C2B">
        <w:rPr>
          <w:i/>
          <w:noProof/>
        </w:rPr>
        <w:t xml:space="preserve"> </w:t>
      </w:r>
      <w:r w:rsidRPr="00536C2B">
        <w:rPr>
          <w:noProof/>
        </w:rPr>
        <w:t>2013;47(4):171.</w:t>
      </w:r>
    </w:p>
    <w:p w14:paraId="0E27CFF3" w14:textId="77777777" w:rsidR="00536C2B" w:rsidRPr="00536C2B" w:rsidRDefault="00536C2B" w:rsidP="00536C2B">
      <w:pPr>
        <w:pStyle w:val="EndNoteBibliography"/>
        <w:spacing w:after="0"/>
        <w:ind w:left="720" w:hanging="720"/>
        <w:rPr>
          <w:noProof/>
        </w:rPr>
      </w:pPr>
      <w:r w:rsidRPr="00536C2B">
        <w:rPr>
          <w:noProof/>
        </w:rPr>
        <w:t>10.</w:t>
      </w:r>
      <w:r w:rsidRPr="00536C2B">
        <w:rPr>
          <w:noProof/>
        </w:rPr>
        <w:tab/>
        <w:t xml:space="preserve">Goliber T. The status of the HIV/AIDS epidemic in Sub-Saharan Africa. </w:t>
      </w:r>
      <w:r w:rsidRPr="00536C2B">
        <w:rPr>
          <w:i/>
          <w:noProof/>
        </w:rPr>
        <w:t>Population Reference Bureau</w:t>
      </w:r>
      <w:r w:rsidRPr="00536C2B">
        <w:rPr>
          <w:noProof/>
        </w:rPr>
        <w:t>.</w:t>
      </w:r>
      <w:r w:rsidRPr="00536C2B">
        <w:rPr>
          <w:i/>
          <w:noProof/>
        </w:rPr>
        <w:t xml:space="preserve"> </w:t>
      </w:r>
      <w:r w:rsidRPr="00536C2B">
        <w:rPr>
          <w:noProof/>
        </w:rPr>
        <w:t>2002.</w:t>
      </w:r>
    </w:p>
    <w:p w14:paraId="2CBAC8AD" w14:textId="77777777" w:rsidR="00536C2B" w:rsidRPr="00536C2B" w:rsidRDefault="00536C2B" w:rsidP="00536C2B">
      <w:pPr>
        <w:pStyle w:val="EndNoteBibliography"/>
        <w:spacing w:after="0"/>
        <w:ind w:left="720" w:hanging="720"/>
        <w:rPr>
          <w:noProof/>
        </w:rPr>
      </w:pPr>
      <w:r w:rsidRPr="00536C2B">
        <w:rPr>
          <w:noProof/>
        </w:rPr>
        <w:t>11.</w:t>
      </w:r>
      <w:r w:rsidRPr="00536C2B">
        <w:rPr>
          <w:noProof/>
        </w:rPr>
        <w:tab/>
        <w:t xml:space="preserve">Jani C, Patel K, Walker A, Singh H, Al Omari O, Crowley C, Marshall DC, Goodall R, Rupal A, Salciccioli JD. Trends of HIV mortality between 2001 and 2018: An observational analysis. </w:t>
      </w:r>
      <w:r w:rsidRPr="00536C2B">
        <w:rPr>
          <w:i/>
          <w:noProof/>
        </w:rPr>
        <w:t>Tropical Medicine and Infectious Disease</w:t>
      </w:r>
      <w:r w:rsidRPr="00536C2B">
        <w:rPr>
          <w:noProof/>
        </w:rPr>
        <w:t>.</w:t>
      </w:r>
      <w:r w:rsidRPr="00536C2B">
        <w:rPr>
          <w:i/>
          <w:noProof/>
        </w:rPr>
        <w:t xml:space="preserve"> </w:t>
      </w:r>
      <w:r w:rsidRPr="00536C2B">
        <w:rPr>
          <w:noProof/>
        </w:rPr>
        <w:t>2021;6(4):173.</w:t>
      </w:r>
    </w:p>
    <w:p w14:paraId="2CEBFC58" w14:textId="77777777" w:rsidR="00536C2B" w:rsidRPr="00536C2B" w:rsidRDefault="00536C2B" w:rsidP="00536C2B">
      <w:pPr>
        <w:pStyle w:val="EndNoteBibliography"/>
        <w:spacing w:after="0"/>
        <w:ind w:left="720" w:hanging="720"/>
        <w:rPr>
          <w:noProof/>
        </w:rPr>
      </w:pPr>
      <w:r w:rsidRPr="00536C2B">
        <w:rPr>
          <w:noProof/>
        </w:rPr>
        <w:t>12.</w:t>
      </w:r>
      <w:r w:rsidRPr="00536C2B">
        <w:rPr>
          <w:noProof/>
        </w:rPr>
        <w:tab/>
        <w:t xml:space="preserve">Boulle A, Schomaker M, May MT, Hogg RS, Shepherd BE, Monge S, Keiser O, Lampe FC, Giddy J, Ndirangu J. Mortality in patients with HIV-1 infection starting antiretroviral therapy in South Africa, Europe, or North America: a collaborative analysis of prospective studies. </w:t>
      </w:r>
      <w:r w:rsidRPr="00536C2B">
        <w:rPr>
          <w:i/>
          <w:noProof/>
        </w:rPr>
        <w:t>PLoS medicine</w:t>
      </w:r>
      <w:r w:rsidRPr="00536C2B">
        <w:rPr>
          <w:noProof/>
        </w:rPr>
        <w:t>.</w:t>
      </w:r>
      <w:r w:rsidRPr="00536C2B">
        <w:rPr>
          <w:i/>
          <w:noProof/>
        </w:rPr>
        <w:t xml:space="preserve"> </w:t>
      </w:r>
      <w:r w:rsidRPr="00536C2B">
        <w:rPr>
          <w:noProof/>
        </w:rPr>
        <w:t>2014;11(9):e1001718.</w:t>
      </w:r>
    </w:p>
    <w:p w14:paraId="30D340CA" w14:textId="77777777" w:rsidR="00536C2B" w:rsidRPr="00536C2B" w:rsidRDefault="00536C2B" w:rsidP="00536C2B">
      <w:pPr>
        <w:pStyle w:val="EndNoteBibliography"/>
        <w:spacing w:after="0"/>
        <w:ind w:left="720" w:hanging="720"/>
        <w:rPr>
          <w:noProof/>
        </w:rPr>
      </w:pPr>
      <w:r w:rsidRPr="00536C2B">
        <w:rPr>
          <w:noProof/>
        </w:rPr>
        <w:t>13.</w:t>
      </w:r>
      <w:r w:rsidRPr="00536C2B">
        <w:rPr>
          <w:noProof/>
        </w:rPr>
        <w:tab/>
        <w:t xml:space="preserve">Lousada LM, Mendonca BB, Bachega TA. Adrenal crisis and mortality rate in adrenal insufficiency and congenital adrenal hyperplasia. </w:t>
      </w:r>
      <w:r w:rsidRPr="00536C2B">
        <w:rPr>
          <w:i/>
          <w:noProof/>
        </w:rPr>
        <w:t>Archives of Endocrinology and Metabolism</w:t>
      </w:r>
      <w:r w:rsidRPr="00536C2B">
        <w:rPr>
          <w:noProof/>
        </w:rPr>
        <w:t>.</w:t>
      </w:r>
      <w:r w:rsidRPr="00536C2B">
        <w:rPr>
          <w:i/>
          <w:noProof/>
        </w:rPr>
        <w:t xml:space="preserve"> </w:t>
      </w:r>
      <w:r w:rsidRPr="00536C2B">
        <w:rPr>
          <w:noProof/>
        </w:rPr>
        <w:t>2021;65:488-494.</w:t>
      </w:r>
    </w:p>
    <w:p w14:paraId="6651D67D" w14:textId="77777777" w:rsidR="00536C2B" w:rsidRPr="00536C2B" w:rsidRDefault="00536C2B" w:rsidP="00536C2B">
      <w:pPr>
        <w:pStyle w:val="EndNoteBibliography"/>
        <w:spacing w:after="0"/>
        <w:ind w:left="720" w:hanging="720"/>
        <w:rPr>
          <w:noProof/>
        </w:rPr>
      </w:pPr>
      <w:r w:rsidRPr="00536C2B">
        <w:rPr>
          <w:noProof/>
        </w:rPr>
        <w:t>14.</w:t>
      </w:r>
      <w:r w:rsidRPr="00536C2B">
        <w:rPr>
          <w:noProof/>
        </w:rPr>
        <w:tab/>
        <w:t xml:space="preserve">Bergthorsdottir R, Leonsson-Zachrisson M, Odén A, Johannsson G. Premature mortality in patients with Addison’s disease: a population-based study. </w:t>
      </w:r>
      <w:r w:rsidRPr="00536C2B">
        <w:rPr>
          <w:i/>
          <w:noProof/>
        </w:rPr>
        <w:t>The Journal of Clinical Endocrinology &amp; Metabolism</w:t>
      </w:r>
      <w:r w:rsidRPr="00536C2B">
        <w:rPr>
          <w:noProof/>
        </w:rPr>
        <w:t>.</w:t>
      </w:r>
      <w:r w:rsidRPr="00536C2B">
        <w:rPr>
          <w:i/>
          <w:noProof/>
        </w:rPr>
        <w:t xml:space="preserve"> </w:t>
      </w:r>
      <w:r w:rsidRPr="00536C2B">
        <w:rPr>
          <w:noProof/>
        </w:rPr>
        <w:t>2006;91(12):4849-4853.</w:t>
      </w:r>
    </w:p>
    <w:p w14:paraId="11D28594" w14:textId="77777777" w:rsidR="00536C2B" w:rsidRPr="00536C2B" w:rsidRDefault="00536C2B" w:rsidP="00536C2B">
      <w:pPr>
        <w:pStyle w:val="EndNoteBibliography"/>
        <w:spacing w:after="0"/>
        <w:ind w:left="720" w:hanging="720"/>
        <w:rPr>
          <w:noProof/>
        </w:rPr>
      </w:pPr>
      <w:r w:rsidRPr="00536C2B">
        <w:rPr>
          <w:noProof/>
        </w:rPr>
        <w:t>15.</w:t>
      </w:r>
      <w:r w:rsidRPr="00536C2B">
        <w:rPr>
          <w:noProof/>
        </w:rPr>
        <w:tab/>
        <w:t xml:space="preserve">Husebye ES, Pearce SH, Krone NP, Kämpe O. Adrenal insufficiency. </w:t>
      </w:r>
      <w:r w:rsidRPr="00536C2B">
        <w:rPr>
          <w:i/>
          <w:noProof/>
        </w:rPr>
        <w:t>The Lancet</w:t>
      </w:r>
      <w:r w:rsidRPr="00536C2B">
        <w:rPr>
          <w:noProof/>
        </w:rPr>
        <w:t>.</w:t>
      </w:r>
      <w:r w:rsidRPr="00536C2B">
        <w:rPr>
          <w:i/>
          <w:noProof/>
        </w:rPr>
        <w:t xml:space="preserve"> </w:t>
      </w:r>
      <w:r w:rsidRPr="00536C2B">
        <w:rPr>
          <w:noProof/>
        </w:rPr>
        <w:t>2021;397(10274):613-629.</w:t>
      </w:r>
    </w:p>
    <w:p w14:paraId="2D1F902D" w14:textId="77777777" w:rsidR="00536C2B" w:rsidRPr="00800C8C" w:rsidRDefault="00536C2B" w:rsidP="00536C2B">
      <w:pPr>
        <w:pStyle w:val="EndNoteBibliography"/>
        <w:spacing w:after="0"/>
        <w:ind w:left="720" w:hanging="720"/>
        <w:rPr>
          <w:noProof/>
          <w:lang w:val="it-IT"/>
        </w:rPr>
      </w:pPr>
      <w:r w:rsidRPr="00536C2B">
        <w:rPr>
          <w:noProof/>
        </w:rPr>
        <w:lastRenderedPageBreak/>
        <w:t>16.</w:t>
      </w:r>
      <w:r w:rsidRPr="00536C2B">
        <w:rPr>
          <w:noProof/>
        </w:rPr>
        <w:tab/>
        <w:t xml:space="preserve">Karmpaliotis D, Kirtane AJ, Ruisi CP, Polonsky T, Malhotra A, Talmor D, Kosmidou I, Jarolim P, de Lemos JA, Sabatine MS, Gibson CM, Morrow D. Diagnostic and prognostic utility of brain natriuretic Peptide in subjects admitted to the ICU with hypoxic respiratory failure due to noncardiogenic and cardiogenic pulmonary edema. </w:t>
      </w:r>
      <w:r w:rsidRPr="00800C8C">
        <w:rPr>
          <w:i/>
          <w:noProof/>
          <w:lang w:val="it-IT"/>
        </w:rPr>
        <w:t>Chest</w:t>
      </w:r>
      <w:r w:rsidRPr="00800C8C">
        <w:rPr>
          <w:noProof/>
          <w:lang w:val="it-IT"/>
        </w:rPr>
        <w:t>.</w:t>
      </w:r>
      <w:r w:rsidRPr="00800C8C">
        <w:rPr>
          <w:i/>
          <w:noProof/>
          <w:lang w:val="it-IT"/>
        </w:rPr>
        <w:t xml:space="preserve"> </w:t>
      </w:r>
      <w:r w:rsidRPr="00800C8C">
        <w:rPr>
          <w:noProof/>
          <w:lang w:val="it-IT"/>
        </w:rPr>
        <w:t>2007;131(4):964-971.</w:t>
      </w:r>
    </w:p>
    <w:p w14:paraId="184C6FD0" w14:textId="77777777" w:rsidR="00536C2B" w:rsidRPr="009508A5" w:rsidRDefault="00536C2B" w:rsidP="00536C2B">
      <w:pPr>
        <w:pStyle w:val="EndNoteBibliography"/>
        <w:spacing w:after="0"/>
        <w:ind w:left="720" w:hanging="720"/>
        <w:rPr>
          <w:noProof/>
          <w:lang w:val="it-IT"/>
        </w:rPr>
      </w:pPr>
      <w:r w:rsidRPr="00800C8C">
        <w:rPr>
          <w:noProof/>
          <w:lang w:val="it-IT"/>
        </w:rPr>
        <w:t>17.</w:t>
      </w:r>
      <w:r w:rsidRPr="00800C8C">
        <w:rPr>
          <w:noProof/>
          <w:lang w:val="it-IT"/>
        </w:rPr>
        <w:tab/>
        <w:t xml:space="preserve">Cavalcanti DM, Lotufo CM, Borelli P, Tavassi AMC, Pereira AL, Markus RP, Farsky SH. </w:t>
      </w:r>
      <w:r w:rsidRPr="00536C2B">
        <w:rPr>
          <w:noProof/>
        </w:rPr>
        <w:t xml:space="preserve">Adrenal deficiency alters mechanisms of neutrophil mobilization. </w:t>
      </w:r>
      <w:r w:rsidRPr="00536C2B">
        <w:rPr>
          <w:i/>
          <w:noProof/>
        </w:rPr>
        <w:t>Molecular and cellular endocrinology</w:t>
      </w:r>
      <w:r w:rsidRPr="00536C2B">
        <w:rPr>
          <w:noProof/>
        </w:rPr>
        <w:t>.</w:t>
      </w:r>
      <w:r w:rsidRPr="00536C2B">
        <w:rPr>
          <w:i/>
          <w:noProof/>
        </w:rPr>
        <w:t xml:space="preserve"> </w:t>
      </w:r>
      <w:r w:rsidRPr="009508A5">
        <w:rPr>
          <w:noProof/>
          <w:lang w:val="it-IT"/>
        </w:rPr>
        <w:t>2006;249(1-2):32-39.</w:t>
      </w:r>
    </w:p>
    <w:p w14:paraId="515ECC2C" w14:textId="77777777" w:rsidR="00536C2B" w:rsidRPr="00800C8C" w:rsidRDefault="00536C2B" w:rsidP="00536C2B">
      <w:pPr>
        <w:pStyle w:val="EndNoteBibliography"/>
        <w:spacing w:after="0"/>
        <w:ind w:left="720" w:hanging="720"/>
        <w:rPr>
          <w:noProof/>
          <w:lang w:val="en-ZA"/>
        </w:rPr>
      </w:pPr>
      <w:r w:rsidRPr="009508A5">
        <w:rPr>
          <w:noProof/>
          <w:lang w:val="it-IT"/>
        </w:rPr>
        <w:t>18.</w:t>
      </w:r>
      <w:r w:rsidRPr="009508A5">
        <w:rPr>
          <w:noProof/>
          <w:lang w:val="it-IT"/>
        </w:rPr>
        <w:tab/>
        <w:t xml:space="preserve">Ronchetti S, Ricci E, Migliorati G, Gentili M, Riccardi C. How glucocorticoids affect the neutrophil life. </w:t>
      </w:r>
      <w:r w:rsidRPr="00800C8C">
        <w:rPr>
          <w:i/>
          <w:noProof/>
          <w:lang w:val="en-ZA"/>
        </w:rPr>
        <w:t>International journal of molecular sciences</w:t>
      </w:r>
      <w:r w:rsidRPr="00800C8C">
        <w:rPr>
          <w:noProof/>
          <w:lang w:val="en-ZA"/>
        </w:rPr>
        <w:t>.</w:t>
      </w:r>
      <w:r w:rsidRPr="00800C8C">
        <w:rPr>
          <w:i/>
          <w:noProof/>
          <w:lang w:val="en-ZA"/>
        </w:rPr>
        <w:t xml:space="preserve"> </w:t>
      </w:r>
      <w:r w:rsidRPr="00800C8C">
        <w:rPr>
          <w:noProof/>
          <w:lang w:val="en-ZA"/>
        </w:rPr>
        <w:t>2018;19(12):4090.</w:t>
      </w:r>
    </w:p>
    <w:p w14:paraId="65EB9D08" w14:textId="77777777" w:rsidR="00536C2B" w:rsidRPr="00536C2B" w:rsidRDefault="00536C2B" w:rsidP="00536C2B">
      <w:pPr>
        <w:pStyle w:val="EndNoteBibliography"/>
        <w:ind w:left="720" w:hanging="720"/>
        <w:rPr>
          <w:noProof/>
        </w:rPr>
      </w:pPr>
      <w:r w:rsidRPr="00800C8C">
        <w:rPr>
          <w:noProof/>
          <w:lang w:val="en-ZA"/>
        </w:rPr>
        <w:t>19.</w:t>
      </w:r>
      <w:r w:rsidRPr="00800C8C">
        <w:rPr>
          <w:noProof/>
          <w:lang w:val="en-ZA"/>
        </w:rPr>
        <w:tab/>
        <w:t xml:space="preserve">Bancos I, Hazeldine J, Chortis V, Hampson P, Taylor AE, Lord JM, Arlt W. Primary adrenal insufficiency is associated with impaired natural killer cell function: a potential link to increased mortality. </w:t>
      </w:r>
      <w:r w:rsidRPr="00536C2B">
        <w:rPr>
          <w:i/>
          <w:noProof/>
        </w:rPr>
        <w:t>European journal of endocrinology</w:t>
      </w:r>
      <w:r w:rsidRPr="00536C2B">
        <w:rPr>
          <w:noProof/>
        </w:rPr>
        <w:t>.</w:t>
      </w:r>
      <w:r w:rsidRPr="00536C2B">
        <w:rPr>
          <w:i/>
          <w:noProof/>
        </w:rPr>
        <w:t xml:space="preserve"> </w:t>
      </w:r>
      <w:r w:rsidRPr="00536C2B">
        <w:rPr>
          <w:noProof/>
        </w:rPr>
        <w:t>2017;176(4):471-480.</w:t>
      </w:r>
    </w:p>
    <w:p w14:paraId="4E844990" w14:textId="2CAB8633" w:rsidR="00EB54DD" w:rsidRDefault="00A71D8E" w:rsidP="00977025">
      <w:pPr>
        <w:pStyle w:val="BodyText"/>
        <w:rPr>
          <w:rFonts w:asciiTheme="majorHAnsi" w:hAnsiTheme="majorHAnsi" w:cstheme="majorHAnsi"/>
          <w:sz w:val="22"/>
          <w:szCs w:val="22"/>
        </w:rPr>
      </w:pPr>
      <w:r w:rsidRPr="00AD1FA0">
        <w:rPr>
          <w:rFonts w:asciiTheme="majorHAnsi" w:hAnsiTheme="majorHAnsi" w:cstheme="majorHAnsi"/>
          <w:sz w:val="22"/>
          <w:szCs w:val="22"/>
        </w:rPr>
        <w:fldChar w:fldCharType="end"/>
      </w:r>
    </w:p>
    <w:p w14:paraId="09620789" w14:textId="77777777" w:rsidR="00636F6E" w:rsidRDefault="00636F6E" w:rsidP="001F1995">
      <w:pPr>
        <w:pStyle w:val="BodyText"/>
        <w:rPr>
          <w:rFonts w:asciiTheme="majorHAnsi" w:hAnsiTheme="majorHAnsi" w:cstheme="majorHAnsi"/>
          <w:sz w:val="22"/>
          <w:szCs w:val="22"/>
        </w:rPr>
      </w:pPr>
    </w:p>
    <w:p w14:paraId="10C7C593" w14:textId="77777777" w:rsidR="005067C7"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4392FE53" w14:textId="6D5B9900" w:rsidR="00A329F3" w:rsidRDefault="00A329F3" w:rsidP="001F1995">
      <w:pPr>
        <w:pStyle w:val="BodyText"/>
        <w:rPr>
          <w:rFonts w:asciiTheme="majorHAnsi" w:hAnsiTheme="majorHAnsi" w:cstheme="majorHAnsi"/>
          <w:sz w:val="22"/>
          <w:szCs w:val="22"/>
        </w:rPr>
      </w:pPr>
    </w:p>
    <w:tbl>
      <w:tblPr>
        <w:tblpPr w:leftFromText="180" w:rightFromText="180" w:vertAnchor="page" w:horzAnchor="page" w:tblpX="1" w:tblpY="1454"/>
        <w:tblW w:w="22200" w:type="dxa"/>
        <w:tblLook w:val="04A0" w:firstRow="1" w:lastRow="0" w:firstColumn="1" w:lastColumn="0" w:noHBand="0" w:noVBand="1"/>
      </w:tblPr>
      <w:tblGrid>
        <w:gridCol w:w="4440"/>
        <w:gridCol w:w="2648"/>
        <w:gridCol w:w="6232"/>
        <w:gridCol w:w="4440"/>
        <w:gridCol w:w="4440"/>
      </w:tblGrid>
      <w:tr w:rsidR="00735A5A" w:rsidRPr="003874DB" w14:paraId="7B811445" w14:textId="77777777" w:rsidTr="00735A5A">
        <w:trPr>
          <w:trHeight w:val="320"/>
        </w:trPr>
        <w:tc>
          <w:tcPr>
            <w:tcW w:w="4440" w:type="dxa"/>
            <w:tcBorders>
              <w:top w:val="nil"/>
              <w:left w:val="nil"/>
              <w:bottom w:val="nil"/>
              <w:right w:val="nil"/>
            </w:tcBorders>
            <w:shd w:val="clear" w:color="auto" w:fill="auto"/>
            <w:noWrap/>
            <w:vAlign w:val="bottom"/>
            <w:hideMark/>
          </w:tcPr>
          <w:p w14:paraId="40496A6C" w14:textId="77777777" w:rsidR="00735A5A" w:rsidRPr="003874DB" w:rsidRDefault="00735A5A" w:rsidP="00735A5A">
            <w:pPr>
              <w:pStyle w:val="BodyText"/>
              <w:rPr>
                <w:b/>
                <w:bCs/>
                <w:lang w:val="en-ZA"/>
              </w:rPr>
            </w:pPr>
            <w:r>
              <w:rPr>
                <w:b/>
                <w:bCs/>
                <w:lang w:val="en-ZA"/>
              </w:rPr>
              <w:t xml:space="preserve">                                    </w:t>
            </w:r>
          </w:p>
        </w:tc>
        <w:tc>
          <w:tcPr>
            <w:tcW w:w="2648" w:type="dxa"/>
            <w:tcBorders>
              <w:top w:val="nil"/>
              <w:left w:val="nil"/>
              <w:bottom w:val="nil"/>
              <w:right w:val="nil"/>
            </w:tcBorders>
            <w:shd w:val="clear" w:color="auto" w:fill="auto"/>
            <w:noWrap/>
            <w:vAlign w:val="bottom"/>
            <w:hideMark/>
          </w:tcPr>
          <w:p w14:paraId="5B84859A" w14:textId="77777777" w:rsidR="00735A5A" w:rsidRPr="003874DB" w:rsidRDefault="00735A5A" w:rsidP="00735A5A">
            <w:pPr>
              <w:pStyle w:val="BodyText"/>
              <w:rPr>
                <w:b/>
                <w:bCs/>
                <w:lang w:val="en-ZA"/>
              </w:rPr>
            </w:pPr>
          </w:p>
        </w:tc>
        <w:tc>
          <w:tcPr>
            <w:tcW w:w="6232" w:type="dxa"/>
            <w:tcBorders>
              <w:top w:val="nil"/>
              <w:left w:val="nil"/>
              <w:bottom w:val="nil"/>
              <w:right w:val="nil"/>
            </w:tcBorders>
            <w:shd w:val="clear" w:color="auto" w:fill="auto"/>
            <w:noWrap/>
            <w:vAlign w:val="bottom"/>
            <w:hideMark/>
          </w:tcPr>
          <w:p w14:paraId="06065305"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3BAB93C6" w14:textId="77777777" w:rsidR="00735A5A" w:rsidRPr="003874DB" w:rsidRDefault="00735A5A" w:rsidP="00735A5A">
            <w:pPr>
              <w:pStyle w:val="BodyText"/>
              <w:rPr>
                <w:b/>
                <w:bCs/>
                <w:lang w:val="en-ZA"/>
              </w:rPr>
            </w:pPr>
          </w:p>
        </w:tc>
        <w:tc>
          <w:tcPr>
            <w:tcW w:w="4440" w:type="dxa"/>
            <w:tcBorders>
              <w:top w:val="nil"/>
              <w:left w:val="nil"/>
              <w:bottom w:val="nil"/>
              <w:right w:val="nil"/>
            </w:tcBorders>
            <w:shd w:val="clear" w:color="auto" w:fill="auto"/>
            <w:noWrap/>
            <w:vAlign w:val="bottom"/>
            <w:hideMark/>
          </w:tcPr>
          <w:p w14:paraId="4050EC2B" w14:textId="77777777" w:rsidR="00735A5A" w:rsidRPr="003874DB" w:rsidRDefault="00735A5A" w:rsidP="00735A5A">
            <w:pPr>
              <w:pStyle w:val="BodyText"/>
              <w:rPr>
                <w:b/>
                <w:bCs/>
                <w:lang w:val="en-ZA"/>
              </w:rPr>
            </w:pPr>
          </w:p>
        </w:tc>
      </w:tr>
    </w:tbl>
    <w:p w14:paraId="2B26C276" w14:textId="6127DE14" w:rsidR="003C063D" w:rsidRDefault="003C063D" w:rsidP="00662E0B">
      <w:pPr>
        <w:pStyle w:val="BodyText"/>
      </w:pPr>
    </w:p>
    <w:sectPr w:rsidR="003C063D" w:rsidSect="00FE5934">
      <w:headerReference w:type="default" r:id="rId18"/>
      <w:footerReference w:type="even" r:id="rId19"/>
      <w:footerReference w:type="default" r:id="rId20"/>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Ross" w:date="2024-03-28T10:01:00Z" w:initials="IR">
    <w:p w14:paraId="660D2229" w14:textId="1655CA08" w:rsidR="003C7DF5" w:rsidRDefault="003C7DF5" w:rsidP="003C7DF5">
      <w:pPr>
        <w:pStyle w:val="CommentText"/>
      </w:pPr>
      <w:r>
        <w:rPr>
          <w:rStyle w:val="CommentReference"/>
        </w:rPr>
        <w:annotationRef/>
      </w:r>
      <w:r>
        <w:t>You may be able to see that this is a fundamental problem with the last statement. It would indicate that these are only patients who presented with advanced disease worldwide who died. You should either leave this phrase out or you should clarify this, please</w:t>
      </w:r>
    </w:p>
  </w:comment>
  <w:comment w:id="1" w:author="Thabiso Mofokeng" w:date="2024-05-15T13:52:00Z" w:initials="TM">
    <w:p w14:paraId="046947B0" w14:textId="77777777" w:rsidR="00F64203" w:rsidRDefault="00F64203" w:rsidP="00F64203">
      <w:pPr>
        <w:pStyle w:val="CommentText"/>
      </w:pPr>
      <w:r>
        <w:rPr>
          <w:rStyle w:val="CommentReference"/>
        </w:rPr>
        <w:annotationRef/>
      </w:r>
      <w:r>
        <w:t>Correction done</w:t>
      </w:r>
    </w:p>
  </w:comment>
  <w:comment w:id="2" w:author="Ian Ross" w:date="2024-03-28T10:06:00Z" w:initials="IR">
    <w:p w14:paraId="0E3A6739" w14:textId="19DE04E3" w:rsidR="003C7DF5" w:rsidRDefault="003C7DF5" w:rsidP="003C7DF5">
      <w:pPr>
        <w:pStyle w:val="CommentText"/>
      </w:pPr>
      <w:r>
        <w:rPr>
          <w:rStyle w:val="CommentReference"/>
        </w:rPr>
        <w:annotationRef/>
      </w:r>
      <w:r>
        <w:t>Do you not want to firstly diagnose adrenal insufficiency in this population considering the risks?</w:t>
      </w:r>
    </w:p>
  </w:comment>
  <w:comment w:id="3" w:author="Thabiso Mofokeng" w:date="2024-05-15T14:36:00Z" w:initials="TM">
    <w:p w14:paraId="4C48B7CC" w14:textId="77777777" w:rsidR="002A6563" w:rsidRDefault="002A6563" w:rsidP="002A6563">
      <w:pPr>
        <w:pStyle w:val="CommentText"/>
      </w:pPr>
      <w:r>
        <w:rPr>
          <w:rStyle w:val="CommentReference"/>
        </w:rPr>
        <w:annotationRef/>
      </w:r>
      <w:r>
        <w:t>Revised</w:t>
      </w:r>
    </w:p>
  </w:comment>
  <w:comment w:id="4" w:author="Ian Ross" w:date="2024-03-28T16:23:00Z" w:initials="IR">
    <w:p w14:paraId="30386ACB" w14:textId="60B74A43" w:rsidR="007E3AAE" w:rsidRDefault="007E3AAE" w:rsidP="007E3AAE">
      <w:pPr>
        <w:pStyle w:val="CommentText"/>
      </w:pPr>
      <w:r>
        <w:rPr>
          <w:rStyle w:val="CommentReference"/>
        </w:rPr>
        <w:annotationRef/>
      </w:r>
      <w:r>
        <w:t>Please include distinguishing primary from secondary adrenal insufficiency using the tetracosactide test.</w:t>
      </w:r>
    </w:p>
  </w:comment>
  <w:comment w:id="5" w:author="Thabiso Mofokeng" w:date="2024-05-15T14:59:00Z" w:initials="TM">
    <w:p w14:paraId="26E2DF1D" w14:textId="77777777" w:rsidR="00BD7EBB" w:rsidRDefault="00BD7EBB" w:rsidP="00BD7EBB">
      <w:pPr>
        <w:pStyle w:val="CommentText"/>
      </w:pPr>
      <w:r>
        <w:rPr>
          <w:rStyle w:val="CommentReference"/>
        </w:rPr>
        <w:annotationRef/>
      </w:r>
      <w:r>
        <w:t>PAI &amp; SAI described</w:t>
      </w:r>
    </w:p>
  </w:comment>
  <w:comment w:id="6" w:author="Ian Ross" w:date="2024-03-28T16:38:00Z" w:initials="IR">
    <w:p w14:paraId="2451C7C6" w14:textId="36E2BB75" w:rsidR="0017050F" w:rsidRDefault="0017050F" w:rsidP="0017050F">
      <w:pPr>
        <w:pStyle w:val="CommentText"/>
      </w:pPr>
      <w:r>
        <w:rPr>
          <w:rStyle w:val="CommentReference"/>
        </w:rPr>
        <w:annotationRef/>
      </w:r>
      <w:r>
        <w:t>Please provide the city, country and year</w:t>
      </w:r>
    </w:p>
  </w:comment>
  <w:comment w:id="7" w:author="Thabiso Mofokeng" w:date="2024-05-15T15:22:00Z" w:initials="TM">
    <w:p w14:paraId="30E9F598" w14:textId="77777777" w:rsidR="003504DD" w:rsidRDefault="003504DD" w:rsidP="003504DD">
      <w:pPr>
        <w:pStyle w:val="CommentText"/>
      </w:pPr>
      <w:r>
        <w:rPr>
          <w:rStyle w:val="CommentReference"/>
        </w:rPr>
        <w:annotationRef/>
      </w:r>
      <w:r>
        <w:t xml:space="preserve">Done </w:t>
      </w:r>
    </w:p>
  </w:comment>
  <w:comment w:id="8" w:author="Ian Ross" w:date="2024-03-28T16:47:00Z" w:initials="IR">
    <w:p w14:paraId="4DBE54C7" w14:textId="64853FEF" w:rsidR="00DD25B1" w:rsidRDefault="00DD25B1" w:rsidP="00DD25B1">
      <w:pPr>
        <w:pStyle w:val="CommentText"/>
      </w:pPr>
      <w:r>
        <w:rPr>
          <w:rStyle w:val="CommentReference"/>
        </w:rPr>
        <w:annotationRef/>
      </w:r>
      <w:r>
        <w:t>You really need to please discuss the clinical characteristics in detail, please.</w:t>
      </w:r>
    </w:p>
  </w:comment>
  <w:comment w:id="10" w:author="Joseph Sempa" w:date="2024-06-07T10:23:00Z" w:initials="JS">
    <w:p w14:paraId="42C25041" w14:textId="77777777" w:rsidR="007F577C" w:rsidRDefault="007F577C" w:rsidP="007F577C">
      <w:pPr>
        <w:pStyle w:val="CommentText"/>
      </w:pPr>
      <w:r>
        <w:rPr>
          <w:rStyle w:val="CommentReference"/>
        </w:rPr>
        <w:annotationRef/>
      </w:r>
      <w:r>
        <w:t>Please provide the full names of these labels.</w:t>
      </w:r>
    </w:p>
  </w:comment>
  <w:comment w:id="11" w:author="Joseph Sempa" w:date="2024-06-07T10:18:00Z" w:initials="JS">
    <w:p w14:paraId="17124C24" w14:textId="6A2E6850" w:rsidR="007F577C" w:rsidRDefault="007F577C" w:rsidP="007F577C">
      <w:pPr>
        <w:pStyle w:val="CommentText"/>
      </w:pPr>
      <w:r>
        <w:rPr>
          <w:rStyle w:val="CommentReference"/>
        </w:rPr>
        <w:annotationRef/>
      </w:r>
      <w:r>
        <w:t>We can delete this table now.</w:t>
      </w:r>
    </w:p>
  </w:comment>
  <w:comment w:id="15" w:author="Ian Ross" w:date="2024-03-28T17:40:00Z" w:initials="IR">
    <w:p w14:paraId="62477E6A" w14:textId="5C2810D2" w:rsidR="003304A4" w:rsidRDefault="003304A4" w:rsidP="003304A4">
      <w:pPr>
        <w:pStyle w:val="CommentText"/>
      </w:pPr>
      <w:r>
        <w:rPr>
          <w:rStyle w:val="CommentReference"/>
        </w:rPr>
        <w:annotationRef/>
      </w:r>
    </w:p>
    <w:p w14:paraId="71FDECF5" w14:textId="77777777" w:rsidR="003304A4" w:rsidRDefault="003304A4" w:rsidP="003304A4">
      <w:pPr>
        <w:pStyle w:val="CommentText"/>
      </w:pPr>
      <w:r>
        <w:t>I do not understand this statement.</w:t>
      </w:r>
    </w:p>
  </w:comment>
  <w:comment w:id="16" w:author="Ian Ross" w:date="2024-03-28T17:44:00Z" w:initials="IR">
    <w:p w14:paraId="0FABE700" w14:textId="77777777" w:rsidR="003304A4" w:rsidRDefault="003304A4" w:rsidP="003304A4">
      <w:pPr>
        <w:pStyle w:val="CommentText"/>
      </w:pPr>
      <w:r>
        <w:rPr>
          <w:rStyle w:val="CommentReference"/>
        </w:rPr>
        <w:annotationRef/>
      </w:r>
      <w:r>
        <w:t>Please insert the P-value</w:t>
      </w:r>
    </w:p>
  </w:comment>
  <w:comment w:id="17" w:author="Ian Ross" w:date="2024-03-28T17:46:00Z" w:initials="IR">
    <w:p w14:paraId="34FF5619" w14:textId="77777777" w:rsidR="000204B6" w:rsidRDefault="000204B6" w:rsidP="000204B6">
      <w:pPr>
        <w:pStyle w:val="CommentText"/>
      </w:pPr>
      <w:r>
        <w:rPr>
          <w:rStyle w:val="CommentReference"/>
        </w:rPr>
        <w:annotationRef/>
      </w:r>
      <w:r>
        <w:t>Can you please distinguish between pulmonary or extrapulmonary tuberculosis</w:t>
      </w:r>
    </w:p>
  </w:comment>
  <w:comment w:id="18" w:author="Joseph Sempa" w:date="2024-06-07T10:07:00Z" w:initials="JS">
    <w:p w14:paraId="27D8FE07" w14:textId="77777777" w:rsidR="00EA3C63" w:rsidRDefault="00EA3C63" w:rsidP="00EA3C63">
      <w:pPr>
        <w:pStyle w:val="CommentText"/>
      </w:pPr>
      <w:r>
        <w:rPr>
          <w:rStyle w:val="CommentReference"/>
        </w:rPr>
        <w:annotationRef/>
      </w:r>
      <w:r>
        <w:t>We can drop this one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0D2229" w15:done="0"/>
  <w15:commentEx w15:paraId="046947B0" w15:paraIdParent="660D2229" w15:done="0"/>
  <w15:commentEx w15:paraId="0E3A6739" w15:done="0"/>
  <w15:commentEx w15:paraId="4C48B7CC" w15:paraIdParent="0E3A6739" w15:done="0"/>
  <w15:commentEx w15:paraId="30386ACB" w15:done="0"/>
  <w15:commentEx w15:paraId="26E2DF1D" w15:paraIdParent="30386ACB" w15:done="0"/>
  <w15:commentEx w15:paraId="2451C7C6" w15:done="0"/>
  <w15:commentEx w15:paraId="30E9F598" w15:paraIdParent="2451C7C6" w15:done="0"/>
  <w15:commentEx w15:paraId="4DBE54C7" w15:done="0"/>
  <w15:commentEx w15:paraId="42C25041" w15:done="0"/>
  <w15:commentEx w15:paraId="17124C24" w15:done="0"/>
  <w15:commentEx w15:paraId="71FDECF5" w15:done="0"/>
  <w15:commentEx w15:paraId="0FABE700" w15:done="0"/>
  <w15:commentEx w15:paraId="34FF5619" w15:done="0"/>
  <w15:commentEx w15:paraId="27D8FE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1A2C05" w16cex:dateUtc="2024-03-28T08:01:00Z"/>
  <w16cex:commentExtensible w16cex:durableId="5F5813AB" w16cex:dateUtc="2024-05-15T11:52:00Z"/>
  <w16cex:commentExtensible w16cex:durableId="4527C6FE" w16cex:dateUtc="2024-03-28T08:06:00Z"/>
  <w16cex:commentExtensible w16cex:durableId="7B6D7BB2" w16cex:dateUtc="2024-05-15T12:36:00Z"/>
  <w16cex:commentExtensible w16cex:durableId="571A3F9A" w16cex:dateUtc="2024-03-28T14:23:00Z"/>
  <w16cex:commentExtensible w16cex:durableId="5DAF4972" w16cex:dateUtc="2024-05-15T12:59:00Z"/>
  <w16cex:commentExtensible w16cex:durableId="2246D013" w16cex:dateUtc="2024-03-28T14:38:00Z"/>
  <w16cex:commentExtensible w16cex:durableId="6DE56864" w16cex:dateUtc="2024-05-15T13:22:00Z"/>
  <w16cex:commentExtensible w16cex:durableId="40CB0CA9" w16cex:dateUtc="2024-03-28T14:47:00Z"/>
  <w16cex:commentExtensible w16cex:durableId="16259354" w16cex:dateUtc="2024-06-07T08:23:00Z"/>
  <w16cex:commentExtensible w16cex:durableId="68E08632" w16cex:dateUtc="2024-06-07T08:18:00Z"/>
  <w16cex:commentExtensible w16cex:durableId="4FBB0839" w16cex:dateUtc="2024-03-28T15:40:00Z"/>
  <w16cex:commentExtensible w16cex:durableId="6BA821F5" w16cex:dateUtc="2024-03-28T15:44:00Z"/>
  <w16cex:commentExtensible w16cex:durableId="673AD45B" w16cex:dateUtc="2024-03-28T15:46:00Z"/>
  <w16cex:commentExtensible w16cex:durableId="0B9A4056" w16cex:dateUtc="2024-06-07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0D2229" w16cid:durableId="741A2C05"/>
  <w16cid:commentId w16cid:paraId="046947B0" w16cid:durableId="5F5813AB"/>
  <w16cid:commentId w16cid:paraId="0E3A6739" w16cid:durableId="4527C6FE"/>
  <w16cid:commentId w16cid:paraId="4C48B7CC" w16cid:durableId="7B6D7BB2"/>
  <w16cid:commentId w16cid:paraId="30386ACB" w16cid:durableId="571A3F9A"/>
  <w16cid:commentId w16cid:paraId="26E2DF1D" w16cid:durableId="5DAF4972"/>
  <w16cid:commentId w16cid:paraId="2451C7C6" w16cid:durableId="2246D013"/>
  <w16cid:commentId w16cid:paraId="30E9F598" w16cid:durableId="6DE56864"/>
  <w16cid:commentId w16cid:paraId="4DBE54C7" w16cid:durableId="40CB0CA9"/>
  <w16cid:commentId w16cid:paraId="42C25041" w16cid:durableId="16259354"/>
  <w16cid:commentId w16cid:paraId="17124C24" w16cid:durableId="68E08632"/>
  <w16cid:commentId w16cid:paraId="71FDECF5" w16cid:durableId="4FBB0839"/>
  <w16cid:commentId w16cid:paraId="0FABE700" w16cid:durableId="6BA821F5"/>
  <w16cid:commentId w16cid:paraId="34FF5619" w16cid:durableId="673AD45B"/>
  <w16cid:commentId w16cid:paraId="27D8FE07" w16cid:durableId="0B9A40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A915" w14:textId="77777777" w:rsidR="0075528C" w:rsidRDefault="0075528C">
      <w:pPr>
        <w:spacing w:after="0"/>
      </w:pPr>
      <w:r>
        <w:separator/>
      </w:r>
    </w:p>
  </w:endnote>
  <w:endnote w:type="continuationSeparator" w:id="0">
    <w:p w14:paraId="0E8E4684" w14:textId="77777777" w:rsidR="0075528C" w:rsidRDefault="0075528C">
      <w:pPr>
        <w:spacing w:after="0"/>
      </w:pPr>
      <w:r>
        <w:continuationSeparator/>
      </w:r>
    </w:p>
  </w:endnote>
  <w:endnote w:type="continuationNotice" w:id="1">
    <w:p w14:paraId="7921B78B" w14:textId="77777777" w:rsidR="0075528C" w:rsidRDefault="007552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1852" w14:textId="77777777" w:rsidR="0075528C" w:rsidRDefault="0075528C">
      <w:r>
        <w:separator/>
      </w:r>
    </w:p>
  </w:footnote>
  <w:footnote w:type="continuationSeparator" w:id="0">
    <w:p w14:paraId="7FF1A235" w14:textId="77777777" w:rsidR="0075528C" w:rsidRDefault="0075528C">
      <w:r>
        <w:continuationSeparator/>
      </w:r>
    </w:p>
  </w:footnote>
  <w:footnote w:type="continuationNotice" w:id="1">
    <w:p w14:paraId="44F497B3" w14:textId="77777777" w:rsidR="0075528C" w:rsidRDefault="0075528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0"/>
  </w:num>
  <w:num w:numId="2" w16cid:durableId="205531254">
    <w:abstractNumId w:val="4"/>
  </w:num>
  <w:num w:numId="3" w16cid:durableId="1622608952">
    <w:abstractNumId w:val="2"/>
  </w:num>
  <w:num w:numId="4" w16cid:durableId="1866013735">
    <w:abstractNumId w:val="3"/>
  </w:num>
  <w:num w:numId="5" w16cid:durableId="680275754">
    <w:abstractNumId w:val="7"/>
  </w:num>
  <w:num w:numId="6" w16cid:durableId="634063758">
    <w:abstractNumId w:val="1"/>
  </w:num>
  <w:num w:numId="7" w16cid:durableId="1559121990">
    <w:abstractNumId w:val="5"/>
  </w:num>
  <w:num w:numId="8" w16cid:durableId="175779270">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Ross">
    <w15:presenceInfo w15:providerId="AD" w15:userId="S::01337742@wf.uct.ac.za::3efea765-d786-4d1e-89b5-330473f51208"/>
  </w15:person>
  <w15:person w15:author="Thabiso Mofokeng">
    <w15:presenceInfo w15:providerId="AD" w15:userId="S::MofokengTRP@ufs.ac.za::9d98fbba-1cfc-4971-9250-7699f973594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BE4F326-98EC-4E5E-A560-8327537DD9E4}"/>
    <w:docVar w:name="dgnword-eventsink" w:val="2731412014544"/>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Endocrine Review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3415&lt;/item&gt;&lt;item&gt;28948&lt;/item&gt;&lt;item&gt;29081&lt;/item&gt;&lt;item&gt;29083&lt;/item&gt;&lt;item&gt;29084&lt;/item&gt;&lt;item&gt;29086&lt;/item&gt;&lt;item&gt;29092&lt;/item&gt;&lt;item&gt;29093&lt;/item&gt;&lt;item&gt;29096&lt;/item&gt;&lt;item&gt;29102&lt;/item&gt;&lt;item&gt;29103&lt;/item&gt;&lt;item&gt;29105&lt;/item&gt;&lt;item&gt;29108&lt;/item&gt;&lt;item&gt;29113&lt;/item&gt;&lt;item&gt;29114&lt;/item&gt;&lt;item&gt;29117&lt;/item&gt;&lt;item&gt;29118&lt;/item&gt;&lt;item&gt;29119&lt;/item&gt;&lt;/record-ids&gt;&lt;/item&gt;&lt;/Libraries&gt;"/>
  </w:docVars>
  <w:rsids>
    <w:rsidRoot w:val="00C45C03"/>
    <w:rsid w:val="00000221"/>
    <w:rsid w:val="000002AF"/>
    <w:rsid w:val="000006F7"/>
    <w:rsid w:val="0000097C"/>
    <w:rsid w:val="00000A28"/>
    <w:rsid w:val="00001008"/>
    <w:rsid w:val="00001318"/>
    <w:rsid w:val="00001602"/>
    <w:rsid w:val="00001AD9"/>
    <w:rsid w:val="00002EC4"/>
    <w:rsid w:val="000032C6"/>
    <w:rsid w:val="00003961"/>
    <w:rsid w:val="00004029"/>
    <w:rsid w:val="000045F9"/>
    <w:rsid w:val="00004605"/>
    <w:rsid w:val="000048FD"/>
    <w:rsid w:val="00007B73"/>
    <w:rsid w:val="00011F77"/>
    <w:rsid w:val="00011FFE"/>
    <w:rsid w:val="00014647"/>
    <w:rsid w:val="00016667"/>
    <w:rsid w:val="000178DE"/>
    <w:rsid w:val="00020411"/>
    <w:rsid w:val="000204B6"/>
    <w:rsid w:val="000206EF"/>
    <w:rsid w:val="00020AC6"/>
    <w:rsid w:val="000218CC"/>
    <w:rsid w:val="00021DFE"/>
    <w:rsid w:val="00021EF7"/>
    <w:rsid w:val="00022390"/>
    <w:rsid w:val="000233DC"/>
    <w:rsid w:val="00024048"/>
    <w:rsid w:val="00024AE1"/>
    <w:rsid w:val="0002576F"/>
    <w:rsid w:val="00026306"/>
    <w:rsid w:val="00026B0B"/>
    <w:rsid w:val="00027C2C"/>
    <w:rsid w:val="00027FE7"/>
    <w:rsid w:val="00033055"/>
    <w:rsid w:val="0003357C"/>
    <w:rsid w:val="00033E27"/>
    <w:rsid w:val="00034AA0"/>
    <w:rsid w:val="000352BC"/>
    <w:rsid w:val="00035362"/>
    <w:rsid w:val="00035B35"/>
    <w:rsid w:val="000361BA"/>
    <w:rsid w:val="00036590"/>
    <w:rsid w:val="0003674B"/>
    <w:rsid w:val="00036CA7"/>
    <w:rsid w:val="00040320"/>
    <w:rsid w:val="00040416"/>
    <w:rsid w:val="00042819"/>
    <w:rsid w:val="00043176"/>
    <w:rsid w:val="00043BAC"/>
    <w:rsid w:val="00043F9E"/>
    <w:rsid w:val="00045037"/>
    <w:rsid w:val="000458E5"/>
    <w:rsid w:val="00045967"/>
    <w:rsid w:val="0004643E"/>
    <w:rsid w:val="0004699D"/>
    <w:rsid w:val="00046A2B"/>
    <w:rsid w:val="00046C57"/>
    <w:rsid w:val="000518B8"/>
    <w:rsid w:val="00051B04"/>
    <w:rsid w:val="00051CE8"/>
    <w:rsid w:val="00053830"/>
    <w:rsid w:val="00054591"/>
    <w:rsid w:val="00054D92"/>
    <w:rsid w:val="00055416"/>
    <w:rsid w:val="00055D99"/>
    <w:rsid w:val="00056438"/>
    <w:rsid w:val="00057C6D"/>
    <w:rsid w:val="00057F95"/>
    <w:rsid w:val="00061635"/>
    <w:rsid w:val="00062919"/>
    <w:rsid w:val="000647E6"/>
    <w:rsid w:val="000662D9"/>
    <w:rsid w:val="000664BA"/>
    <w:rsid w:val="00066C33"/>
    <w:rsid w:val="00066E3B"/>
    <w:rsid w:val="000673BB"/>
    <w:rsid w:val="00067404"/>
    <w:rsid w:val="00067B48"/>
    <w:rsid w:val="000712CB"/>
    <w:rsid w:val="000731C8"/>
    <w:rsid w:val="0007377A"/>
    <w:rsid w:val="00073D93"/>
    <w:rsid w:val="00075C19"/>
    <w:rsid w:val="00075EFE"/>
    <w:rsid w:val="0007651E"/>
    <w:rsid w:val="00076F10"/>
    <w:rsid w:val="0007721A"/>
    <w:rsid w:val="00077F31"/>
    <w:rsid w:val="000815A5"/>
    <w:rsid w:val="00082CE6"/>
    <w:rsid w:val="000838CD"/>
    <w:rsid w:val="00083C7E"/>
    <w:rsid w:val="000845A9"/>
    <w:rsid w:val="000847FD"/>
    <w:rsid w:val="000879BB"/>
    <w:rsid w:val="00090EEC"/>
    <w:rsid w:val="000914AC"/>
    <w:rsid w:val="00091BFA"/>
    <w:rsid w:val="00092EDE"/>
    <w:rsid w:val="00092FC4"/>
    <w:rsid w:val="00094376"/>
    <w:rsid w:val="00094A22"/>
    <w:rsid w:val="000953D1"/>
    <w:rsid w:val="00096A97"/>
    <w:rsid w:val="00097176"/>
    <w:rsid w:val="000976A6"/>
    <w:rsid w:val="000976F1"/>
    <w:rsid w:val="00097C69"/>
    <w:rsid w:val="000A1684"/>
    <w:rsid w:val="000A218D"/>
    <w:rsid w:val="000A2365"/>
    <w:rsid w:val="000A2EA9"/>
    <w:rsid w:val="000A3284"/>
    <w:rsid w:val="000A4551"/>
    <w:rsid w:val="000A46AC"/>
    <w:rsid w:val="000A546F"/>
    <w:rsid w:val="000A5975"/>
    <w:rsid w:val="000A631D"/>
    <w:rsid w:val="000A6EEF"/>
    <w:rsid w:val="000A77DD"/>
    <w:rsid w:val="000B4BE5"/>
    <w:rsid w:val="000B4ECC"/>
    <w:rsid w:val="000B66D4"/>
    <w:rsid w:val="000B6830"/>
    <w:rsid w:val="000B7359"/>
    <w:rsid w:val="000C0B5D"/>
    <w:rsid w:val="000C10DF"/>
    <w:rsid w:val="000C2C81"/>
    <w:rsid w:val="000C34B4"/>
    <w:rsid w:val="000C3773"/>
    <w:rsid w:val="000C41E1"/>
    <w:rsid w:val="000C5994"/>
    <w:rsid w:val="000C5D34"/>
    <w:rsid w:val="000D019E"/>
    <w:rsid w:val="000D070F"/>
    <w:rsid w:val="000E0846"/>
    <w:rsid w:val="000E1108"/>
    <w:rsid w:val="000E15C7"/>
    <w:rsid w:val="000E27E3"/>
    <w:rsid w:val="000E3406"/>
    <w:rsid w:val="000E38D9"/>
    <w:rsid w:val="000E3DD7"/>
    <w:rsid w:val="000E450A"/>
    <w:rsid w:val="000E46D9"/>
    <w:rsid w:val="000E4F82"/>
    <w:rsid w:val="000E6DD3"/>
    <w:rsid w:val="000F0770"/>
    <w:rsid w:val="000F11D4"/>
    <w:rsid w:val="000F1262"/>
    <w:rsid w:val="000F160D"/>
    <w:rsid w:val="000F2773"/>
    <w:rsid w:val="000F3281"/>
    <w:rsid w:val="000F360F"/>
    <w:rsid w:val="000F3FDF"/>
    <w:rsid w:val="000F43EF"/>
    <w:rsid w:val="000F4CFB"/>
    <w:rsid w:val="000F50DE"/>
    <w:rsid w:val="000F58E2"/>
    <w:rsid w:val="000F6A0D"/>
    <w:rsid w:val="000F7AA7"/>
    <w:rsid w:val="000F7C59"/>
    <w:rsid w:val="000F7D98"/>
    <w:rsid w:val="00100402"/>
    <w:rsid w:val="00100F99"/>
    <w:rsid w:val="00101EE6"/>
    <w:rsid w:val="00104995"/>
    <w:rsid w:val="00104FF4"/>
    <w:rsid w:val="0010525D"/>
    <w:rsid w:val="00106415"/>
    <w:rsid w:val="00106697"/>
    <w:rsid w:val="00106FC7"/>
    <w:rsid w:val="0010795C"/>
    <w:rsid w:val="001116E6"/>
    <w:rsid w:val="00113135"/>
    <w:rsid w:val="00113944"/>
    <w:rsid w:val="00113BE3"/>
    <w:rsid w:val="00113F14"/>
    <w:rsid w:val="0011444F"/>
    <w:rsid w:val="0011721B"/>
    <w:rsid w:val="00117AE6"/>
    <w:rsid w:val="00117E72"/>
    <w:rsid w:val="00117E95"/>
    <w:rsid w:val="00120920"/>
    <w:rsid w:val="00120D55"/>
    <w:rsid w:val="00121DF1"/>
    <w:rsid w:val="00122B51"/>
    <w:rsid w:val="00123C97"/>
    <w:rsid w:val="00124334"/>
    <w:rsid w:val="00125463"/>
    <w:rsid w:val="00126D80"/>
    <w:rsid w:val="001277F5"/>
    <w:rsid w:val="00127815"/>
    <w:rsid w:val="00127DB5"/>
    <w:rsid w:val="00130244"/>
    <w:rsid w:val="00132128"/>
    <w:rsid w:val="00132484"/>
    <w:rsid w:val="00132966"/>
    <w:rsid w:val="00134303"/>
    <w:rsid w:val="001373BF"/>
    <w:rsid w:val="0014038F"/>
    <w:rsid w:val="00140E67"/>
    <w:rsid w:val="001414DB"/>
    <w:rsid w:val="001425B7"/>
    <w:rsid w:val="00143882"/>
    <w:rsid w:val="001439F8"/>
    <w:rsid w:val="00144160"/>
    <w:rsid w:val="0014531A"/>
    <w:rsid w:val="001455F7"/>
    <w:rsid w:val="0014629E"/>
    <w:rsid w:val="0014704C"/>
    <w:rsid w:val="00147D20"/>
    <w:rsid w:val="00150212"/>
    <w:rsid w:val="00151492"/>
    <w:rsid w:val="00151FA4"/>
    <w:rsid w:val="00152B01"/>
    <w:rsid w:val="00155BD8"/>
    <w:rsid w:val="00156866"/>
    <w:rsid w:val="00156BE7"/>
    <w:rsid w:val="0016042D"/>
    <w:rsid w:val="00160A20"/>
    <w:rsid w:val="00161450"/>
    <w:rsid w:val="001617D8"/>
    <w:rsid w:val="00162084"/>
    <w:rsid w:val="001628D0"/>
    <w:rsid w:val="0016303A"/>
    <w:rsid w:val="00164129"/>
    <w:rsid w:val="001642BD"/>
    <w:rsid w:val="00164648"/>
    <w:rsid w:val="00166B2A"/>
    <w:rsid w:val="00167512"/>
    <w:rsid w:val="001676A0"/>
    <w:rsid w:val="00167C42"/>
    <w:rsid w:val="0017050F"/>
    <w:rsid w:val="00172743"/>
    <w:rsid w:val="00172936"/>
    <w:rsid w:val="00173420"/>
    <w:rsid w:val="00173866"/>
    <w:rsid w:val="00173E8D"/>
    <w:rsid w:val="00173ED2"/>
    <w:rsid w:val="001747AD"/>
    <w:rsid w:val="0017494E"/>
    <w:rsid w:val="00174EC4"/>
    <w:rsid w:val="001772A7"/>
    <w:rsid w:val="0017789D"/>
    <w:rsid w:val="001808BB"/>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7632"/>
    <w:rsid w:val="001A09AC"/>
    <w:rsid w:val="001A0B28"/>
    <w:rsid w:val="001A0D74"/>
    <w:rsid w:val="001A251D"/>
    <w:rsid w:val="001A3124"/>
    <w:rsid w:val="001A3254"/>
    <w:rsid w:val="001A45DC"/>
    <w:rsid w:val="001A5F3E"/>
    <w:rsid w:val="001A6002"/>
    <w:rsid w:val="001A6A91"/>
    <w:rsid w:val="001B1816"/>
    <w:rsid w:val="001B1AA1"/>
    <w:rsid w:val="001B2053"/>
    <w:rsid w:val="001B2C01"/>
    <w:rsid w:val="001B3203"/>
    <w:rsid w:val="001B347F"/>
    <w:rsid w:val="001B3C34"/>
    <w:rsid w:val="001B4B08"/>
    <w:rsid w:val="001B529D"/>
    <w:rsid w:val="001B63D6"/>
    <w:rsid w:val="001B69BB"/>
    <w:rsid w:val="001C0071"/>
    <w:rsid w:val="001C0289"/>
    <w:rsid w:val="001C02CA"/>
    <w:rsid w:val="001C031B"/>
    <w:rsid w:val="001C14E2"/>
    <w:rsid w:val="001C2CEE"/>
    <w:rsid w:val="001C2E1B"/>
    <w:rsid w:val="001C54BB"/>
    <w:rsid w:val="001C5A06"/>
    <w:rsid w:val="001C5EED"/>
    <w:rsid w:val="001C68C8"/>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857"/>
    <w:rsid w:val="001E4134"/>
    <w:rsid w:val="001E6F63"/>
    <w:rsid w:val="001E6FBE"/>
    <w:rsid w:val="001F1161"/>
    <w:rsid w:val="001F1640"/>
    <w:rsid w:val="001F1995"/>
    <w:rsid w:val="001F3AFC"/>
    <w:rsid w:val="001F402D"/>
    <w:rsid w:val="001F43A6"/>
    <w:rsid w:val="001F48B5"/>
    <w:rsid w:val="001F5BEF"/>
    <w:rsid w:val="001F5D38"/>
    <w:rsid w:val="001F6485"/>
    <w:rsid w:val="001F6A04"/>
    <w:rsid w:val="002008E8"/>
    <w:rsid w:val="00201165"/>
    <w:rsid w:val="00201FCA"/>
    <w:rsid w:val="00202EB9"/>
    <w:rsid w:val="00202FC0"/>
    <w:rsid w:val="0020315F"/>
    <w:rsid w:val="0020410B"/>
    <w:rsid w:val="00204544"/>
    <w:rsid w:val="0020588E"/>
    <w:rsid w:val="00206C67"/>
    <w:rsid w:val="00210211"/>
    <w:rsid w:val="0021060D"/>
    <w:rsid w:val="00211DB7"/>
    <w:rsid w:val="00212014"/>
    <w:rsid w:val="00212648"/>
    <w:rsid w:val="00212A50"/>
    <w:rsid w:val="00213CB8"/>
    <w:rsid w:val="00213E79"/>
    <w:rsid w:val="00216138"/>
    <w:rsid w:val="00216BC8"/>
    <w:rsid w:val="00217B6F"/>
    <w:rsid w:val="00220617"/>
    <w:rsid w:val="00220A8A"/>
    <w:rsid w:val="00222179"/>
    <w:rsid w:val="0022380A"/>
    <w:rsid w:val="002239C8"/>
    <w:rsid w:val="00223C15"/>
    <w:rsid w:val="00225921"/>
    <w:rsid w:val="0022611A"/>
    <w:rsid w:val="00227151"/>
    <w:rsid w:val="00230F30"/>
    <w:rsid w:val="00230F6F"/>
    <w:rsid w:val="002332F6"/>
    <w:rsid w:val="00233D41"/>
    <w:rsid w:val="00234404"/>
    <w:rsid w:val="0023574A"/>
    <w:rsid w:val="00235B29"/>
    <w:rsid w:val="00235DF8"/>
    <w:rsid w:val="00236CA7"/>
    <w:rsid w:val="002403DA"/>
    <w:rsid w:val="00241233"/>
    <w:rsid w:val="00241558"/>
    <w:rsid w:val="00242E72"/>
    <w:rsid w:val="00243C94"/>
    <w:rsid w:val="002441FC"/>
    <w:rsid w:val="00244441"/>
    <w:rsid w:val="00244D18"/>
    <w:rsid w:val="00245969"/>
    <w:rsid w:val="00245BBE"/>
    <w:rsid w:val="00246AA4"/>
    <w:rsid w:val="00247B0A"/>
    <w:rsid w:val="00247B26"/>
    <w:rsid w:val="002500D3"/>
    <w:rsid w:val="00250A65"/>
    <w:rsid w:val="00251DB3"/>
    <w:rsid w:val="00252ABE"/>
    <w:rsid w:val="002537DD"/>
    <w:rsid w:val="002549FE"/>
    <w:rsid w:val="00254A22"/>
    <w:rsid w:val="00254B37"/>
    <w:rsid w:val="00255601"/>
    <w:rsid w:val="00255B95"/>
    <w:rsid w:val="00255F18"/>
    <w:rsid w:val="00256326"/>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D11"/>
    <w:rsid w:val="00274985"/>
    <w:rsid w:val="00275081"/>
    <w:rsid w:val="00275A01"/>
    <w:rsid w:val="00275ED0"/>
    <w:rsid w:val="0027775E"/>
    <w:rsid w:val="0028097C"/>
    <w:rsid w:val="00280980"/>
    <w:rsid w:val="00280E78"/>
    <w:rsid w:val="00280F49"/>
    <w:rsid w:val="002811CD"/>
    <w:rsid w:val="00282380"/>
    <w:rsid w:val="002831B9"/>
    <w:rsid w:val="00284AC9"/>
    <w:rsid w:val="00287A4C"/>
    <w:rsid w:val="00290B79"/>
    <w:rsid w:val="0029108C"/>
    <w:rsid w:val="00291900"/>
    <w:rsid w:val="00291BB7"/>
    <w:rsid w:val="00291C8E"/>
    <w:rsid w:val="0029217B"/>
    <w:rsid w:val="00294845"/>
    <w:rsid w:val="00295337"/>
    <w:rsid w:val="002954AA"/>
    <w:rsid w:val="00297386"/>
    <w:rsid w:val="002973F5"/>
    <w:rsid w:val="00297504"/>
    <w:rsid w:val="00297A92"/>
    <w:rsid w:val="002A11C5"/>
    <w:rsid w:val="002A22AF"/>
    <w:rsid w:val="002A47A0"/>
    <w:rsid w:val="002A5213"/>
    <w:rsid w:val="002A6563"/>
    <w:rsid w:val="002B25CB"/>
    <w:rsid w:val="002B47DC"/>
    <w:rsid w:val="002B4CA2"/>
    <w:rsid w:val="002B50F8"/>
    <w:rsid w:val="002B7178"/>
    <w:rsid w:val="002C0015"/>
    <w:rsid w:val="002C1639"/>
    <w:rsid w:val="002C1FF7"/>
    <w:rsid w:val="002C2274"/>
    <w:rsid w:val="002C2E39"/>
    <w:rsid w:val="002C3473"/>
    <w:rsid w:val="002C369B"/>
    <w:rsid w:val="002C37F2"/>
    <w:rsid w:val="002C39B2"/>
    <w:rsid w:val="002C43BD"/>
    <w:rsid w:val="002C5BC6"/>
    <w:rsid w:val="002C5FF8"/>
    <w:rsid w:val="002D0625"/>
    <w:rsid w:val="002D0969"/>
    <w:rsid w:val="002D26BA"/>
    <w:rsid w:val="002D2755"/>
    <w:rsid w:val="002D2889"/>
    <w:rsid w:val="002D3A00"/>
    <w:rsid w:val="002D5202"/>
    <w:rsid w:val="002D5469"/>
    <w:rsid w:val="002E141A"/>
    <w:rsid w:val="002E1AC6"/>
    <w:rsid w:val="002E1BBF"/>
    <w:rsid w:val="002E574A"/>
    <w:rsid w:val="002E5A6E"/>
    <w:rsid w:val="002E627D"/>
    <w:rsid w:val="002E6C5E"/>
    <w:rsid w:val="002E6D94"/>
    <w:rsid w:val="002E726E"/>
    <w:rsid w:val="002F0069"/>
    <w:rsid w:val="002F006B"/>
    <w:rsid w:val="002F02D0"/>
    <w:rsid w:val="002F061D"/>
    <w:rsid w:val="002F0C9C"/>
    <w:rsid w:val="002F396E"/>
    <w:rsid w:val="002F4D11"/>
    <w:rsid w:val="002F5917"/>
    <w:rsid w:val="002F677D"/>
    <w:rsid w:val="002F685D"/>
    <w:rsid w:val="002F6D76"/>
    <w:rsid w:val="0030314E"/>
    <w:rsid w:val="00303F3C"/>
    <w:rsid w:val="003059DD"/>
    <w:rsid w:val="00305AC3"/>
    <w:rsid w:val="00310200"/>
    <w:rsid w:val="0031027A"/>
    <w:rsid w:val="00310288"/>
    <w:rsid w:val="00310ACC"/>
    <w:rsid w:val="00312EA5"/>
    <w:rsid w:val="003136F5"/>
    <w:rsid w:val="00313FEB"/>
    <w:rsid w:val="00314186"/>
    <w:rsid w:val="00314317"/>
    <w:rsid w:val="00315DD3"/>
    <w:rsid w:val="00316013"/>
    <w:rsid w:val="00317B94"/>
    <w:rsid w:val="00317BD8"/>
    <w:rsid w:val="0032006F"/>
    <w:rsid w:val="00320884"/>
    <w:rsid w:val="0032181F"/>
    <w:rsid w:val="00321EE6"/>
    <w:rsid w:val="00323713"/>
    <w:rsid w:val="00323A9E"/>
    <w:rsid w:val="00324069"/>
    <w:rsid w:val="00324FC2"/>
    <w:rsid w:val="003253B1"/>
    <w:rsid w:val="003304A4"/>
    <w:rsid w:val="003339B7"/>
    <w:rsid w:val="003366BB"/>
    <w:rsid w:val="003367DB"/>
    <w:rsid w:val="0033792B"/>
    <w:rsid w:val="00340419"/>
    <w:rsid w:val="0034089F"/>
    <w:rsid w:val="00340A21"/>
    <w:rsid w:val="00342F11"/>
    <w:rsid w:val="0034574A"/>
    <w:rsid w:val="00345C68"/>
    <w:rsid w:val="0034620D"/>
    <w:rsid w:val="00346B39"/>
    <w:rsid w:val="0034700D"/>
    <w:rsid w:val="00347037"/>
    <w:rsid w:val="00347139"/>
    <w:rsid w:val="0034735F"/>
    <w:rsid w:val="00350452"/>
    <w:rsid w:val="003504DD"/>
    <w:rsid w:val="003516CA"/>
    <w:rsid w:val="00356888"/>
    <w:rsid w:val="003568D6"/>
    <w:rsid w:val="00357C5A"/>
    <w:rsid w:val="00363202"/>
    <w:rsid w:val="0036549F"/>
    <w:rsid w:val="003657EE"/>
    <w:rsid w:val="0036744E"/>
    <w:rsid w:val="0037047C"/>
    <w:rsid w:val="00370882"/>
    <w:rsid w:val="00370D7E"/>
    <w:rsid w:val="00370F75"/>
    <w:rsid w:val="003713AC"/>
    <w:rsid w:val="0037173A"/>
    <w:rsid w:val="003722CC"/>
    <w:rsid w:val="0037406A"/>
    <w:rsid w:val="00374517"/>
    <w:rsid w:val="00374984"/>
    <w:rsid w:val="003753D9"/>
    <w:rsid w:val="003818E4"/>
    <w:rsid w:val="00381B86"/>
    <w:rsid w:val="00382863"/>
    <w:rsid w:val="003843DD"/>
    <w:rsid w:val="0038535B"/>
    <w:rsid w:val="00385658"/>
    <w:rsid w:val="00385B11"/>
    <w:rsid w:val="00385F33"/>
    <w:rsid w:val="003860E9"/>
    <w:rsid w:val="0038619E"/>
    <w:rsid w:val="003866C6"/>
    <w:rsid w:val="00387251"/>
    <w:rsid w:val="00387281"/>
    <w:rsid w:val="003874DB"/>
    <w:rsid w:val="00387FD4"/>
    <w:rsid w:val="0039008C"/>
    <w:rsid w:val="0039139D"/>
    <w:rsid w:val="0039193C"/>
    <w:rsid w:val="003933C9"/>
    <w:rsid w:val="003945E6"/>
    <w:rsid w:val="00394A52"/>
    <w:rsid w:val="00394FBE"/>
    <w:rsid w:val="003954E5"/>
    <w:rsid w:val="0039619F"/>
    <w:rsid w:val="00396A85"/>
    <w:rsid w:val="003A0331"/>
    <w:rsid w:val="003A0960"/>
    <w:rsid w:val="003A31CF"/>
    <w:rsid w:val="003A39C7"/>
    <w:rsid w:val="003A540D"/>
    <w:rsid w:val="003A6886"/>
    <w:rsid w:val="003A7129"/>
    <w:rsid w:val="003B0612"/>
    <w:rsid w:val="003B0B26"/>
    <w:rsid w:val="003B106A"/>
    <w:rsid w:val="003B12E7"/>
    <w:rsid w:val="003B167E"/>
    <w:rsid w:val="003B1C9C"/>
    <w:rsid w:val="003B2A80"/>
    <w:rsid w:val="003B2E1A"/>
    <w:rsid w:val="003B3763"/>
    <w:rsid w:val="003B40A9"/>
    <w:rsid w:val="003B4D50"/>
    <w:rsid w:val="003B5F71"/>
    <w:rsid w:val="003B62A5"/>
    <w:rsid w:val="003C0363"/>
    <w:rsid w:val="003C05F9"/>
    <w:rsid w:val="003C063D"/>
    <w:rsid w:val="003C217D"/>
    <w:rsid w:val="003C2259"/>
    <w:rsid w:val="003C24DA"/>
    <w:rsid w:val="003C3AE3"/>
    <w:rsid w:val="003C438E"/>
    <w:rsid w:val="003C43FA"/>
    <w:rsid w:val="003C4E3C"/>
    <w:rsid w:val="003C572D"/>
    <w:rsid w:val="003C58FB"/>
    <w:rsid w:val="003C5F7C"/>
    <w:rsid w:val="003C7DF5"/>
    <w:rsid w:val="003C7E41"/>
    <w:rsid w:val="003D109E"/>
    <w:rsid w:val="003D2331"/>
    <w:rsid w:val="003D4789"/>
    <w:rsid w:val="003D57A1"/>
    <w:rsid w:val="003D636D"/>
    <w:rsid w:val="003D63AE"/>
    <w:rsid w:val="003D6528"/>
    <w:rsid w:val="003D75CE"/>
    <w:rsid w:val="003D77BF"/>
    <w:rsid w:val="003D798F"/>
    <w:rsid w:val="003E08A7"/>
    <w:rsid w:val="003E1E9B"/>
    <w:rsid w:val="003E2541"/>
    <w:rsid w:val="003E2EB3"/>
    <w:rsid w:val="003E33DD"/>
    <w:rsid w:val="003E3A05"/>
    <w:rsid w:val="003E5267"/>
    <w:rsid w:val="003E609B"/>
    <w:rsid w:val="003E6EF4"/>
    <w:rsid w:val="003E7375"/>
    <w:rsid w:val="003F135A"/>
    <w:rsid w:val="003F4896"/>
    <w:rsid w:val="003F66B5"/>
    <w:rsid w:val="003F6959"/>
    <w:rsid w:val="004002F7"/>
    <w:rsid w:val="004003FC"/>
    <w:rsid w:val="004010F5"/>
    <w:rsid w:val="00401B89"/>
    <w:rsid w:val="00402AC9"/>
    <w:rsid w:val="004044CD"/>
    <w:rsid w:val="00404780"/>
    <w:rsid w:val="00404E40"/>
    <w:rsid w:val="0040501F"/>
    <w:rsid w:val="00405E16"/>
    <w:rsid w:val="004066E2"/>
    <w:rsid w:val="004070B8"/>
    <w:rsid w:val="00407828"/>
    <w:rsid w:val="00407A92"/>
    <w:rsid w:val="00407C9C"/>
    <w:rsid w:val="00411398"/>
    <w:rsid w:val="004113EC"/>
    <w:rsid w:val="00411CBF"/>
    <w:rsid w:val="004126B5"/>
    <w:rsid w:val="00412E8A"/>
    <w:rsid w:val="00415856"/>
    <w:rsid w:val="004159FC"/>
    <w:rsid w:val="00416859"/>
    <w:rsid w:val="00416DD5"/>
    <w:rsid w:val="0041731B"/>
    <w:rsid w:val="00417828"/>
    <w:rsid w:val="00417B39"/>
    <w:rsid w:val="004208CC"/>
    <w:rsid w:val="0042295B"/>
    <w:rsid w:val="004241DB"/>
    <w:rsid w:val="0042786E"/>
    <w:rsid w:val="004328B2"/>
    <w:rsid w:val="00434A81"/>
    <w:rsid w:val="00434C1A"/>
    <w:rsid w:val="00434FEA"/>
    <w:rsid w:val="00436818"/>
    <w:rsid w:val="00440A50"/>
    <w:rsid w:val="00440E11"/>
    <w:rsid w:val="00440FC9"/>
    <w:rsid w:val="00444A9E"/>
    <w:rsid w:val="004475ED"/>
    <w:rsid w:val="00450B48"/>
    <w:rsid w:val="0045129B"/>
    <w:rsid w:val="004516A0"/>
    <w:rsid w:val="004531F3"/>
    <w:rsid w:val="00453BF2"/>
    <w:rsid w:val="00453C1D"/>
    <w:rsid w:val="00454246"/>
    <w:rsid w:val="004544F8"/>
    <w:rsid w:val="00454DF7"/>
    <w:rsid w:val="00455248"/>
    <w:rsid w:val="004557AF"/>
    <w:rsid w:val="00456E2B"/>
    <w:rsid w:val="0045753E"/>
    <w:rsid w:val="00460074"/>
    <w:rsid w:val="004602E9"/>
    <w:rsid w:val="004603F3"/>
    <w:rsid w:val="004619B5"/>
    <w:rsid w:val="004626C3"/>
    <w:rsid w:val="00464464"/>
    <w:rsid w:val="00464470"/>
    <w:rsid w:val="00464899"/>
    <w:rsid w:val="00465247"/>
    <w:rsid w:val="00465344"/>
    <w:rsid w:val="00465E85"/>
    <w:rsid w:val="004662EE"/>
    <w:rsid w:val="00466B9A"/>
    <w:rsid w:val="00466DCB"/>
    <w:rsid w:val="0046713F"/>
    <w:rsid w:val="00470882"/>
    <w:rsid w:val="00470A12"/>
    <w:rsid w:val="00470CA7"/>
    <w:rsid w:val="004730B6"/>
    <w:rsid w:val="00473665"/>
    <w:rsid w:val="004742DC"/>
    <w:rsid w:val="00475E14"/>
    <w:rsid w:val="00476D30"/>
    <w:rsid w:val="00477BB2"/>
    <w:rsid w:val="00480B24"/>
    <w:rsid w:val="004810CB"/>
    <w:rsid w:val="004815F4"/>
    <w:rsid w:val="00481A1A"/>
    <w:rsid w:val="0048297C"/>
    <w:rsid w:val="0048422D"/>
    <w:rsid w:val="00485C23"/>
    <w:rsid w:val="0048663B"/>
    <w:rsid w:val="00487108"/>
    <w:rsid w:val="00487DF9"/>
    <w:rsid w:val="00491397"/>
    <w:rsid w:val="00491D12"/>
    <w:rsid w:val="00492370"/>
    <w:rsid w:val="00492BFB"/>
    <w:rsid w:val="00492FD6"/>
    <w:rsid w:val="0049337C"/>
    <w:rsid w:val="00493506"/>
    <w:rsid w:val="0049525C"/>
    <w:rsid w:val="004956BC"/>
    <w:rsid w:val="00496F2B"/>
    <w:rsid w:val="00497505"/>
    <w:rsid w:val="004A1199"/>
    <w:rsid w:val="004A1262"/>
    <w:rsid w:val="004A2331"/>
    <w:rsid w:val="004A2D14"/>
    <w:rsid w:val="004A34EF"/>
    <w:rsid w:val="004A35D2"/>
    <w:rsid w:val="004A3625"/>
    <w:rsid w:val="004A414E"/>
    <w:rsid w:val="004A4BDF"/>
    <w:rsid w:val="004A501D"/>
    <w:rsid w:val="004A51E9"/>
    <w:rsid w:val="004A5836"/>
    <w:rsid w:val="004A76EA"/>
    <w:rsid w:val="004A7C5B"/>
    <w:rsid w:val="004B1BBE"/>
    <w:rsid w:val="004B1D0E"/>
    <w:rsid w:val="004B268F"/>
    <w:rsid w:val="004B281C"/>
    <w:rsid w:val="004B2C76"/>
    <w:rsid w:val="004B5420"/>
    <w:rsid w:val="004B5BC5"/>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DED"/>
    <w:rsid w:val="004C79B1"/>
    <w:rsid w:val="004D170C"/>
    <w:rsid w:val="004D1837"/>
    <w:rsid w:val="004D1B33"/>
    <w:rsid w:val="004D2415"/>
    <w:rsid w:val="004D29DB"/>
    <w:rsid w:val="004D378E"/>
    <w:rsid w:val="004D3E83"/>
    <w:rsid w:val="004D54E2"/>
    <w:rsid w:val="004D6241"/>
    <w:rsid w:val="004D6C54"/>
    <w:rsid w:val="004E02AC"/>
    <w:rsid w:val="004E0F47"/>
    <w:rsid w:val="004E15ED"/>
    <w:rsid w:val="004E40F3"/>
    <w:rsid w:val="004E4292"/>
    <w:rsid w:val="004E4BDB"/>
    <w:rsid w:val="004E5D73"/>
    <w:rsid w:val="004E6554"/>
    <w:rsid w:val="004E7FB1"/>
    <w:rsid w:val="004F03A1"/>
    <w:rsid w:val="004F03C6"/>
    <w:rsid w:val="004F096B"/>
    <w:rsid w:val="004F1410"/>
    <w:rsid w:val="004F172C"/>
    <w:rsid w:val="004F18A9"/>
    <w:rsid w:val="004F2083"/>
    <w:rsid w:val="004F49C3"/>
    <w:rsid w:val="004F60C2"/>
    <w:rsid w:val="004F650C"/>
    <w:rsid w:val="004F6F88"/>
    <w:rsid w:val="004F7F27"/>
    <w:rsid w:val="0050076F"/>
    <w:rsid w:val="005009B4"/>
    <w:rsid w:val="0050145D"/>
    <w:rsid w:val="00501574"/>
    <w:rsid w:val="0050182B"/>
    <w:rsid w:val="00501B2A"/>
    <w:rsid w:val="00501F25"/>
    <w:rsid w:val="00502639"/>
    <w:rsid w:val="00503BE5"/>
    <w:rsid w:val="00504B2E"/>
    <w:rsid w:val="005067C7"/>
    <w:rsid w:val="00506CF3"/>
    <w:rsid w:val="00510A59"/>
    <w:rsid w:val="00511014"/>
    <w:rsid w:val="00511A60"/>
    <w:rsid w:val="00512067"/>
    <w:rsid w:val="005124A3"/>
    <w:rsid w:val="005127F5"/>
    <w:rsid w:val="005138A0"/>
    <w:rsid w:val="00513A29"/>
    <w:rsid w:val="00514060"/>
    <w:rsid w:val="00514F30"/>
    <w:rsid w:val="00515750"/>
    <w:rsid w:val="005164DA"/>
    <w:rsid w:val="00516A4E"/>
    <w:rsid w:val="00520C2E"/>
    <w:rsid w:val="00520C5D"/>
    <w:rsid w:val="00520D72"/>
    <w:rsid w:val="005212CB"/>
    <w:rsid w:val="00521329"/>
    <w:rsid w:val="00522687"/>
    <w:rsid w:val="00523E90"/>
    <w:rsid w:val="005251F3"/>
    <w:rsid w:val="00525B88"/>
    <w:rsid w:val="005262D2"/>
    <w:rsid w:val="00526367"/>
    <w:rsid w:val="0053127F"/>
    <w:rsid w:val="00533315"/>
    <w:rsid w:val="005334BE"/>
    <w:rsid w:val="0053366B"/>
    <w:rsid w:val="0053478B"/>
    <w:rsid w:val="00534B09"/>
    <w:rsid w:val="00535152"/>
    <w:rsid w:val="00535371"/>
    <w:rsid w:val="00535901"/>
    <w:rsid w:val="005369B2"/>
    <w:rsid w:val="00536C2B"/>
    <w:rsid w:val="00537165"/>
    <w:rsid w:val="00537B0B"/>
    <w:rsid w:val="005405CC"/>
    <w:rsid w:val="00541A7F"/>
    <w:rsid w:val="00542958"/>
    <w:rsid w:val="0054330F"/>
    <w:rsid w:val="00544BF3"/>
    <w:rsid w:val="005450C7"/>
    <w:rsid w:val="00545F28"/>
    <w:rsid w:val="005461DD"/>
    <w:rsid w:val="00546A21"/>
    <w:rsid w:val="00546D35"/>
    <w:rsid w:val="0054781F"/>
    <w:rsid w:val="00552575"/>
    <w:rsid w:val="005527C9"/>
    <w:rsid w:val="00553183"/>
    <w:rsid w:val="00554EA8"/>
    <w:rsid w:val="0055540A"/>
    <w:rsid w:val="00557F0F"/>
    <w:rsid w:val="005602D5"/>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708"/>
    <w:rsid w:val="00577835"/>
    <w:rsid w:val="00580D2E"/>
    <w:rsid w:val="0058118A"/>
    <w:rsid w:val="00583683"/>
    <w:rsid w:val="0058424A"/>
    <w:rsid w:val="00584495"/>
    <w:rsid w:val="00584CB1"/>
    <w:rsid w:val="00585D61"/>
    <w:rsid w:val="0058600F"/>
    <w:rsid w:val="00586CEC"/>
    <w:rsid w:val="00587659"/>
    <w:rsid w:val="00587715"/>
    <w:rsid w:val="005913BF"/>
    <w:rsid w:val="00591DD4"/>
    <w:rsid w:val="00592352"/>
    <w:rsid w:val="00592960"/>
    <w:rsid w:val="00592CB1"/>
    <w:rsid w:val="00593F13"/>
    <w:rsid w:val="0059440B"/>
    <w:rsid w:val="005956AF"/>
    <w:rsid w:val="0059713B"/>
    <w:rsid w:val="00597270"/>
    <w:rsid w:val="005973AA"/>
    <w:rsid w:val="005A10E4"/>
    <w:rsid w:val="005A1206"/>
    <w:rsid w:val="005A25F3"/>
    <w:rsid w:val="005A2EF2"/>
    <w:rsid w:val="005A37C5"/>
    <w:rsid w:val="005A3AA8"/>
    <w:rsid w:val="005A523B"/>
    <w:rsid w:val="005A5C3C"/>
    <w:rsid w:val="005A5E78"/>
    <w:rsid w:val="005A6923"/>
    <w:rsid w:val="005A6C56"/>
    <w:rsid w:val="005A7732"/>
    <w:rsid w:val="005B1234"/>
    <w:rsid w:val="005B305A"/>
    <w:rsid w:val="005B4F59"/>
    <w:rsid w:val="005B53C5"/>
    <w:rsid w:val="005B5A83"/>
    <w:rsid w:val="005B630F"/>
    <w:rsid w:val="005B77B3"/>
    <w:rsid w:val="005B7B50"/>
    <w:rsid w:val="005C0911"/>
    <w:rsid w:val="005C115F"/>
    <w:rsid w:val="005C3324"/>
    <w:rsid w:val="005C3FC2"/>
    <w:rsid w:val="005C409B"/>
    <w:rsid w:val="005C497D"/>
    <w:rsid w:val="005C4C65"/>
    <w:rsid w:val="005C51A0"/>
    <w:rsid w:val="005C5EF3"/>
    <w:rsid w:val="005C6252"/>
    <w:rsid w:val="005C668A"/>
    <w:rsid w:val="005D35AF"/>
    <w:rsid w:val="005D3D39"/>
    <w:rsid w:val="005D441C"/>
    <w:rsid w:val="005D577A"/>
    <w:rsid w:val="005D6373"/>
    <w:rsid w:val="005D7640"/>
    <w:rsid w:val="005D7CFB"/>
    <w:rsid w:val="005E1154"/>
    <w:rsid w:val="005E1C40"/>
    <w:rsid w:val="005E1E29"/>
    <w:rsid w:val="005E2294"/>
    <w:rsid w:val="005E318D"/>
    <w:rsid w:val="005E4D77"/>
    <w:rsid w:val="005E779E"/>
    <w:rsid w:val="005E7C5E"/>
    <w:rsid w:val="005F0100"/>
    <w:rsid w:val="005F16A0"/>
    <w:rsid w:val="005F1BCC"/>
    <w:rsid w:val="005F25A2"/>
    <w:rsid w:val="005F38B3"/>
    <w:rsid w:val="005F4190"/>
    <w:rsid w:val="005F45D3"/>
    <w:rsid w:val="005F56BB"/>
    <w:rsid w:val="005F68C0"/>
    <w:rsid w:val="005F6FDD"/>
    <w:rsid w:val="006027CD"/>
    <w:rsid w:val="00603322"/>
    <w:rsid w:val="0060364E"/>
    <w:rsid w:val="00603F77"/>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7D23"/>
    <w:rsid w:val="006202FC"/>
    <w:rsid w:val="0062104F"/>
    <w:rsid w:val="00621539"/>
    <w:rsid w:val="00621C90"/>
    <w:rsid w:val="006237B4"/>
    <w:rsid w:val="00623D44"/>
    <w:rsid w:val="0062571C"/>
    <w:rsid w:val="006274C0"/>
    <w:rsid w:val="00627AEE"/>
    <w:rsid w:val="00627B9B"/>
    <w:rsid w:val="00630259"/>
    <w:rsid w:val="00630A52"/>
    <w:rsid w:val="00630CB5"/>
    <w:rsid w:val="00632A79"/>
    <w:rsid w:val="00633443"/>
    <w:rsid w:val="00634462"/>
    <w:rsid w:val="006349DE"/>
    <w:rsid w:val="00635572"/>
    <w:rsid w:val="00636F6E"/>
    <w:rsid w:val="00637E43"/>
    <w:rsid w:val="00640D70"/>
    <w:rsid w:val="00641291"/>
    <w:rsid w:val="006420C1"/>
    <w:rsid w:val="00643307"/>
    <w:rsid w:val="00644771"/>
    <w:rsid w:val="00644E86"/>
    <w:rsid w:val="00645B47"/>
    <w:rsid w:val="00645FCB"/>
    <w:rsid w:val="006467F1"/>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EF8"/>
    <w:rsid w:val="00672B22"/>
    <w:rsid w:val="00672F8E"/>
    <w:rsid w:val="006748B9"/>
    <w:rsid w:val="00674B11"/>
    <w:rsid w:val="00674CC1"/>
    <w:rsid w:val="00675290"/>
    <w:rsid w:val="00675AEC"/>
    <w:rsid w:val="00676230"/>
    <w:rsid w:val="00676D56"/>
    <w:rsid w:val="00677055"/>
    <w:rsid w:val="0067771F"/>
    <w:rsid w:val="00677A8A"/>
    <w:rsid w:val="00680376"/>
    <w:rsid w:val="00680B45"/>
    <w:rsid w:val="0068139A"/>
    <w:rsid w:val="00681645"/>
    <w:rsid w:val="0068555D"/>
    <w:rsid w:val="00686FBD"/>
    <w:rsid w:val="0068785B"/>
    <w:rsid w:val="00687A82"/>
    <w:rsid w:val="00687EC5"/>
    <w:rsid w:val="006905CD"/>
    <w:rsid w:val="006909A7"/>
    <w:rsid w:val="00692D7B"/>
    <w:rsid w:val="00692FC0"/>
    <w:rsid w:val="00693D45"/>
    <w:rsid w:val="006958D7"/>
    <w:rsid w:val="006958FB"/>
    <w:rsid w:val="00695FCA"/>
    <w:rsid w:val="006A08C5"/>
    <w:rsid w:val="006A09E4"/>
    <w:rsid w:val="006A0FA6"/>
    <w:rsid w:val="006A150A"/>
    <w:rsid w:val="006A1B7D"/>
    <w:rsid w:val="006A1D03"/>
    <w:rsid w:val="006A233C"/>
    <w:rsid w:val="006A3C6E"/>
    <w:rsid w:val="006A3CB3"/>
    <w:rsid w:val="006A68C0"/>
    <w:rsid w:val="006A6DE4"/>
    <w:rsid w:val="006A76F1"/>
    <w:rsid w:val="006A79C5"/>
    <w:rsid w:val="006B02E8"/>
    <w:rsid w:val="006B0652"/>
    <w:rsid w:val="006B0D69"/>
    <w:rsid w:val="006B2462"/>
    <w:rsid w:val="006B24CC"/>
    <w:rsid w:val="006B28F5"/>
    <w:rsid w:val="006B30E9"/>
    <w:rsid w:val="006B47FC"/>
    <w:rsid w:val="006B78A0"/>
    <w:rsid w:val="006B7CBA"/>
    <w:rsid w:val="006B7CD6"/>
    <w:rsid w:val="006B7E0A"/>
    <w:rsid w:val="006C01CA"/>
    <w:rsid w:val="006C0415"/>
    <w:rsid w:val="006C06E8"/>
    <w:rsid w:val="006C1278"/>
    <w:rsid w:val="006C131E"/>
    <w:rsid w:val="006C29C6"/>
    <w:rsid w:val="006C3621"/>
    <w:rsid w:val="006C3A51"/>
    <w:rsid w:val="006C41D7"/>
    <w:rsid w:val="006C4BA6"/>
    <w:rsid w:val="006C4EBF"/>
    <w:rsid w:val="006C5CDF"/>
    <w:rsid w:val="006C7E0A"/>
    <w:rsid w:val="006D0316"/>
    <w:rsid w:val="006D17F6"/>
    <w:rsid w:val="006D2FF8"/>
    <w:rsid w:val="006D516B"/>
    <w:rsid w:val="006D542E"/>
    <w:rsid w:val="006D63A1"/>
    <w:rsid w:val="006D6475"/>
    <w:rsid w:val="006D64B4"/>
    <w:rsid w:val="006D7970"/>
    <w:rsid w:val="006D7C9D"/>
    <w:rsid w:val="006D7FE1"/>
    <w:rsid w:val="006E5A1D"/>
    <w:rsid w:val="006E5B1F"/>
    <w:rsid w:val="006E642D"/>
    <w:rsid w:val="006E67DA"/>
    <w:rsid w:val="006E68BC"/>
    <w:rsid w:val="006E6D0A"/>
    <w:rsid w:val="006E6E68"/>
    <w:rsid w:val="006F0B43"/>
    <w:rsid w:val="006F17CE"/>
    <w:rsid w:val="006F2C4C"/>
    <w:rsid w:val="006F2E97"/>
    <w:rsid w:val="006F302B"/>
    <w:rsid w:val="006F323D"/>
    <w:rsid w:val="006F37A3"/>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41D8"/>
    <w:rsid w:val="007164A3"/>
    <w:rsid w:val="00716C61"/>
    <w:rsid w:val="00716D28"/>
    <w:rsid w:val="00716E27"/>
    <w:rsid w:val="00717B4A"/>
    <w:rsid w:val="00720D6E"/>
    <w:rsid w:val="007247B0"/>
    <w:rsid w:val="00724DA9"/>
    <w:rsid w:val="007250C0"/>
    <w:rsid w:val="007263B1"/>
    <w:rsid w:val="00727784"/>
    <w:rsid w:val="007301D0"/>
    <w:rsid w:val="007320A1"/>
    <w:rsid w:val="0073274B"/>
    <w:rsid w:val="007329DA"/>
    <w:rsid w:val="00734218"/>
    <w:rsid w:val="007347FA"/>
    <w:rsid w:val="007357DC"/>
    <w:rsid w:val="00735A5A"/>
    <w:rsid w:val="00736722"/>
    <w:rsid w:val="007372F9"/>
    <w:rsid w:val="00740AD6"/>
    <w:rsid w:val="00740E20"/>
    <w:rsid w:val="0074124B"/>
    <w:rsid w:val="00741A6F"/>
    <w:rsid w:val="007423FF"/>
    <w:rsid w:val="007436CB"/>
    <w:rsid w:val="00743E83"/>
    <w:rsid w:val="007441E8"/>
    <w:rsid w:val="0074508E"/>
    <w:rsid w:val="007460AE"/>
    <w:rsid w:val="007463E4"/>
    <w:rsid w:val="00747D57"/>
    <w:rsid w:val="007500C0"/>
    <w:rsid w:val="0075070E"/>
    <w:rsid w:val="00751149"/>
    <w:rsid w:val="007512D1"/>
    <w:rsid w:val="00751F4A"/>
    <w:rsid w:val="0075300E"/>
    <w:rsid w:val="0075377D"/>
    <w:rsid w:val="0075528C"/>
    <w:rsid w:val="00756310"/>
    <w:rsid w:val="007564DE"/>
    <w:rsid w:val="007573B6"/>
    <w:rsid w:val="0076349B"/>
    <w:rsid w:val="0076458B"/>
    <w:rsid w:val="00764F23"/>
    <w:rsid w:val="00764F9A"/>
    <w:rsid w:val="007653CB"/>
    <w:rsid w:val="00765887"/>
    <w:rsid w:val="00767CDC"/>
    <w:rsid w:val="00770E59"/>
    <w:rsid w:val="00771678"/>
    <w:rsid w:val="00771769"/>
    <w:rsid w:val="007719B1"/>
    <w:rsid w:val="00771D66"/>
    <w:rsid w:val="00772D49"/>
    <w:rsid w:val="007741DF"/>
    <w:rsid w:val="00774A17"/>
    <w:rsid w:val="00774F3C"/>
    <w:rsid w:val="007753D0"/>
    <w:rsid w:val="00775691"/>
    <w:rsid w:val="0077611D"/>
    <w:rsid w:val="007762C4"/>
    <w:rsid w:val="007767BE"/>
    <w:rsid w:val="00776AB9"/>
    <w:rsid w:val="00776E7C"/>
    <w:rsid w:val="00777532"/>
    <w:rsid w:val="00777873"/>
    <w:rsid w:val="007801B1"/>
    <w:rsid w:val="00781349"/>
    <w:rsid w:val="00784591"/>
    <w:rsid w:val="007854B0"/>
    <w:rsid w:val="007861F6"/>
    <w:rsid w:val="007867FF"/>
    <w:rsid w:val="00787F50"/>
    <w:rsid w:val="00790801"/>
    <w:rsid w:val="0079153C"/>
    <w:rsid w:val="00792729"/>
    <w:rsid w:val="0079297E"/>
    <w:rsid w:val="00793476"/>
    <w:rsid w:val="007940B1"/>
    <w:rsid w:val="00794119"/>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6621"/>
    <w:rsid w:val="007A6D2A"/>
    <w:rsid w:val="007A6EE5"/>
    <w:rsid w:val="007B2864"/>
    <w:rsid w:val="007B2BF8"/>
    <w:rsid w:val="007B2C4C"/>
    <w:rsid w:val="007B3361"/>
    <w:rsid w:val="007B4071"/>
    <w:rsid w:val="007B525E"/>
    <w:rsid w:val="007B5BBE"/>
    <w:rsid w:val="007B62DC"/>
    <w:rsid w:val="007B6B2E"/>
    <w:rsid w:val="007B6BEE"/>
    <w:rsid w:val="007C019C"/>
    <w:rsid w:val="007C09C8"/>
    <w:rsid w:val="007C0C3D"/>
    <w:rsid w:val="007C176B"/>
    <w:rsid w:val="007C3F8C"/>
    <w:rsid w:val="007C5CD7"/>
    <w:rsid w:val="007C63BD"/>
    <w:rsid w:val="007C73D7"/>
    <w:rsid w:val="007D06CA"/>
    <w:rsid w:val="007D0AE5"/>
    <w:rsid w:val="007D0D98"/>
    <w:rsid w:val="007D102C"/>
    <w:rsid w:val="007D19CB"/>
    <w:rsid w:val="007D2253"/>
    <w:rsid w:val="007D248B"/>
    <w:rsid w:val="007D2F80"/>
    <w:rsid w:val="007D369C"/>
    <w:rsid w:val="007D4697"/>
    <w:rsid w:val="007D499A"/>
    <w:rsid w:val="007D72E2"/>
    <w:rsid w:val="007E0086"/>
    <w:rsid w:val="007E0B5D"/>
    <w:rsid w:val="007E3AAE"/>
    <w:rsid w:val="007E40B3"/>
    <w:rsid w:val="007E414E"/>
    <w:rsid w:val="007E5500"/>
    <w:rsid w:val="007E61B8"/>
    <w:rsid w:val="007E640D"/>
    <w:rsid w:val="007E6A26"/>
    <w:rsid w:val="007E6B1C"/>
    <w:rsid w:val="007E6B32"/>
    <w:rsid w:val="007E6B55"/>
    <w:rsid w:val="007E6BE3"/>
    <w:rsid w:val="007E70FF"/>
    <w:rsid w:val="007F080F"/>
    <w:rsid w:val="007F084D"/>
    <w:rsid w:val="007F0ADA"/>
    <w:rsid w:val="007F15EE"/>
    <w:rsid w:val="007F381F"/>
    <w:rsid w:val="007F52C8"/>
    <w:rsid w:val="007F577C"/>
    <w:rsid w:val="007F5905"/>
    <w:rsid w:val="007F5AF0"/>
    <w:rsid w:val="007F5F82"/>
    <w:rsid w:val="007F633D"/>
    <w:rsid w:val="007F63FA"/>
    <w:rsid w:val="007F7C7E"/>
    <w:rsid w:val="008004EA"/>
    <w:rsid w:val="00800BD2"/>
    <w:rsid w:val="00800C8C"/>
    <w:rsid w:val="00801BA6"/>
    <w:rsid w:val="00804949"/>
    <w:rsid w:val="00804A06"/>
    <w:rsid w:val="00805423"/>
    <w:rsid w:val="00807155"/>
    <w:rsid w:val="008078A2"/>
    <w:rsid w:val="0080792E"/>
    <w:rsid w:val="008104BA"/>
    <w:rsid w:val="008117B5"/>
    <w:rsid w:val="00812C3D"/>
    <w:rsid w:val="00812CA0"/>
    <w:rsid w:val="00813134"/>
    <w:rsid w:val="00813530"/>
    <w:rsid w:val="0081422F"/>
    <w:rsid w:val="00814A45"/>
    <w:rsid w:val="00814D48"/>
    <w:rsid w:val="00814EFA"/>
    <w:rsid w:val="0081715C"/>
    <w:rsid w:val="0081753D"/>
    <w:rsid w:val="00817CC9"/>
    <w:rsid w:val="008205A9"/>
    <w:rsid w:val="0082103F"/>
    <w:rsid w:val="0082166F"/>
    <w:rsid w:val="00823E8B"/>
    <w:rsid w:val="00824A3B"/>
    <w:rsid w:val="00824D9F"/>
    <w:rsid w:val="00825270"/>
    <w:rsid w:val="0082678F"/>
    <w:rsid w:val="00826F04"/>
    <w:rsid w:val="0082704D"/>
    <w:rsid w:val="00827FB7"/>
    <w:rsid w:val="0083235A"/>
    <w:rsid w:val="00833894"/>
    <w:rsid w:val="00834515"/>
    <w:rsid w:val="00834782"/>
    <w:rsid w:val="00834BA2"/>
    <w:rsid w:val="00834C7A"/>
    <w:rsid w:val="008369F0"/>
    <w:rsid w:val="008374AB"/>
    <w:rsid w:val="0083767C"/>
    <w:rsid w:val="0083778A"/>
    <w:rsid w:val="00841F57"/>
    <w:rsid w:val="00842C3A"/>
    <w:rsid w:val="0084528E"/>
    <w:rsid w:val="00845566"/>
    <w:rsid w:val="008458C2"/>
    <w:rsid w:val="00846639"/>
    <w:rsid w:val="0084680E"/>
    <w:rsid w:val="00847CEC"/>
    <w:rsid w:val="008509A3"/>
    <w:rsid w:val="00850AC7"/>
    <w:rsid w:val="00850E5F"/>
    <w:rsid w:val="00850F41"/>
    <w:rsid w:val="008516F3"/>
    <w:rsid w:val="0085250F"/>
    <w:rsid w:val="0085296F"/>
    <w:rsid w:val="00853A66"/>
    <w:rsid w:val="00853E19"/>
    <w:rsid w:val="00854072"/>
    <w:rsid w:val="008540B7"/>
    <w:rsid w:val="00854835"/>
    <w:rsid w:val="0085490D"/>
    <w:rsid w:val="00854B24"/>
    <w:rsid w:val="00854D1F"/>
    <w:rsid w:val="008557BC"/>
    <w:rsid w:val="0085598F"/>
    <w:rsid w:val="008572DC"/>
    <w:rsid w:val="008572EB"/>
    <w:rsid w:val="008629C7"/>
    <w:rsid w:val="00862F16"/>
    <w:rsid w:val="008630D1"/>
    <w:rsid w:val="008643A8"/>
    <w:rsid w:val="00864A36"/>
    <w:rsid w:val="008652DA"/>
    <w:rsid w:val="00865467"/>
    <w:rsid w:val="00865A2B"/>
    <w:rsid w:val="00866685"/>
    <w:rsid w:val="0086717D"/>
    <w:rsid w:val="00870B31"/>
    <w:rsid w:val="008730DF"/>
    <w:rsid w:val="0087322A"/>
    <w:rsid w:val="00874F37"/>
    <w:rsid w:val="00874FE6"/>
    <w:rsid w:val="0087549A"/>
    <w:rsid w:val="00875984"/>
    <w:rsid w:val="008764B1"/>
    <w:rsid w:val="008807BB"/>
    <w:rsid w:val="00880E94"/>
    <w:rsid w:val="00882350"/>
    <w:rsid w:val="00882C8A"/>
    <w:rsid w:val="00882E7C"/>
    <w:rsid w:val="00884108"/>
    <w:rsid w:val="008905AE"/>
    <w:rsid w:val="00890B10"/>
    <w:rsid w:val="00890D49"/>
    <w:rsid w:val="00892059"/>
    <w:rsid w:val="00893BD4"/>
    <w:rsid w:val="00893E4B"/>
    <w:rsid w:val="008945C5"/>
    <w:rsid w:val="00894A53"/>
    <w:rsid w:val="008958A8"/>
    <w:rsid w:val="00895940"/>
    <w:rsid w:val="00895DB8"/>
    <w:rsid w:val="0089663D"/>
    <w:rsid w:val="00896863"/>
    <w:rsid w:val="00897208"/>
    <w:rsid w:val="00897463"/>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D92"/>
    <w:rsid w:val="008B052D"/>
    <w:rsid w:val="008B0909"/>
    <w:rsid w:val="008B116E"/>
    <w:rsid w:val="008B135E"/>
    <w:rsid w:val="008B2093"/>
    <w:rsid w:val="008B2EFD"/>
    <w:rsid w:val="008B3023"/>
    <w:rsid w:val="008B367F"/>
    <w:rsid w:val="008B61F6"/>
    <w:rsid w:val="008B700D"/>
    <w:rsid w:val="008B72B9"/>
    <w:rsid w:val="008B7D6A"/>
    <w:rsid w:val="008C10B3"/>
    <w:rsid w:val="008C1820"/>
    <w:rsid w:val="008C2408"/>
    <w:rsid w:val="008C27B0"/>
    <w:rsid w:val="008C2B13"/>
    <w:rsid w:val="008C3C00"/>
    <w:rsid w:val="008C3E72"/>
    <w:rsid w:val="008C4299"/>
    <w:rsid w:val="008C52D3"/>
    <w:rsid w:val="008C6881"/>
    <w:rsid w:val="008C7AD7"/>
    <w:rsid w:val="008C7D92"/>
    <w:rsid w:val="008D0107"/>
    <w:rsid w:val="008D0A4D"/>
    <w:rsid w:val="008D2523"/>
    <w:rsid w:val="008D2534"/>
    <w:rsid w:val="008D25F2"/>
    <w:rsid w:val="008D2D53"/>
    <w:rsid w:val="008D3A40"/>
    <w:rsid w:val="008D3B01"/>
    <w:rsid w:val="008D3C10"/>
    <w:rsid w:val="008D3C56"/>
    <w:rsid w:val="008D3F54"/>
    <w:rsid w:val="008D5257"/>
    <w:rsid w:val="008D5733"/>
    <w:rsid w:val="008D5CA5"/>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21A7"/>
    <w:rsid w:val="008F2686"/>
    <w:rsid w:val="008F2E46"/>
    <w:rsid w:val="008F3F7A"/>
    <w:rsid w:val="008F4A2C"/>
    <w:rsid w:val="008F5B2F"/>
    <w:rsid w:val="008F69FA"/>
    <w:rsid w:val="008F7332"/>
    <w:rsid w:val="008F7F97"/>
    <w:rsid w:val="0090059C"/>
    <w:rsid w:val="0090071A"/>
    <w:rsid w:val="00902204"/>
    <w:rsid w:val="0090279A"/>
    <w:rsid w:val="009038B7"/>
    <w:rsid w:val="009045B2"/>
    <w:rsid w:val="00906C0A"/>
    <w:rsid w:val="009076AF"/>
    <w:rsid w:val="00907AD3"/>
    <w:rsid w:val="009103C4"/>
    <w:rsid w:val="0091129F"/>
    <w:rsid w:val="009114BC"/>
    <w:rsid w:val="009124A4"/>
    <w:rsid w:val="00912D54"/>
    <w:rsid w:val="009134DD"/>
    <w:rsid w:val="00915535"/>
    <w:rsid w:val="00916EEF"/>
    <w:rsid w:val="0091723E"/>
    <w:rsid w:val="00920CAC"/>
    <w:rsid w:val="00920E2E"/>
    <w:rsid w:val="0092171B"/>
    <w:rsid w:val="00921F95"/>
    <w:rsid w:val="0092213B"/>
    <w:rsid w:val="00924C6D"/>
    <w:rsid w:val="009253E6"/>
    <w:rsid w:val="00925531"/>
    <w:rsid w:val="00925D2D"/>
    <w:rsid w:val="00927A9B"/>
    <w:rsid w:val="0093056F"/>
    <w:rsid w:val="0093162B"/>
    <w:rsid w:val="00931FEF"/>
    <w:rsid w:val="00932793"/>
    <w:rsid w:val="00932E0A"/>
    <w:rsid w:val="00934D24"/>
    <w:rsid w:val="009356E8"/>
    <w:rsid w:val="00935D1B"/>
    <w:rsid w:val="009406FE"/>
    <w:rsid w:val="00940C83"/>
    <w:rsid w:val="009421D0"/>
    <w:rsid w:val="009436E3"/>
    <w:rsid w:val="009437F2"/>
    <w:rsid w:val="0094380B"/>
    <w:rsid w:val="00943D71"/>
    <w:rsid w:val="00944327"/>
    <w:rsid w:val="009445EB"/>
    <w:rsid w:val="00944C74"/>
    <w:rsid w:val="0094511F"/>
    <w:rsid w:val="00946279"/>
    <w:rsid w:val="009462A9"/>
    <w:rsid w:val="00947932"/>
    <w:rsid w:val="00947E6B"/>
    <w:rsid w:val="00950623"/>
    <w:rsid w:val="009508A5"/>
    <w:rsid w:val="00951422"/>
    <w:rsid w:val="00951D9A"/>
    <w:rsid w:val="0095269F"/>
    <w:rsid w:val="0095280F"/>
    <w:rsid w:val="009542E3"/>
    <w:rsid w:val="00954AAB"/>
    <w:rsid w:val="00957147"/>
    <w:rsid w:val="0095722D"/>
    <w:rsid w:val="00957AC1"/>
    <w:rsid w:val="009615FC"/>
    <w:rsid w:val="009620B0"/>
    <w:rsid w:val="00962C03"/>
    <w:rsid w:val="00962EBA"/>
    <w:rsid w:val="00963545"/>
    <w:rsid w:val="00965558"/>
    <w:rsid w:val="00965B94"/>
    <w:rsid w:val="00966DAC"/>
    <w:rsid w:val="009673AD"/>
    <w:rsid w:val="00970305"/>
    <w:rsid w:val="0097175D"/>
    <w:rsid w:val="00973F36"/>
    <w:rsid w:val="00973F47"/>
    <w:rsid w:val="00974691"/>
    <w:rsid w:val="009751F1"/>
    <w:rsid w:val="009763E4"/>
    <w:rsid w:val="00976AFA"/>
    <w:rsid w:val="00977025"/>
    <w:rsid w:val="00980613"/>
    <w:rsid w:val="0098067F"/>
    <w:rsid w:val="009810BB"/>
    <w:rsid w:val="00981C6E"/>
    <w:rsid w:val="00982420"/>
    <w:rsid w:val="00982486"/>
    <w:rsid w:val="009838BF"/>
    <w:rsid w:val="00984144"/>
    <w:rsid w:val="0098426D"/>
    <w:rsid w:val="00984D9A"/>
    <w:rsid w:val="0098695A"/>
    <w:rsid w:val="00986B80"/>
    <w:rsid w:val="00990248"/>
    <w:rsid w:val="00991F3C"/>
    <w:rsid w:val="009920F3"/>
    <w:rsid w:val="00992C22"/>
    <w:rsid w:val="00993474"/>
    <w:rsid w:val="00993D64"/>
    <w:rsid w:val="009946F1"/>
    <w:rsid w:val="00994D8A"/>
    <w:rsid w:val="00995F58"/>
    <w:rsid w:val="009965E8"/>
    <w:rsid w:val="0099680A"/>
    <w:rsid w:val="00996869"/>
    <w:rsid w:val="00997077"/>
    <w:rsid w:val="009A0333"/>
    <w:rsid w:val="009A07B1"/>
    <w:rsid w:val="009A18F3"/>
    <w:rsid w:val="009A3E64"/>
    <w:rsid w:val="009A4AD2"/>
    <w:rsid w:val="009A54E6"/>
    <w:rsid w:val="009A567C"/>
    <w:rsid w:val="009A5FBF"/>
    <w:rsid w:val="009A6255"/>
    <w:rsid w:val="009A67E1"/>
    <w:rsid w:val="009B0B77"/>
    <w:rsid w:val="009B0BA0"/>
    <w:rsid w:val="009B19B5"/>
    <w:rsid w:val="009B2721"/>
    <w:rsid w:val="009B2AC2"/>
    <w:rsid w:val="009B3584"/>
    <w:rsid w:val="009B362E"/>
    <w:rsid w:val="009B4D75"/>
    <w:rsid w:val="009B5598"/>
    <w:rsid w:val="009B5720"/>
    <w:rsid w:val="009B74EE"/>
    <w:rsid w:val="009C155B"/>
    <w:rsid w:val="009C1D23"/>
    <w:rsid w:val="009C212E"/>
    <w:rsid w:val="009C29B8"/>
    <w:rsid w:val="009C3BBE"/>
    <w:rsid w:val="009C57C8"/>
    <w:rsid w:val="009C5965"/>
    <w:rsid w:val="009C65A0"/>
    <w:rsid w:val="009C686B"/>
    <w:rsid w:val="009D039A"/>
    <w:rsid w:val="009D074B"/>
    <w:rsid w:val="009D1D48"/>
    <w:rsid w:val="009D22A3"/>
    <w:rsid w:val="009D31D3"/>
    <w:rsid w:val="009D544D"/>
    <w:rsid w:val="009D5B73"/>
    <w:rsid w:val="009D5DB1"/>
    <w:rsid w:val="009D7B05"/>
    <w:rsid w:val="009E0304"/>
    <w:rsid w:val="009E33E8"/>
    <w:rsid w:val="009E3EC4"/>
    <w:rsid w:val="009E68B0"/>
    <w:rsid w:val="009E7A36"/>
    <w:rsid w:val="009E7D2B"/>
    <w:rsid w:val="009F15CD"/>
    <w:rsid w:val="009F1C65"/>
    <w:rsid w:val="009F2F5F"/>
    <w:rsid w:val="009F5D56"/>
    <w:rsid w:val="009F6C61"/>
    <w:rsid w:val="009F6D05"/>
    <w:rsid w:val="009F7C3C"/>
    <w:rsid w:val="00A004F4"/>
    <w:rsid w:val="00A00B45"/>
    <w:rsid w:val="00A029D4"/>
    <w:rsid w:val="00A03CB1"/>
    <w:rsid w:val="00A052C9"/>
    <w:rsid w:val="00A059B1"/>
    <w:rsid w:val="00A0662A"/>
    <w:rsid w:val="00A0748A"/>
    <w:rsid w:val="00A07B32"/>
    <w:rsid w:val="00A104E0"/>
    <w:rsid w:val="00A109A2"/>
    <w:rsid w:val="00A10F8C"/>
    <w:rsid w:val="00A11557"/>
    <w:rsid w:val="00A12584"/>
    <w:rsid w:val="00A1338D"/>
    <w:rsid w:val="00A1341F"/>
    <w:rsid w:val="00A17E41"/>
    <w:rsid w:val="00A21185"/>
    <w:rsid w:val="00A220D0"/>
    <w:rsid w:val="00A235A1"/>
    <w:rsid w:val="00A24A35"/>
    <w:rsid w:val="00A25125"/>
    <w:rsid w:val="00A2659C"/>
    <w:rsid w:val="00A2732F"/>
    <w:rsid w:val="00A301E3"/>
    <w:rsid w:val="00A302BD"/>
    <w:rsid w:val="00A30304"/>
    <w:rsid w:val="00A30B59"/>
    <w:rsid w:val="00A30EBB"/>
    <w:rsid w:val="00A32399"/>
    <w:rsid w:val="00A324E4"/>
    <w:rsid w:val="00A326BE"/>
    <w:rsid w:val="00A329F3"/>
    <w:rsid w:val="00A32D95"/>
    <w:rsid w:val="00A33D2A"/>
    <w:rsid w:val="00A34867"/>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30BD"/>
    <w:rsid w:val="00A54060"/>
    <w:rsid w:val="00A543BF"/>
    <w:rsid w:val="00A56080"/>
    <w:rsid w:val="00A56589"/>
    <w:rsid w:val="00A568B4"/>
    <w:rsid w:val="00A612B2"/>
    <w:rsid w:val="00A6277E"/>
    <w:rsid w:val="00A644C5"/>
    <w:rsid w:val="00A657EE"/>
    <w:rsid w:val="00A669C0"/>
    <w:rsid w:val="00A66B75"/>
    <w:rsid w:val="00A66EB8"/>
    <w:rsid w:val="00A70797"/>
    <w:rsid w:val="00A71345"/>
    <w:rsid w:val="00A714D6"/>
    <w:rsid w:val="00A71D8E"/>
    <w:rsid w:val="00A7219D"/>
    <w:rsid w:val="00A7396B"/>
    <w:rsid w:val="00A75B45"/>
    <w:rsid w:val="00A75FC9"/>
    <w:rsid w:val="00A771B4"/>
    <w:rsid w:val="00A827A8"/>
    <w:rsid w:val="00A846C4"/>
    <w:rsid w:val="00A847CB"/>
    <w:rsid w:val="00A868FF"/>
    <w:rsid w:val="00A91A6E"/>
    <w:rsid w:val="00A91B5F"/>
    <w:rsid w:val="00A9248C"/>
    <w:rsid w:val="00A930F3"/>
    <w:rsid w:val="00A9339A"/>
    <w:rsid w:val="00A9385C"/>
    <w:rsid w:val="00A945FA"/>
    <w:rsid w:val="00A951E6"/>
    <w:rsid w:val="00A95F65"/>
    <w:rsid w:val="00A96324"/>
    <w:rsid w:val="00A967A5"/>
    <w:rsid w:val="00A96E70"/>
    <w:rsid w:val="00A96FD0"/>
    <w:rsid w:val="00A97362"/>
    <w:rsid w:val="00A975CD"/>
    <w:rsid w:val="00AA27FF"/>
    <w:rsid w:val="00AA2BCC"/>
    <w:rsid w:val="00AA4139"/>
    <w:rsid w:val="00AA48B0"/>
    <w:rsid w:val="00AA4F6D"/>
    <w:rsid w:val="00AA4FA9"/>
    <w:rsid w:val="00AA5272"/>
    <w:rsid w:val="00AA6752"/>
    <w:rsid w:val="00AA7D1E"/>
    <w:rsid w:val="00AB06A5"/>
    <w:rsid w:val="00AB0EAD"/>
    <w:rsid w:val="00AB10BE"/>
    <w:rsid w:val="00AB18E6"/>
    <w:rsid w:val="00AB1F98"/>
    <w:rsid w:val="00AB457B"/>
    <w:rsid w:val="00AB476A"/>
    <w:rsid w:val="00AB592B"/>
    <w:rsid w:val="00AB7B6A"/>
    <w:rsid w:val="00AC00FD"/>
    <w:rsid w:val="00AC0702"/>
    <w:rsid w:val="00AC0A51"/>
    <w:rsid w:val="00AC154C"/>
    <w:rsid w:val="00AC242B"/>
    <w:rsid w:val="00AC2E6B"/>
    <w:rsid w:val="00AC32C7"/>
    <w:rsid w:val="00AC4B11"/>
    <w:rsid w:val="00AC5798"/>
    <w:rsid w:val="00AC60AA"/>
    <w:rsid w:val="00AC61FE"/>
    <w:rsid w:val="00AC688D"/>
    <w:rsid w:val="00AD1094"/>
    <w:rsid w:val="00AD1FA0"/>
    <w:rsid w:val="00AD2C6B"/>
    <w:rsid w:val="00AD2E3C"/>
    <w:rsid w:val="00AD32BC"/>
    <w:rsid w:val="00AD402B"/>
    <w:rsid w:val="00AD454F"/>
    <w:rsid w:val="00AD5199"/>
    <w:rsid w:val="00AD57F3"/>
    <w:rsid w:val="00AD5ED3"/>
    <w:rsid w:val="00AD5EDD"/>
    <w:rsid w:val="00AD71A7"/>
    <w:rsid w:val="00AD79AA"/>
    <w:rsid w:val="00AD7CC3"/>
    <w:rsid w:val="00AE0749"/>
    <w:rsid w:val="00AE0818"/>
    <w:rsid w:val="00AE12F2"/>
    <w:rsid w:val="00AE14DC"/>
    <w:rsid w:val="00AE183C"/>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E89"/>
    <w:rsid w:val="00AF458E"/>
    <w:rsid w:val="00AF493A"/>
    <w:rsid w:val="00AF5855"/>
    <w:rsid w:val="00B00399"/>
    <w:rsid w:val="00B01A88"/>
    <w:rsid w:val="00B01BBB"/>
    <w:rsid w:val="00B01C0E"/>
    <w:rsid w:val="00B04366"/>
    <w:rsid w:val="00B0441E"/>
    <w:rsid w:val="00B04A77"/>
    <w:rsid w:val="00B04F1C"/>
    <w:rsid w:val="00B0682B"/>
    <w:rsid w:val="00B108E1"/>
    <w:rsid w:val="00B10C72"/>
    <w:rsid w:val="00B12194"/>
    <w:rsid w:val="00B1303E"/>
    <w:rsid w:val="00B13F07"/>
    <w:rsid w:val="00B1440C"/>
    <w:rsid w:val="00B144E2"/>
    <w:rsid w:val="00B156FD"/>
    <w:rsid w:val="00B15771"/>
    <w:rsid w:val="00B15CC9"/>
    <w:rsid w:val="00B164AD"/>
    <w:rsid w:val="00B1661A"/>
    <w:rsid w:val="00B207AE"/>
    <w:rsid w:val="00B20933"/>
    <w:rsid w:val="00B210E6"/>
    <w:rsid w:val="00B21278"/>
    <w:rsid w:val="00B21B07"/>
    <w:rsid w:val="00B22AB1"/>
    <w:rsid w:val="00B24080"/>
    <w:rsid w:val="00B241CF"/>
    <w:rsid w:val="00B24D04"/>
    <w:rsid w:val="00B26525"/>
    <w:rsid w:val="00B27D9F"/>
    <w:rsid w:val="00B30088"/>
    <w:rsid w:val="00B3097A"/>
    <w:rsid w:val="00B35551"/>
    <w:rsid w:val="00B35A3C"/>
    <w:rsid w:val="00B35C6B"/>
    <w:rsid w:val="00B35DC4"/>
    <w:rsid w:val="00B36D5E"/>
    <w:rsid w:val="00B3798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42AE"/>
    <w:rsid w:val="00B654AB"/>
    <w:rsid w:val="00B65D5D"/>
    <w:rsid w:val="00B6618F"/>
    <w:rsid w:val="00B665A0"/>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7634"/>
    <w:rsid w:val="00B83E2D"/>
    <w:rsid w:val="00B83E81"/>
    <w:rsid w:val="00B8431F"/>
    <w:rsid w:val="00B84898"/>
    <w:rsid w:val="00B86A48"/>
    <w:rsid w:val="00B87610"/>
    <w:rsid w:val="00B87790"/>
    <w:rsid w:val="00B91F1A"/>
    <w:rsid w:val="00B92132"/>
    <w:rsid w:val="00B92B92"/>
    <w:rsid w:val="00B9330E"/>
    <w:rsid w:val="00B9478D"/>
    <w:rsid w:val="00B94E23"/>
    <w:rsid w:val="00B94F02"/>
    <w:rsid w:val="00B94FD4"/>
    <w:rsid w:val="00B9563E"/>
    <w:rsid w:val="00B960CF"/>
    <w:rsid w:val="00B96DBA"/>
    <w:rsid w:val="00B9789D"/>
    <w:rsid w:val="00BA0211"/>
    <w:rsid w:val="00BA14DA"/>
    <w:rsid w:val="00BA1742"/>
    <w:rsid w:val="00BA2494"/>
    <w:rsid w:val="00BA2737"/>
    <w:rsid w:val="00BA4853"/>
    <w:rsid w:val="00BA4B88"/>
    <w:rsid w:val="00BA508A"/>
    <w:rsid w:val="00BA559F"/>
    <w:rsid w:val="00BA5AAC"/>
    <w:rsid w:val="00BA5F7E"/>
    <w:rsid w:val="00BA66B1"/>
    <w:rsid w:val="00BA698D"/>
    <w:rsid w:val="00BA725A"/>
    <w:rsid w:val="00BB0A7C"/>
    <w:rsid w:val="00BB32FD"/>
    <w:rsid w:val="00BB3752"/>
    <w:rsid w:val="00BB3F7A"/>
    <w:rsid w:val="00BB407E"/>
    <w:rsid w:val="00BB5E1E"/>
    <w:rsid w:val="00BB6C11"/>
    <w:rsid w:val="00BC1B60"/>
    <w:rsid w:val="00BC2847"/>
    <w:rsid w:val="00BC28FB"/>
    <w:rsid w:val="00BC3212"/>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64E"/>
    <w:rsid w:val="00BD5D64"/>
    <w:rsid w:val="00BD5E5A"/>
    <w:rsid w:val="00BD5F96"/>
    <w:rsid w:val="00BD7EBB"/>
    <w:rsid w:val="00BE1959"/>
    <w:rsid w:val="00BE1AA0"/>
    <w:rsid w:val="00BE2B20"/>
    <w:rsid w:val="00BE2FBD"/>
    <w:rsid w:val="00BE38F0"/>
    <w:rsid w:val="00BE42B1"/>
    <w:rsid w:val="00BE5226"/>
    <w:rsid w:val="00BE52C6"/>
    <w:rsid w:val="00BE5DBD"/>
    <w:rsid w:val="00BE6030"/>
    <w:rsid w:val="00BE625C"/>
    <w:rsid w:val="00BE6C6F"/>
    <w:rsid w:val="00BE70F4"/>
    <w:rsid w:val="00BE78CB"/>
    <w:rsid w:val="00BF3102"/>
    <w:rsid w:val="00BF3149"/>
    <w:rsid w:val="00BF5233"/>
    <w:rsid w:val="00BF6424"/>
    <w:rsid w:val="00BF71C3"/>
    <w:rsid w:val="00BF77E5"/>
    <w:rsid w:val="00C00500"/>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28BD"/>
    <w:rsid w:val="00C12BC7"/>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5A3"/>
    <w:rsid w:val="00C25992"/>
    <w:rsid w:val="00C25B09"/>
    <w:rsid w:val="00C2702A"/>
    <w:rsid w:val="00C3005B"/>
    <w:rsid w:val="00C313D7"/>
    <w:rsid w:val="00C3165A"/>
    <w:rsid w:val="00C317B4"/>
    <w:rsid w:val="00C32D86"/>
    <w:rsid w:val="00C32E40"/>
    <w:rsid w:val="00C33399"/>
    <w:rsid w:val="00C33F54"/>
    <w:rsid w:val="00C35B78"/>
    <w:rsid w:val="00C3637B"/>
    <w:rsid w:val="00C365AE"/>
    <w:rsid w:val="00C36A04"/>
    <w:rsid w:val="00C371B2"/>
    <w:rsid w:val="00C40AD8"/>
    <w:rsid w:val="00C4239B"/>
    <w:rsid w:val="00C42845"/>
    <w:rsid w:val="00C446F0"/>
    <w:rsid w:val="00C45C03"/>
    <w:rsid w:val="00C466D9"/>
    <w:rsid w:val="00C468D7"/>
    <w:rsid w:val="00C4725D"/>
    <w:rsid w:val="00C47EB1"/>
    <w:rsid w:val="00C5148C"/>
    <w:rsid w:val="00C51D01"/>
    <w:rsid w:val="00C52E1C"/>
    <w:rsid w:val="00C53919"/>
    <w:rsid w:val="00C53FD5"/>
    <w:rsid w:val="00C54EA9"/>
    <w:rsid w:val="00C55042"/>
    <w:rsid w:val="00C550AB"/>
    <w:rsid w:val="00C564C5"/>
    <w:rsid w:val="00C5726A"/>
    <w:rsid w:val="00C57D9D"/>
    <w:rsid w:val="00C57DEA"/>
    <w:rsid w:val="00C6033C"/>
    <w:rsid w:val="00C61225"/>
    <w:rsid w:val="00C65389"/>
    <w:rsid w:val="00C65533"/>
    <w:rsid w:val="00C65E4E"/>
    <w:rsid w:val="00C6626B"/>
    <w:rsid w:val="00C667F4"/>
    <w:rsid w:val="00C673E9"/>
    <w:rsid w:val="00C67699"/>
    <w:rsid w:val="00C70479"/>
    <w:rsid w:val="00C7112B"/>
    <w:rsid w:val="00C71E9D"/>
    <w:rsid w:val="00C721DE"/>
    <w:rsid w:val="00C72718"/>
    <w:rsid w:val="00C727BE"/>
    <w:rsid w:val="00C72CE8"/>
    <w:rsid w:val="00C72D6B"/>
    <w:rsid w:val="00C750AD"/>
    <w:rsid w:val="00C752FD"/>
    <w:rsid w:val="00C77B9E"/>
    <w:rsid w:val="00C77EF7"/>
    <w:rsid w:val="00C81112"/>
    <w:rsid w:val="00C82BE9"/>
    <w:rsid w:val="00C82D4A"/>
    <w:rsid w:val="00C82F7B"/>
    <w:rsid w:val="00C838A5"/>
    <w:rsid w:val="00C839E4"/>
    <w:rsid w:val="00C84725"/>
    <w:rsid w:val="00C856BB"/>
    <w:rsid w:val="00C859E8"/>
    <w:rsid w:val="00C85A73"/>
    <w:rsid w:val="00C862E5"/>
    <w:rsid w:val="00C87C5D"/>
    <w:rsid w:val="00C9047F"/>
    <w:rsid w:val="00C90499"/>
    <w:rsid w:val="00C916F9"/>
    <w:rsid w:val="00C92B93"/>
    <w:rsid w:val="00C93668"/>
    <w:rsid w:val="00C93D52"/>
    <w:rsid w:val="00C947A5"/>
    <w:rsid w:val="00C948D7"/>
    <w:rsid w:val="00C950D6"/>
    <w:rsid w:val="00C9564D"/>
    <w:rsid w:val="00C964A2"/>
    <w:rsid w:val="00C968C1"/>
    <w:rsid w:val="00CA0100"/>
    <w:rsid w:val="00CA0101"/>
    <w:rsid w:val="00CA0277"/>
    <w:rsid w:val="00CA18E3"/>
    <w:rsid w:val="00CA24C0"/>
    <w:rsid w:val="00CA2F65"/>
    <w:rsid w:val="00CA4135"/>
    <w:rsid w:val="00CA47F8"/>
    <w:rsid w:val="00CA4F33"/>
    <w:rsid w:val="00CA5C2A"/>
    <w:rsid w:val="00CA6415"/>
    <w:rsid w:val="00CA7E0E"/>
    <w:rsid w:val="00CB01C5"/>
    <w:rsid w:val="00CB045D"/>
    <w:rsid w:val="00CB0F10"/>
    <w:rsid w:val="00CB25E9"/>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911"/>
    <w:rsid w:val="00CD0D4E"/>
    <w:rsid w:val="00CD0F2B"/>
    <w:rsid w:val="00CD1747"/>
    <w:rsid w:val="00CD35F4"/>
    <w:rsid w:val="00CD3EBD"/>
    <w:rsid w:val="00CD498F"/>
    <w:rsid w:val="00CD6B84"/>
    <w:rsid w:val="00CD7128"/>
    <w:rsid w:val="00CD75F0"/>
    <w:rsid w:val="00CD76D6"/>
    <w:rsid w:val="00CE0C1B"/>
    <w:rsid w:val="00CE317B"/>
    <w:rsid w:val="00CE330C"/>
    <w:rsid w:val="00CE4A5C"/>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5E90"/>
    <w:rsid w:val="00CF5FFD"/>
    <w:rsid w:val="00CF776B"/>
    <w:rsid w:val="00CF7825"/>
    <w:rsid w:val="00CF7901"/>
    <w:rsid w:val="00CF7CC7"/>
    <w:rsid w:val="00CF7E94"/>
    <w:rsid w:val="00D00ECA"/>
    <w:rsid w:val="00D025AB"/>
    <w:rsid w:val="00D02947"/>
    <w:rsid w:val="00D03367"/>
    <w:rsid w:val="00D035EC"/>
    <w:rsid w:val="00D03DD0"/>
    <w:rsid w:val="00D03F7C"/>
    <w:rsid w:val="00D05329"/>
    <w:rsid w:val="00D05777"/>
    <w:rsid w:val="00D06CC1"/>
    <w:rsid w:val="00D07010"/>
    <w:rsid w:val="00D07AEB"/>
    <w:rsid w:val="00D105BA"/>
    <w:rsid w:val="00D10D31"/>
    <w:rsid w:val="00D11B48"/>
    <w:rsid w:val="00D12971"/>
    <w:rsid w:val="00D12B86"/>
    <w:rsid w:val="00D12ECE"/>
    <w:rsid w:val="00D14DB8"/>
    <w:rsid w:val="00D164D0"/>
    <w:rsid w:val="00D176E5"/>
    <w:rsid w:val="00D204AF"/>
    <w:rsid w:val="00D21C13"/>
    <w:rsid w:val="00D23FA5"/>
    <w:rsid w:val="00D2464E"/>
    <w:rsid w:val="00D2514E"/>
    <w:rsid w:val="00D26CF1"/>
    <w:rsid w:val="00D31682"/>
    <w:rsid w:val="00D31FD9"/>
    <w:rsid w:val="00D321D3"/>
    <w:rsid w:val="00D32431"/>
    <w:rsid w:val="00D3576C"/>
    <w:rsid w:val="00D35DD7"/>
    <w:rsid w:val="00D36B7A"/>
    <w:rsid w:val="00D402DE"/>
    <w:rsid w:val="00D4055E"/>
    <w:rsid w:val="00D4131B"/>
    <w:rsid w:val="00D421E1"/>
    <w:rsid w:val="00D428C8"/>
    <w:rsid w:val="00D436A7"/>
    <w:rsid w:val="00D43AA2"/>
    <w:rsid w:val="00D43FAF"/>
    <w:rsid w:val="00D453A8"/>
    <w:rsid w:val="00D50028"/>
    <w:rsid w:val="00D52CA8"/>
    <w:rsid w:val="00D569AB"/>
    <w:rsid w:val="00D57093"/>
    <w:rsid w:val="00D607D5"/>
    <w:rsid w:val="00D60888"/>
    <w:rsid w:val="00D61422"/>
    <w:rsid w:val="00D61CAF"/>
    <w:rsid w:val="00D622DB"/>
    <w:rsid w:val="00D628AA"/>
    <w:rsid w:val="00D62A3C"/>
    <w:rsid w:val="00D63D19"/>
    <w:rsid w:val="00D64D54"/>
    <w:rsid w:val="00D659E6"/>
    <w:rsid w:val="00D65E5C"/>
    <w:rsid w:val="00D66E40"/>
    <w:rsid w:val="00D67842"/>
    <w:rsid w:val="00D7058A"/>
    <w:rsid w:val="00D71203"/>
    <w:rsid w:val="00D713DC"/>
    <w:rsid w:val="00D74990"/>
    <w:rsid w:val="00D753CD"/>
    <w:rsid w:val="00D75BFA"/>
    <w:rsid w:val="00D75C76"/>
    <w:rsid w:val="00D769BE"/>
    <w:rsid w:val="00D76D11"/>
    <w:rsid w:val="00D80CBA"/>
    <w:rsid w:val="00D817C5"/>
    <w:rsid w:val="00D81B27"/>
    <w:rsid w:val="00D82176"/>
    <w:rsid w:val="00D824DF"/>
    <w:rsid w:val="00D828E3"/>
    <w:rsid w:val="00D83C84"/>
    <w:rsid w:val="00D845B4"/>
    <w:rsid w:val="00D84B45"/>
    <w:rsid w:val="00D85D90"/>
    <w:rsid w:val="00D86617"/>
    <w:rsid w:val="00D8676B"/>
    <w:rsid w:val="00D86C36"/>
    <w:rsid w:val="00D86D35"/>
    <w:rsid w:val="00D87134"/>
    <w:rsid w:val="00D90664"/>
    <w:rsid w:val="00D90AEF"/>
    <w:rsid w:val="00D9128E"/>
    <w:rsid w:val="00D91E23"/>
    <w:rsid w:val="00D92038"/>
    <w:rsid w:val="00D924BB"/>
    <w:rsid w:val="00D933FB"/>
    <w:rsid w:val="00D934E1"/>
    <w:rsid w:val="00D9368E"/>
    <w:rsid w:val="00D93C24"/>
    <w:rsid w:val="00D9424E"/>
    <w:rsid w:val="00D94E2D"/>
    <w:rsid w:val="00D96AF2"/>
    <w:rsid w:val="00D97B27"/>
    <w:rsid w:val="00DA03CB"/>
    <w:rsid w:val="00DA09A2"/>
    <w:rsid w:val="00DA0F8A"/>
    <w:rsid w:val="00DA2593"/>
    <w:rsid w:val="00DA25C2"/>
    <w:rsid w:val="00DA58DE"/>
    <w:rsid w:val="00DA5AE2"/>
    <w:rsid w:val="00DA72C6"/>
    <w:rsid w:val="00DA785D"/>
    <w:rsid w:val="00DB008E"/>
    <w:rsid w:val="00DB0962"/>
    <w:rsid w:val="00DB0B31"/>
    <w:rsid w:val="00DB0C4A"/>
    <w:rsid w:val="00DB0DEE"/>
    <w:rsid w:val="00DB1779"/>
    <w:rsid w:val="00DB1CE6"/>
    <w:rsid w:val="00DB2308"/>
    <w:rsid w:val="00DB2B83"/>
    <w:rsid w:val="00DB407A"/>
    <w:rsid w:val="00DB463E"/>
    <w:rsid w:val="00DB5A03"/>
    <w:rsid w:val="00DB6804"/>
    <w:rsid w:val="00DB79A5"/>
    <w:rsid w:val="00DC16CB"/>
    <w:rsid w:val="00DC17AF"/>
    <w:rsid w:val="00DC1DCE"/>
    <w:rsid w:val="00DC52DA"/>
    <w:rsid w:val="00DC59D5"/>
    <w:rsid w:val="00DC6E9A"/>
    <w:rsid w:val="00DC7864"/>
    <w:rsid w:val="00DD1AEC"/>
    <w:rsid w:val="00DD20F3"/>
    <w:rsid w:val="00DD2250"/>
    <w:rsid w:val="00DD25B1"/>
    <w:rsid w:val="00DD2BFA"/>
    <w:rsid w:val="00DD3906"/>
    <w:rsid w:val="00DD43D0"/>
    <w:rsid w:val="00DD51BC"/>
    <w:rsid w:val="00DD6D30"/>
    <w:rsid w:val="00DE118E"/>
    <w:rsid w:val="00DE1D01"/>
    <w:rsid w:val="00DE1F3E"/>
    <w:rsid w:val="00DE229D"/>
    <w:rsid w:val="00DE2EC7"/>
    <w:rsid w:val="00DE38BD"/>
    <w:rsid w:val="00DE48B7"/>
    <w:rsid w:val="00DE51AE"/>
    <w:rsid w:val="00DE528B"/>
    <w:rsid w:val="00DE53AD"/>
    <w:rsid w:val="00DE5575"/>
    <w:rsid w:val="00DE5C72"/>
    <w:rsid w:val="00DE6424"/>
    <w:rsid w:val="00DE708C"/>
    <w:rsid w:val="00DE726C"/>
    <w:rsid w:val="00DE74C1"/>
    <w:rsid w:val="00DE7C48"/>
    <w:rsid w:val="00DE7F9A"/>
    <w:rsid w:val="00DF0FE5"/>
    <w:rsid w:val="00DF203A"/>
    <w:rsid w:val="00DF24FE"/>
    <w:rsid w:val="00DF4C75"/>
    <w:rsid w:val="00DF5085"/>
    <w:rsid w:val="00DF577D"/>
    <w:rsid w:val="00DF5CAA"/>
    <w:rsid w:val="00DF68CE"/>
    <w:rsid w:val="00E00C77"/>
    <w:rsid w:val="00E017D6"/>
    <w:rsid w:val="00E02558"/>
    <w:rsid w:val="00E02B9D"/>
    <w:rsid w:val="00E03A20"/>
    <w:rsid w:val="00E03B0D"/>
    <w:rsid w:val="00E03F08"/>
    <w:rsid w:val="00E0443D"/>
    <w:rsid w:val="00E0792A"/>
    <w:rsid w:val="00E11835"/>
    <w:rsid w:val="00E12B45"/>
    <w:rsid w:val="00E147F9"/>
    <w:rsid w:val="00E154CD"/>
    <w:rsid w:val="00E15603"/>
    <w:rsid w:val="00E15E09"/>
    <w:rsid w:val="00E161A4"/>
    <w:rsid w:val="00E163C4"/>
    <w:rsid w:val="00E17B86"/>
    <w:rsid w:val="00E20607"/>
    <w:rsid w:val="00E20D66"/>
    <w:rsid w:val="00E211BF"/>
    <w:rsid w:val="00E21D7A"/>
    <w:rsid w:val="00E22336"/>
    <w:rsid w:val="00E24645"/>
    <w:rsid w:val="00E24CD3"/>
    <w:rsid w:val="00E25CEE"/>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4213E"/>
    <w:rsid w:val="00E42383"/>
    <w:rsid w:val="00E4248F"/>
    <w:rsid w:val="00E4274A"/>
    <w:rsid w:val="00E4274E"/>
    <w:rsid w:val="00E42D9A"/>
    <w:rsid w:val="00E42EAC"/>
    <w:rsid w:val="00E43E5C"/>
    <w:rsid w:val="00E43EED"/>
    <w:rsid w:val="00E46504"/>
    <w:rsid w:val="00E4651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5517"/>
    <w:rsid w:val="00E6595E"/>
    <w:rsid w:val="00E671EF"/>
    <w:rsid w:val="00E67283"/>
    <w:rsid w:val="00E677AF"/>
    <w:rsid w:val="00E71283"/>
    <w:rsid w:val="00E71F4B"/>
    <w:rsid w:val="00E72E61"/>
    <w:rsid w:val="00E7395B"/>
    <w:rsid w:val="00E73D13"/>
    <w:rsid w:val="00E7404F"/>
    <w:rsid w:val="00E74B6E"/>
    <w:rsid w:val="00E74BFE"/>
    <w:rsid w:val="00E75BB3"/>
    <w:rsid w:val="00E77000"/>
    <w:rsid w:val="00E77EE0"/>
    <w:rsid w:val="00E8174B"/>
    <w:rsid w:val="00E82662"/>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6AEE"/>
    <w:rsid w:val="00E96EA2"/>
    <w:rsid w:val="00E9753C"/>
    <w:rsid w:val="00E97BCB"/>
    <w:rsid w:val="00E97CEC"/>
    <w:rsid w:val="00E97DE6"/>
    <w:rsid w:val="00EA082F"/>
    <w:rsid w:val="00EA0E47"/>
    <w:rsid w:val="00EA1272"/>
    <w:rsid w:val="00EA131A"/>
    <w:rsid w:val="00EA2E22"/>
    <w:rsid w:val="00EA2E63"/>
    <w:rsid w:val="00EA3C63"/>
    <w:rsid w:val="00EA4966"/>
    <w:rsid w:val="00EA4B51"/>
    <w:rsid w:val="00EA4B77"/>
    <w:rsid w:val="00EA5CD4"/>
    <w:rsid w:val="00EA5F3C"/>
    <w:rsid w:val="00EA6944"/>
    <w:rsid w:val="00EB0704"/>
    <w:rsid w:val="00EB2A35"/>
    <w:rsid w:val="00EB394C"/>
    <w:rsid w:val="00EB4081"/>
    <w:rsid w:val="00EB40CF"/>
    <w:rsid w:val="00EB474C"/>
    <w:rsid w:val="00EB4868"/>
    <w:rsid w:val="00EB52D3"/>
    <w:rsid w:val="00EB53CC"/>
    <w:rsid w:val="00EB54DD"/>
    <w:rsid w:val="00EB5BF3"/>
    <w:rsid w:val="00EB7A7B"/>
    <w:rsid w:val="00EB7DA6"/>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7119"/>
    <w:rsid w:val="00EE026C"/>
    <w:rsid w:val="00EE1072"/>
    <w:rsid w:val="00EE1D33"/>
    <w:rsid w:val="00EE3271"/>
    <w:rsid w:val="00EE32BB"/>
    <w:rsid w:val="00EE33C7"/>
    <w:rsid w:val="00EE43E2"/>
    <w:rsid w:val="00EE579B"/>
    <w:rsid w:val="00EE66E8"/>
    <w:rsid w:val="00EE6C84"/>
    <w:rsid w:val="00EE701B"/>
    <w:rsid w:val="00EE72BE"/>
    <w:rsid w:val="00EE7417"/>
    <w:rsid w:val="00EE74F7"/>
    <w:rsid w:val="00EE7541"/>
    <w:rsid w:val="00EE7A81"/>
    <w:rsid w:val="00EE7E45"/>
    <w:rsid w:val="00EF0251"/>
    <w:rsid w:val="00EF1126"/>
    <w:rsid w:val="00EF1434"/>
    <w:rsid w:val="00EF21C0"/>
    <w:rsid w:val="00EF2571"/>
    <w:rsid w:val="00EF3332"/>
    <w:rsid w:val="00EF3447"/>
    <w:rsid w:val="00EF3972"/>
    <w:rsid w:val="00EF3F13"/>
    <w:rsid w:val="00EF443E"/>
    <w:rsid w:val="00EF4B27"/>
    <w:rsid w:val="00EF5E16"/>
    <w:rsid w:val="00EF6142"/>
    <w:rsid w:val="00EF6EF8"/>
    <w:rsid w:val="00EF7ED1"/>
    <w:rsid w:val="00F02090"/>
    <w:rsid w:val="00F02661"/>
    <w:rsid w:val="00F03216"/>
    <w:rsid w:val="00F03885"/>
    <w:rsid w:val="00F03D4D"/>
    <w:rsid w:val="00F04257"/>
    <w:rsid w:val="00F052DB"/>
    <w:rsid w:val="00F0688E"/>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A14"/>
    <w:rsid w:val="00F4130B"/>
    <w:rsid w:val="00F4159E"/>
    <w:rsid w:val="00F418A2"/>
    <w:rsid w:val="00F42494"/>
    <w:rsid w:val="00F44567"/>
    <w:rsid w:val="00F446E7"/>
    <w:rsid w:val="00F44A60"/>
    <w:rsid w:val="00F4535C"/>
    <w:rsid w:val="00F45B54"/>
    <w:rsid w:val="00F4652E"/>
    <w:rsid w:val="00F47CFB"/>
    <w:rsid w:val="00F503D8"/>
    <w:rsid w:val="00F52132"/>
    <w:rsid w:val="00F5293E"/>
    <w:rsid w:val="00F52C66"/>
    <w:rsid w:val="00F53B9C"/>
    <w:rsid w:val="00F545E3"/>
    <w:rsid w:val="00F54F74"/>
    <w:rsid w:val="00F550F8"/>
    <w:rsid w:val="00F555E6"/>
    <w:rsid w:val="00F561D0"/>
    <w:rsid w:val="00F56410"/>
    <w:rsid w:val="00F56757"/>
    <w:rsid w:val="00F5687E"/>
    <w:rsid w:val="00F57414"/>
    <w:rsid w:val="00F602CB"/>
    <w:rsid w:val="00F618E7"/>
    <w:rsid w:val="00F62128"/>
    <w:rsid w:val="00F63572"/>
    <w:rsid w:val="00F64203"/>
    <w:rsid w:val="00F64623"/>
    <w:rsid w:val="00F65067"/>
    <w:rsid w:val="00F65698"/>
    <w:rsid w:val="00F666F4"/>
    <w:rsid w:val="00F667F4"/>
    <w:rsid w:val="00F7025F"/>
    <w:rsid w:val="00F71108"/>
    <w:rsid w:val="00F711AE"/>
    <w:rsid w:val="00F71632"/>
    <w:rsid w:val="00F72054"/>
    <w:rsid w:val="00F72A3A"/>
    <w:rsid w:val="00F76F5A"/>
    <w:rsid w:val="00F77B63"/>
    <w:rsid w:val="00F81795"/>
    <w:rsid w:val="00F81B71"/>
    <w:rsid w:val="00F82B95"/>
    <w:rsid w:val="00F83862"/>
    <w:rsid w:val="00F84BE5"/>
    <w:rsid w:val="00F85683"/>
    <w:rsid w:val="00F8588E"/>
    <w:rsid w:val="00F85DE5"/>
    <w:rsid w:val="00F8630F"/>
    <w:rsid w:val="00F91EDF"/>
    <w:rsid w:val="00F92262"/>
    <w:rsid w:val="00F924C8"/>
    <w:rsid w:val="00F93101"/>
    <w:rsid w:val="00F935BA"/>
    <w:rsid w:val="00F94A79"/>
    <w:rsid w:val="00F95BFF"/>
    <w:rsid w:val="00FA002A"/>
    <w:rsid w:val="00FA030B"/>
    <w:rsid w:val="00FA3659"/>
    <w:rsid w:val="00FA3818"/>
    <w:rsid w:val="00FA45A4"/>
    <w:rsid w:val="00FA4AA7"/>
    <w:rsid w:val="00FA63CD"/>
    <w:rsid w:val="00FA6408"/>
    <w:rsid w:val="00FA666F"/>
    <w:rsid w:val="00FA6B6B"/>
    <w:rsid w:val="00FB06BD"/>
    <w:rsid w:val="00FB07F8"/>
    <w:rsid w:val="00FB212C"/>
    <w:rsid w:val="00FB38FA"/>
    <w:rsid w:val="00FB3908"/>
    <w:rsid w:val="00FB43CD"/>
    <w:rsid w:val="00FB5247"/>
    <w:rsid w:val="00FB5F5B"/>
    <w:rsid w:val="00FB620B"/>
    <w:rsid w:val="00FB6369"/>
    <w:rsid w:val="00FB68AB"/>
    <w:rsid w:val="00FB6969"/>
    <w:rsid w:val="00FC06EB"/>
    <w:rsid w:val="00FC235F"/>
    <w:rsid w:val="00FC51AB"/>
    <w:rsid w:val="00FC5988"/>
    <w:rsid w:val="00FC69A9"/>
    <w:rsid w:val="00FC6AD0"/>
    <w:rsid w:val="00FC7030"/>
    <w:rsid w:val="00FD0450"/>
    <w:rsid w:val="00FD05CB"/>
    <w:rsid w:val="00FD0D43"/>
    <w:rsid w:val="00FD0F3D"/>
    <w:rsid w:val="00FD1940"/>
    <w:rsid w:val="00FD1CAC"/>
    <w:rsid w:val="00FD37C4"/>
    <w:rsid w:val="00FD3827"/>
    <w:rsid w:val="00FD4207"/>
    <w:rsid w:val="00FD496B"/>
    <w:rsid w:val="00FD63EF"/>
    <w:rsid w:val="00FD72F0"/>
    <w:rsid w:val="00FE00C8"/>
    <w:rsid w:val="00FE2217"/>
    <w:rsid w:val="00FE39B9"/>
    <w:rsid w:val="00FE401C"/>
    <w:rsid w:val="00FE42F4"/>
    <w:rsid w:val="00FE444F"/>
    <w:rsid w:val="00FE4AA2"/>
    <w:rsid w:val="00FE4E8E"/>
    <w:rsid w:val="00FE508A"/>
    <w:rsid w:val="00FE5934"/>
    <w:rsid w:val="00FE5D87"/>
    <w:rsid w:val="00FE7732"/>
    <w:rsid w:val="00FF0110"/>
    <w:rsid w:val="00FF2603"/>
    <w:rsid w:val="00FF38A9"/>
    <w:rsid w:val="00FF4294"/>
    <w:rsid w:val="00FF4484"/>
    <w:rsid w:val="00FF51F2"/>
    <w:rsid w:val="00FF553C"/>
    <w:rsid w:val="00FF5D59"/>
    <w:rsid w:val="00FF62B2"/>
    <w:rsid w:val="00FF7108"/>
    <w:rsid w:val="00FF710E"/>
    <w:rsid w:val="00FF73F2"/>
    <w:rsid w:val="00FF74A5"/>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EFF7D"/>
  <w15:docId w15:val="{A48C485E-E11A-4342-BFA9-4EC9777C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Cambria" w:hAnsi="Cambria"/>
    </w:rPr>
  </w:style>
  <w:style w:type="character" w:customStyle="1" w:styleId="EndNoteBibliographyTitleChar">
    <w:name w:val="EndNote Bibliography Title Char"/>
    <w:basedOn w:val="DefaultParagraphFont"/>
    <w:link w:val="EndNoteBibliographyTitle"/>
    <w:rsid w:val="00A71D8E"/>
    <w:rPr>
      <w:rFonts w:ascii="Cambria" w:hAnsi="Cambria"/>
    </w:rPr>
  </w:style>
  <w:style w:type="paragraph" w:customStyle="1" w:styleId="EndNoteBibliography">
    <w:name w:val="EndNote Bibliography"/>
    <w:basedOn w:val="Normal"/>
    <w:link w:val="EndNoteBibliographyChar"/>
    <w:rsid w:val="00A71D8E"/>
    <w:rPr>
      <w:rFonts w:ascii="Cambria" w:hAnsi="Cambria"/>
    </w:rPr>
  </w:style>
  <w:style w:type="character" w:customStyle="1" w:styleId="EndNoteBibliographyChar">
    <w:name w:val="EndNote Bibliography Char"/>
    <w:basedOn w:val="DefaultParagraphFont"/>
    <w:link w:val="EndNoteBibliography"/>
    <w:rsid w:val="00A71D8E"/>
    <w:rPr>
      <w:rFonts w:ascii="Cambria" w:hAnsi="Cambria"/>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semiHidden/>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tif"/><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Props1.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2.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customXml/itemProps3.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6582</Words>
  <Characters>49107</Characters>
  <Application>Microsoft Office Word</Application>
  <DocSecurity>0</DocSecurity>
  <Lines>4910</Lines>
  <Paragraphs>2421</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53268</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2</cp:revision>
  <cp:lastPrinted>2024-06-04T14:53:00Z</cp:lastPrinted>
  <dcterms:created xsi:type="dcterms:W3CDTF">2024-06-07T10:15:00Z</dcterms:created>
  <dcterms:modified xsi:type="dcterms:W3CDTF">2024-06-07T10:15:00Z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