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3B61" w14:textId="77777777" w:rsidR="005752FA" w:rsidRDefault="008332C1">
      <w:pPr>
        <w:pStyle w:val="Title"/>
      </w:pPr>
      <w:r>
        <w:t>Addison’s disease associated with advanced HIV may explain the high mortality</w:t>
      </w:r>
    </w:p>
    <w:p w14:paraId="6DFECF4D" w14:textId="77777777" w:rsidR="005752FA" w:rsidRDefault="008332C1">
      <w:pPr>
        <w:pStyle w:val="Author"/>
      </w:pPr>
      <w:r>
        <w:t>Dr Joseph B Sempa</w:t>
      </w:r>
    </w:p>
    <w:p w14:paraId="6363BFB8" w14:textId="77777777" w:rsidR="005752FA" w:rsidRDefault="008332C1">
      <w:pPr>
        <w:pStyle w:val="Date"/>
      </w:pPr>
      <w:r>
        <w:t>2022-08-02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88437796"/>
        <w:docPartObj>
          <w:docPartGallery w:val="Table of Contents"/>
          <w:docPartUnique/>
        </w:docPartObj>
      </w:sdtPr>
      <w:sdtEndPr/>
      <w:sdtContent>
        <w:p w14:paraId="04BEF4B4" w14:textId="77777777" w:rsidR="005752FA" w:rsidRDefault="008332C1">
          <w:pPr>
            <w:pStyle w:val="TOCHeading"/>
          </w:pPr>
          <w:r>
            <w:t>Table of Contents</w:t>
          </w:r>
        </w:p>
        <w:p w14:paraId="039C85BB" w14:textId="0CB9B1B8" w:rsidR="00A42D3A" w:rsidRDefault="008332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0329244" w:history="1">
            <w:r w:rsidR="00A42D3A" w:rsidRPr="00F3748D">
              <w:rPr>
                <w:rStyle w:val="Hyperlink"/>
                <w:noProof/>
              </w:rPr>
              <w:t>Table 1: Profile of patients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_Toc110329244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2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26C30E28" w14:textId="02949F5B" w:rsidR="00A42D3A" w:rsidRDefault="00055D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5" w:history="1">
            <w:r w:rsidR="00A42D3A" w:rsidRPr="00F3748D">
              <w:rPr>
                <w:rStyle w:val="Hyperlink"/>
                <w:noProof/>
              </w:rPr>
              <w:t>Table 2: comparing Addisons status with other variables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_Toc110329245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2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2402E95A" w14:textId="2E825EE7" w:rsidR="00A42D3A" w:rsidRDefault="00055D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6" w:history="1">
            <w:r w:rsidR="00A42D3A" w:rsidRPr="00F3748D">
              <w:rPr>
                <w:rStyle w:val="Hyperlink"/>
                <w:noProof/>
              </w:rPr>
              <w:t>Table 3: Bivariate table (without imputed data)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_Toc110329246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3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1EBEECDA" w14:textId="1982087A" w:rsidR="00A42D3A" w:rsidRDefault="00055D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7" w:history="1">
            <w:r w:rsidR="00A42D3A" w:rsidRPr="00F3748D">
              <w:rPr>
                <w:rStyle w:val="Hyperlink"/>
                <w:noProof/>
              </w:rPr>
              <w:t>Table 3: Bivariate table with imputed data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_Toc110329247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4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1D9121CB" w14:textId="13DD9A4E" w:rsidR="00A42D3A" w:rsidRDefault="00055D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0329248" w:history="1">
            <w:r w:rsidR="00A42D3A" w:rsidRPr="00F3748D">
              <w:rPr>
                <w:rStyle w:val="Hyperlink"/>
                <w:noProof/>
              </w:rPr>
              <w:t>Table 4: Multivariate table (generated with imputed data)</w:t>
            </w:r>
            <w:r w:rsidR="00A42D3A">
              <w:rPr>
                <w:noProof/>
                <w:webHidden/>
              </w:rPr>
              <w:tab/>
            </w:r>
            <w:r w:rsidR="00A42D3A">
              <w:rPr>
                <w:noProof/>
                <w:webHidden/>
              </w:rPr>
              <w:fldChar w:fldCharType="begin"/>
            </w:r>
            <w:r w:rsidR="00A42D3A">
              <w:rPr>
                <w:noProof/>
                <w:webHidden/>
              </w:rPr>
              <w:instrText xml:space="preserve"> PAGEREF _Toc110329248 \h </w:instrText>
            </w:r>
            <w:r w:rsidR="00A42D3A">
              <w:rPr>
                <w:noProof/>
                <w:webHidden/>
              </w:rPr>
            </w:r>
            <w:r w:rsidR="00A42D3A">
              <w:rPr>
                <w:noProof/>
                <w:webHidden/>
              </w:rPr>
              <w:fldChar w:fldCharType="separate"/>
            </w:r>
            <w:r w:rsidR="00A42D3A">
              <w:rPr>
                <w:noProof/>
                <w:webHidden/>
              </w:rPr>
              <w:t>4</w:t>
            </w:r>
            <w:r w:rsidR="00A42D3A">
              <w:rPr>
                <w:noProof/>
                <w:webHidden/>
              </w:rPr>
              <w:fldChar w:fldCharType="end"/>
            </w:r>
          </w:hyperlink>
        </w:p>
        <w:p w14:paraId="7C0757A5" w14:textId="63CA1DDE" w:rsidR="005752FA" w:rsidRDefault="008332C1">
          <w:r>
            <w:fldChar w:fldCharType="end"/>
          </w:r>
        </w:p>
      </w:sdtContent>
    </w:sdt>
    <w:p w14:paraId="5E0E3887" w14:textId="77B70EEF" w:rsidR="005616D9" w:rsidRDefault="004327BA">
      <w:pPr>
        <w:pStyle w:val="Heading1"/>
        <w:rPr>
          <w:b w:val="0"/>
          <w:bCs w:val="0"/>
        </w:rPr>
      </w:pPr>
      <w:bookmarkStart w:id="0" w:name="_Toc110329244"/>
      <w:bookmarkStart w:id="1" w:name="table-1"/>
      <w:r>
        <w:rPr>
          <w:b w:val="0"/>
          <w:bCs w:val="0"/>
        </w:rPr>
        <w:t xml:space="preserve">Table </w:t>
      </w:r>
      <w:proofErr w:type="gramStart"/>
      <w:r>
        <w:rPr>
          <w:b w:val="0"/>
          <w:bCs w:val="0"/>
        </w:rPr>
        <w:t>1</w:t>
      </w:r>
      <w:r w:rsidR="00EC107C">
        <w:rPr>
          <w:b w:val="0"/>
          <w:bCs w:val="0"/>
        </w:rPr>
        <w:t xml:space="preserve"> :</w:t>
      </w:r>
      <w:proofErr w:type="gramEnd"/>
      <w:r w:rsidR="00EC107C">
        <w:rPr>
          <w:b w:val="0"/>
          <w:bCs w:val="0"/>
        </w:rPr>
        <w:t xml:space="preserve"> Patient profile</w:t>
      </w:r>
      <w:r>
        <w:rPr>
          <w:b w:val="0"/>
          <w:bCs w:val="0"/>
        </w:rPr>
        <w:t xml:space="preserve"> text</w:t>
      </w:r>
      <w:r w:rsidR="005616D9" w:rsidRPr="005616D9">
        <w:rPr>
          <w:b w:val="0"/>
          <w:bCs w:val="0"/>
        </w:rPr>
        <w:t xml:space="preserve"> :</w:t>
      </w:r>
      <w:r w:rsidR="00F15D1D">
        <w:rPr>
          <w:b w:val="0"/>
          <w:bCs w:val="0"/>
        </w:rPr>
        <w:t xml:space="preserve"> 03-08-2022</w:t>
      </w:r>
    </w:p>
    <w:p w14:paraId="52A371A1" w14:textId="2BB42EF2" w:rsidR="005616D9" w:rsidRPr="005616D9" w:rsidRDefault="005616D9" w:rsidP="005616D9">
      <w:pPr>
        <w:pStyle w:val="BodyText"/>
      </w:pPr>
      <w:r>
        <w:t>The age median age at enrolment was 36 with the interquartile range IQR (31,41)</w:t>
      </w:r>
      <w:r w:rsidR="009142FB">
        <w:t xml:space="preserve">, with unusually equal male and female participation at 49.2% and 50.8%, </w:t>
      </w:r>
      <w:proofErr w:type="spellStart"/>
      <w:r w:rsidR="009142FB">
        <w:t>repectively</w:t>
      </w:r>
      <w:proofErr w:type="spellEnd"/>
      <w:r w:rsidR="009142FB">
        <w:t xml:space="preserve">. Black Africans constituted </w:t>
      </w:r>
      <w:proofErr w:type="gramStart"/>
      <w:r w:rsidR="009142FB">
        <w:t>the majority of</w:t>
      </w:r>
      <w:proofErr w:type="gramEnd"/>
      <w:r w:rsidR="009142FB">
        <w:t xml:space="preserve"> the participants </w:t>
      </w:r>
      <w:r w:rsidR="00345A7E">
        <w:t>at 357(83.4%), compared to 68 (15.9%)</w:t>
      </w:r>
      <w:r w:rsidR="009142FB">
        <w:t xml:space="preserve"> </w:t>
      </w:r>
      <w:r w:rsidR="002B26F4">
        <w:t>mixed-race</w:t>
      </w:r>
      <w:r w:rsidR="00345A7E">
        <w:t xml:space="preserve">, and an insignificant number of Asians 1 (0.2%) and Caucasians 2 (0.5%). The duration of illness was 14 days with IQR (14, 21), and almost all the patients had </w:t>
      </w:r>
      <w:r w:rsidR="00255F08">
        <w:t>opportunistic infections 424 (99.1%), which is consistent with the advanced nature of their disease as reflected by the admission criteria of the CD4 level of 100 or less.</w:t>
      </w:r>
      <w:r w:rsidR="00F15D1D">
        <w:t xml:space="preserve"> </w:t>
      </w:r>
      <w:r w:rsidR="00EC107C">
        <w:t xml:space="preserve">The </w:t>
      </w:r>
      <w:r w:rsidR="00F15D1D">
        <w:t>Log</w:t>
      </w:r>
      <w:r w:rsidR="00EC107C">
        <w:t xml:space="preserve"> viral load was 4.54 with the IQR (3.16, 5.35) and the CD4 count was a very low 31 with the IQR (14, 60)</w:t>
      </w:r>
      <w:r w:rsidR="002B26F4">
        <w:t>. The overall sodium was slightly less than normal at 134 with IQR (130, 137.0), while potassium was normal at 4.10 with the IQR (3.6,4.6)</w:t>
      </w:r>
      <w:r w:rsidR="00F840CF">
        <w:t xml:space="preserve">. </w:t>
      </w:r>
      <w:r w:rsidR="00BB1D19">
        <w:t>Although the white cell count and the neutrophils were normal, t</w:t>
      </w:r>
      <w:r w:rsidR="00F840CF">
        <w:t xml:space="preserve">he </w:t>
      </w:r>
      <w:proofErr w:type="spellStart"/>
      <w:r w:rsidR="00F840CF">
        <w:t>haemoglobin</w:t>
      </w:r>
      <w:proofErr w:type="spellEnd"/>
      <w:r w:rsidR="00F840CF">
        <w:t xml:space="preserve"> and the lymphocyte count and we are both low at 8.70 with the IQR 7.40,10,30) and 0.8 with the IQR (0.4,1.8), respectively.</w:t>
      </w:r>
      <w:r w:rsidR="00836193">
        <w:t xml:space="preserve"> The PAI prevalence rate was 30 (9.4%).</w:t>
      </w:r>
    </w:p>
    <w:p w14:paraId="38FEA506" w14:textId="77777777" w:rsidR="005616D9" w:rsidRPr="005616D9" w:rsidRDefault="005616D9" w:rsidP="005616D9">
      <w:pPr>
        <w:pStyle w:val="BodyText"/>
      </w:pPr>
    </w:p>
    <w:p w14:paraId="40BA4F60" w14:textId="5F265EC3" w:rsidR="005752FA" w:rsidRDefault="008332C1">
      <w:pPr>
        <w:pStyle w:val="Heading1"/>
      </w:pPr>
      <w:r>
        <w:lastRenderedPageBreak/>
        <w:t>Table 1</w:t>
      </w:r>
      <w:r w:rsidR="00A42D3A">
        <w:t>: Profile of patients</w:t>
      </w:r>
      <w:bookmarkEnd w:id="0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</w:tblGrid>
      <w:tr w:rsidR="005752FA" w14:paraId="280D8DE6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E839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09E16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817D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431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752FA" w14:paraId="321CC41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833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22C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211A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</w:tr>
      <w:tr w:rsidR="005752FA" w14:paraId="0D0CDA1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C2AB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297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8D48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799E847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D95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325B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8CA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(50.8%)</w:t>
            </w:r>
          </w:p>
        </w:tc>
      </w:tr>
      <w:tr w:rsidR="005752FA" w14:paraId="6B5F5092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D9FB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873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873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(49.2%)</w:t>
            </w:r>
          </w:p>
        </w:tc>
      </w:tr>
      <w:tr w:rsidR="005752FA" w14:paraId="441A94E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CED9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448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0E0BD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22330CC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CDC3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890FF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F7AB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5752FA" w14:paraId="7C1E2EB8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0445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7ED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5EBA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 (83.4%)</w:t>
            </w:r>
          </w:p>
        </w:tc>
      </w:tr>
      <w:tr w:rsidR="005752FA" w14:paraId="11A3D6F6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4CDE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Coloured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8BC9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9B7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(15.9%)</w:t>
            </w:r>
          </w:p>
        </w:tc>
      </w:tr>
      <w:tr w:rsidR="005752FA" w14:paraId="7D0522F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4DCB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47F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220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</w:tr>
      <w:tr w:rsidR="005752FA" w14:paraId="72B84217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CD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EA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990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</w:tr>
      <w:tr w:rsidR="005752FA" w14:paraId="6EC8621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594E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ABD0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CDF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(99.1%)</w:t>
            </w:r>
          </w:p>
        </w:tc>
      </w:tr>
      <w:tr w:rsidR="005752FA" w14:paraId="7F221D3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6E30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FD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0705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4.54 (3.16, 5.35)</w:t>
            </w:r>
          </w:p>
        </w:tc>
      </w:tr>
      <w:tr w:rsidR="005752FA" w14:paraId="4244BA96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5A3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A3D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4169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60)</w:t>
            </w:r>
          </w:p>
        </w:tc>
      </w:tr>
      <w:tr w:rsidR="005752FA" w14:paraId="39579F39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EAC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B4E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8E2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134.0 (130.0, 137.0)</w:t>
            </w:r>
          </w:p>
        </w:tc>
      </w:tr>
      <w:tr w:rsidR="005752FA" w14:paraId="2193245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2FD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D20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57F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(3.60, 4.60)</w:t>
            </w:r>
          </w:p>
        </w:tc>
      </w:tr>
      <w:tr w:rsidR="005752FA" w14:paraId="504AE12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65C1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146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828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 (7.40, 10.30)</w:t>
            </w:r>
          </w:p>
        </w:tc>
      </w:tr>
      <w:tr w:rsidR="005752FA" w14:paraId="1DB223B1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0967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A0C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14B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 (3.5, 8.0)</w:t>
            </w:r>
          </w:p>
        </w:tc>
      </w:tr>
      <w:tr w:rsidR="005752FA" w14:paraId="794EF2D7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FF4F9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CCB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ADF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 (0.4, 1.8)</w:t>
            </w:r>
          </w:p>
        </w:tc>
      </w:tr>
      <w:tr w:rsidR="005752FA" w14:paraId="70C0945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0ED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A4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3243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8)</w:t>
            </w:r>
          </w:p>
        </w:tc>
      </w:tr>
      <w:tr w:rsidR="005752FA" w14:paraId="1F857F09" w14:textId="77777777" w:rsidTr="005752FA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AE7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Addisons 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F9FD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AC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(9.4%)</w:t>
            </w:r>
          </w:p>
        </w:tc>
      </w:tr>
      <w:tr w:rsidR="005752FA" w14:paraId="187F3772" w14:textId="77777777" w:rsidTr="005752FA">
        <w:trPr>
          <w:cantSplit/>
          <w:jc w:val="center"/>
        </w:trPr>
        <w:tc>
          <w:tcPr>
            <w:tcW w:w="655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4998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</w:tbl>
    <w:p w14:paraId="340D9FF1" w14:textId="77777777" w:rsidR="00D33EC0" w:rsidRDefault="00D33EC0">
      <w:pPr>
        <w:pStyle w:val="Heading1"/>
      </w:pPr>
      <w:bookmarkStart w:id="2" w:name="_Toc110329245"/>
      <w:bookmarkStart w:id="3" w:name="Xd354d3bbee763095ac645bbb92b3cf868988e0c"/>
      <w:bookmarkEnd w:id="1"/>
    </w:p>
    <w:p w14:paraId="4D11F21B" w14:textId="77777777" w:rsidR="00D33EC0" w:rsidRDefault="00D33EC0">
      <w:pPr>
        <w:pStyle w:val="Heading1"/>
      </w:pPr>
    </w:p>
    <w:p w14:paraId="57A23486" w14:textId="475AE602" w:rsidR="00BB1D19" w:rsidRDefault="00BB1D19">
      <w:pPr>
        <w:pStyle w:val="Heading1"/>
      </w:pPr>
      <w:r>
        <w:lastRenderedPageBreak/>
        <w:t>Table</w:t>
      </w:r>
      <w:r w:rsidR="00D33EC0">
        <w:t>s</w:t>
      </w:r>
      <w:r>
        <w:t xml:space="preserve"> 2</w:t>
      </w:r>
      <w:r w:rsidR="00D33EC0">
        <w:t>, 3 &amp; 4 in</w:t>
      </w:r>
      <w:r>
        <w:t xml:space="preserve"> text:</w:t>
      </w:r>
    </w:p>
    <w:p w14:paraId="269043E0" w14:textId="4DFC4E4A" w:rsidR="00BB1D19" w:rsidRPr="00BB1D19" w:rsidRDefault="0054245E" w:rsidP="00BB1D19">
      <w:pPr>
        <w:pStyle w:val="BodyText"/>
      </w:pPr>
      <w:r>
        <w:t>Comparison between the PAI and the non-PAI patients revealed no significan</w:t>
      </w:r>
      <w:r w:rsidR="005877AB">
        <w:t>t</w:t>
      </w:r>
      <w:r>
        <w:t xml:space="preserve"> differences in all the variables of interest. </w:t>
      </w:r>
      <w:r w:rsidR="005877AB">
        <w:t xml:space="preserve">However, the bivariate </w:t>
      </w:r>
      <w:r w:rsidR="00203C5C">
        <w:t xml:space="preserve">analysis </w:t>
      </w:r>
      <w:r w:rsidR="005877AB">
        <w:t xml:space="preserve">without imputed data revealed </w:t>
      </w:r>
      <w:r w:rsidR="000D4203">
        <w:t xml:space="preserve">the Log viral-load which was associated with mortality as shown by the HR 1.57 with the CI 1.00, 2.47 and the significant </w:t>
      </w:r>
      <w:r w:rsidR="00203C5C">
        <w:t>p-value (</w:t>
      </w:r>
      <w:r w:rsidR="000D4203" w:rsidRPr="00203C5C">
        <w:rPr>
          <w:i/>
          <w:iCs/>
        </w:rPr>
        <w:t xml:space="preserve">p </w:t>
      </w:r>
      <w:r w:rsidR="000D4203">
        <w:t>= 0.049</w:t>
      </w:r>
      <w:r w:rsidR="00203C5C">
        <w:t>)</w:t>
      </w:r>
      <w:r w:rsidR="00341894">
        <w:t>. Bivariate analysis with imputed data confirms the Log viral-load association with mortality as reflected by the HR 1.51, the CI (1.22,187) and a very significant p-v</w:t>
      </w:r>
      <w:r w:rsidR="00FB404C">
        <w:t>a</w:t>
      </w:r>
      <w:r w:rsidR="00341894">
        <w:t>lue (</w:t>
      </w:r>
      <w:r w:rsidR="00341894" w:rsidRPr="00D33EC0">
        <w:rPr>
          <w:i/>
          <w:iCs/>
        </w:rPr>
        <w:t>p</w:t>
      </w:r>
      <w:r w:rsidR="00341894">
        <w:t>&lt; 0.001)</w:t>
      </w:r>
      <w:r w:rsidR="00E07A2A">
        <w:t>. It also reveals a reduction in the hazard of dying with every unit rise in neutrophils as reflected by the HR 0.98, CI (0.96</w:t>
      </w:r>
      <w:r w:rsidR="00D33EC0">
        <w:t>, 0.99) and a significant p-value (</w:t>
      </w:r>
      <w:r w:rsidR="00D33EC0" w:rsidRPr="00D33EC0">
        <w:rPr>
          <w:i/>
          <w:iCs/>
        </w:rPr>
        <w:t>p</w:t>
      </w:r>
      <w:r w:rsidR="00D33EC0">
        <w:t xml:space="preserve">=0.010). </w:t>
      </w:r>
      <w:r w:rsidR="00166448">
        <w:t>Multivariate analysis revealed Log viral-load associated with increased mortality and a unit increase in neutrophils and lymphocytes associated with reduced hazard of dying with p-values of (</w:t>
      </w:r>
      <w:r w:rsidR="00166448" w:rsidRPr="00706CB1">
        <w:rPr>
          <w:i/>
          <w:iCs/>
        </w:rPr>
        <w:t>p</w:t>
      </w:r>
      <w:r w:rsidR="00706CB1">
        <w:t>=0.007) and (</w:t>
      </w:r>
      <w:r w:rsidR="00706CB1" w:rsidRPr="00706CB1">
        <w:rPr>
          <w:i/>
          <w:iCs/>
        </w:rPr>
        <w:t>p</w:t>
      </w:r>
      <w:r w:rsidR="00706CB1">
        <w:t>=0.009), respectively.</w:t>
      </w:r>
    </w:p>
    <w:p w14:paraId="35635BE5" w14:textId="77777777" w:rsidR="00BB1D19" w:rsidRDefault="00BB1D19">
      <w:pPr>
        <w:pStyle w:val="Heading1"/>
      </w:pPr>
    </w:p>
    <w:p w14:paraId="637EC11E" w14:textId="04C5DAB1" w:rsidR="005752FA" w:rsidRDefault="008332C1">
      <w:pPr>
        <w:pStyle w:val="Heading1"/>
      </w:pPr>
      <w:r>
        <w:t xml:space="preserve">Table 2: comparing </w:t>
      </w:r>
      <w:proofErr w:type="spellStart"/>
      <w:r>
        <w:t>Addisons</w:t>
      </w:r>
      <w:proofErr w:type="spellEnd"/>
      <w:r>
        <w:t xml:space="preserve"> status with other variables</w:t>
      </w:r>
      <w:bookmarkEnd w:id="2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 w:rsidR="005752FA" w14:paraId="0DD7638A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3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784A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60F0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978C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no, N = 288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D730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yes, N = 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13B2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752FA" w14:paraId="4D18750B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270B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at 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C0B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7C2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3B7F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(31, 43)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44F0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5752FA" w14:paraId="4886879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F52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779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ABF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09038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B9B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752FA" w14:paraId="4B591CD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D354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C05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F158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(52.4%)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D3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9E7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336FA6F0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17C3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D66A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4A0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(47.6%)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3EC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DD0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0B966F8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41FC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DFE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23747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F70C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5DE1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171C7B6E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417A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African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A33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29C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(81.9%)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09FE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(86.7%)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403A4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770FD428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DE1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E102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D1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(18.1%)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E82C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(13.3%)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BC34A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6C3C8D3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B007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Duration of current 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7BE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F5A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30)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2D1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(14, 21)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415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284EBE03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2CA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Opportunistic infection present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DE74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EDBA5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3A03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3C3C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61F1F6B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C4870" w14:textId="77777777" w:rsidR="005752FA" w:rsidRDefault="008332C1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3D83C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773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 (100.0%)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ADA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(100.0%)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BB0FE" w14:textId="77777777" w:rsidR="005752FA" w:rsidRDefault="005752FA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5752FA" w14:paraId="1C16E2FD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6AE2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18C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A3D8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4.71 (3.27, 5.37)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BA8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 (4.79, 5.17)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EDB7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492FCC0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CD91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 CD4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FC5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103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(14, 56)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1E48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(12, 56)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9E0B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6F4286A1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36E9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6008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0FF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 (130.0, 137.0)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33C4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135.0 (131.0, 137.0)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7F8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5752FA" w14:paraId="4BF0B6E4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3C2DA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7027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07F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4.10 (3.65, 4.60)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A76E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3.90 (3.30, 4.60)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0A82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3EFEDB7A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1BE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D176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C9F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8.80 (7.40, 10.40)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94EB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8.30 (7.62, 10.37)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B23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752FA" w14:paraId="4FE11A5B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6A0D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White cell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49FC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1BEE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 (3.9, 8.2)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56D33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 (2.9, 8.2)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09B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754A2A1C" w14:textId="77777777" w:rsidTr="005752FA">
        <w:trPr>
          <w:cantSplit/>
          <w:jc w:val="center"/>
        </w:trPr>
        <w:tc>
          <w:tcPr>
            <w:tcW w:w="33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039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F1B8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174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 (0.4, 1.6)</w:t>
            </w:r>
          </w:p>
        </w:tc>
        <w:tc>
          <w:tcPr>
            <w:tcW w:w="2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0E0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 (0.6, 1.3)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145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04038F88" w14:textId="77777777" w:rsidTr="005752FA">
        <w:trPr>
          <w:cantSplit/>
          <w:jc w:val="center"/>
        </w:trPr>
        <w:tc>
          <w:tcPr>
            <w:tcW w:w="338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E675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F2F2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FB32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(1, 7)</w:t>
            </w:r>
          </w:p>
        </w:tc>
        <w:tc>
          <w:tcPr>
            <w:tcW w:w="23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681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(1, 15)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DF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586690D0" w14:textId="77777777" w:rsidTr="005752FA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0DA7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(IQR); n (%)</w:t>
            </w:r>
          </w:p>
        </w:tc>
      </w:tr>
      <w:tr w:rsidR="005752FA" w14:paraId="17CE12A1" w14:textId="77777777" w:rsidTr="005752FA">
        <w:trPr>
          <w:cantSplit/>
          <w:jc w:val="center"/>
        </w:trPr>
        <w:tc>
          <w:tcPr>
            <w:tcW w:w="1007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70E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test; Pearson's Chi-squared test</w:t>
            </w:r>
          </w:p>
        </w:tc>
      </w:tr>
    </w:tbl>
    <w:p w14:paraId="42004243" w14:textId="77777777" w:rsidR="00D33EC0" w:rsidRDefault="00D33EC0">
      <w:pPr>
        <w:pStyle w:val="Heading1"/>
      </w:pPr>
      <w:bookmarkStart w:id="4" w:name="_Toc110329246"/>
      <w:bookmarkStart w:id="5" w:name="X6a3d1da0595725405feafbdfdbd98e5912ac089"/>
      <w:bookmarkEnd w:id="3"/>
    </w:p>
    <w:p w14:paraId="1683FAE8" w14:textId="77777777" w:rsidR="00D33EC0" w:rsidRDefault="00D33EC0">
      <w:pPr>
        <w:pStyle w:val="Heading1"/>
      </w:pPr>
    </w:p>
    <w:p w14:paraId="57AD73B1" w14:textId="6A54D31F" w:rsidR="005752FA" w:rsidRDefault="008332C1">
      <w:pPr>
        <w:pStyle w:val="Heading1"/>
      </w:pPr>
      <w:r>
        <w:lastRenderedPageBreak/>
        <w:t>Table 3: Bivariate table</w:t>
      </w:r>
      <w:bookmarkEnd w:id="4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 w:rsidR="005752FA" w14:paraId="2AEE9229" w14:textId="77777777" w:rsidTr="0057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C38E6" w14:textId="77777777" w:rsidR="005752FA" w:rsidRDefault="008332C1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A31B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E43A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5F5C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218A" w14:textId="77777777" w:rsidR="005752FA" w:rsidRDefault="008332C1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</w:tr>
      <w:tr w:rsidR="005752FA" w14:paraId="112FB2A8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9FF72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Age_at_enrolment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760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EA0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F6E2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0C26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7D4DE72E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58F7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265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93B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12D8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0.45, 1.34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373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752FA" w14:paraId="246BAC73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B92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D3D1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AE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7476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0.42, 1.88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BC2C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356566BB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8A0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Duration_of_current_illness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D92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DC0F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0DF3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0.99, 1.01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CA6C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5752FA" w14:paraId="2BE57B26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D11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Log10_viralload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BA82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FF3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92CF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1.00, 2.47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0E10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</w:tr>
      <w:tr w:rsidR="005752FA" w14:paraId="662F0FAF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21DE0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Total_CD4_count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CF4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C936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FAF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B84B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0793AC69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9970C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Sodium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4857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12BD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38C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0.95, 1.04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D55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13FCE937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FAD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88A2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E78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3A6DE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0.63, 1.15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6C6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5752FA" w14:paraId="45933CA5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A33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Haemoglobin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91B5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BE4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E0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47AA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1D0B5334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5165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White_cell_count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6629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FDE6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3392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1.00, 1.00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4722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752FA" w14:paraId="7C91C67E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3A4FE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Lymphocyte_count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797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B83B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D556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0.68, 1.09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ED9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5752FA" w14:paraId="2DC64DA1" w14:textId="77777777" w:rsidTr="005752FA">
        <w:trPr>
          <w:cantSplit/>
          <w:jc w:val="center"/>
        </w:trPr>
        <w:tc>
          <w:tcPr>
            <w:tcW w:w="30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CDA6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5F8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A97A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7C511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0.96, 1.02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00540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5752FA" w14:paraId="6E50C447" w14:textId="77777777" w:rsidTr="005752FA">
        <w:trPr>
          <w:cantSplit/>
          <w:jc w:val="center"/>
        </w:trPr>
        <w:tc>
          <w:tcPr>
            <w:tcW w:w="30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CEA1D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Addisons_disease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E1F18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BBD47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13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134D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0.47, 2.97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647E4" w14:textId="77777777" w:rsidR="005752FA" w:rsidRDefault="008332C1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752FA" w14:paraId="6A5EF9E7" w14:textId="77777777" w:rsidTr="005752FA">
        <w:trPr>
          <w:cantSplit/>
          <w:jc w:val="center"/>
        </w:trPr>
        <w:tc>
          <w:tcPr>
            <w:tcW w:w="7227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B874" w14:textId="77777777" w:rsidR="005752FA" w:rsidRDefault="008332C1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HR = Hazard Ratio, CI = Confidence Interval</w:t>
            </w:r>
          </w:p>
        </w:tc>
      </w:tr>
    </w:tbl>
    <w:p w14:paraId="1FA8859E" w14:textId="77777777" w:rsidR="00D33EC0" w:rsidRDefault="00D33EC0">
      <w:pPr>
        <w:pStyle w:val="Heading1"/>
      </w:pPr>
      <w:bookmarkStart w:id="6" w:name="_Toc110329247"/>
      <w:bookmarkStart w:id="7" w:name="X80ad9036bc2ef318a950f7fd039e1d189c7fa5c"/>
      <w:bookmarkEnd w:id="5"/>
    </w:p>
    <w:p w14:paraId="5E910B43" w14:textId="77777777" w:rsidR="00D33EC0" w:rsidRDefault="00D33EC0">
      <w:pPr>
        <w:pStyle w:val="Heading1"/>
      </w:pPr>
    </w:p>
    <w:p w14:paraId="62514C7A" w14:textId="77777777" w:rsidR="00D33EC0" w:rsidRDefault="00D33EC0">
      <w:pPr>
        <w:pStyle w:val="Heading1"/>
      </w:pPr>
    </w:p>
    <w:p w14:paraId="00BDACCB" w14:textId="77777777" w:rsidR="00D33EC0" w:rsidRDefault="00D33EC0">
      <w:pPr>
        <w:pStyle w:val="Heading1"/>
      </w:pPr>
    </w:p>
    <w:p w14:paraId="50953324" w14:textId="77777777" w:rsidR="00D33EC0" w:rsidRDefault="00D33EC0">
      <w:pPr>
        <w:pStyle w:val="Heading1"/>
      </w:pPr>
    </w:p>
    <w:p w14:paraId="1D483BBC" w14:textId="77777777" w:rsidR="00D33EC0" w:rsidRDefault="00D33EC0">
      <w:pPr>
        <w:pStyle w:val="Heading1"/>
      </w:pPr>
    </w:p>
    <w:p w14:paraId="1761826E" w14:textId="1709B0CA" w:rsidR="005752FA" w:rsidRDefault="008332C1">
      <w:pPr>
        <w:pStyle w:val="Heading1"/>
      </w:pPr>
      <w:bookmarkStart w:id="8" w:name="X2a6b84b707f503cbe0808f4f39a1bd846663630"/>
      <w:bookmarkStart w:id="9" w:name="_Toc110329248"/>
      <w:bookmarkEnd w:id="6"/>
      <w:bookmarkEnd w:id="7"/>
      <w:r>
        <w:lastRenderedPageBreak/>
        <w:t>Table 4: Multivariate table (generated with imputed data)</w:t>
      </w:r>
      <w:bookmarkEnd w:id="9"/>
    </w:p>
    <w:p w14:paraId="12D57FB2" w14:textId="2267105E" w:rsidR="005752FA" w:rsidRPr="00D27073" w:rsidRDefault="008332C1">
      <w:pPr>
        <w:pStyle w:val="FirstParagraph"/>
        <w:rPr>
          <w:rFonts w:ascii="Arial" w:hAnsi="Arial" w:cs="Arial"/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</w:t>
      </w:r>
      <w:proofErr w:type="gramStart"/>
      <w:r w:rsidRPr="00D27073">
        <w:rPr>
          <w:rFonts w:ascii="Arial" w:hAnsi="Arial" w:cs="Arial"/>
          <w:sz w:val="22"/>
          <w:szCs w:val="22"/>
        </w:rPr>
        <w:t>in</w:t>
      </w:r>
      <w:proofErr w:type="gramEnd"/>
      <w:r w:rsidRPr="00D27073">
        <w:rPr>
          <w:rFonts w:ascii="Arial" w:hAnsi="Arial" w:cs="Arial"/>
          <w:sz w:val="22"/>
          <w:szCs w:val="22"/>
        </w:rPr>
        <w:t xml:space="preserve"> the relationship. </w:t>
      </w:r>
      <w:bookmarkEnd w:id="8"/>
    </w:p>
    <w:p w14:paraId="0B002C4B" w14:textId="13194B12" w:rsidR="00A42D3A" w:rsidRPr="00D27073" w:rsidRDefault="00A42D3A" w:rsidP="00A42D3A">
      <w:pPr>
        <w:pStyle w:val="BodyText"/>
        <w:rPr>
          <w:rFonts w:ascii="Arial" w:hAnsi="Arial" w:cs="Arial"/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fldChar w:fldCharType="begin"/>
      </w:r>
      <w:r w:rsidRPr="00D27073">
        <w:rPr>
          <w:rFonts w:ascii="Arial" w:hAnsi="Arial" w:cs="Arial"/>
          <w:sz w:val="22"/>
          <w:szCs w:val="22"/>
        </w:rPr>
        <w:instrText xml:space="preserve"> LINK </w:instrText>
      </w:r>
      <w:r w:rsidR="00BA013A">
        <w:rPr>
          <w:rFonts w:ascii="Arial" w:hAnsi="Arial" w:cs="Arial"/>
          <w:sz w:val="22"/>
          <w:szCs w:val="22"/>
        </w:rPr>
        <w:instrText xml:space="preserve">Excel.SheetBinaryMacroEnabled.12 C:\\Users\\sempajb\\Documents\\GitHub\\Contractual_wk\\thabs_PHD\\final_table_updated.csv final_table_updated!R1C1:R6C4 </w:instrText>
      </w:r>
      <w:r w:rsidRPr="00D27073">
        <w:rPr>
          <w:rFonts w:ascii="Arial" w:hAnsi="Arial" w:cs="Arial"/>
          <w:sz w:val="22"/>
          <w:szCs w:val="22"/>
        </w:rPr>
        <w:instrText xml:space="preserve">\a \f 4 \h  \* MERGEFORMAT </w:instrText>
      </w:r>
      <w:r w:rsidRPr="00D27073">
        <w:rPr>
          <w:rFonts w:ascii="Arial" w:hAnsi="Arial" w:cs="Arial"/>
          <w:sz w:val="22"/>
          <w:szCs w:val="22"/>
        </w:rPr>
        <w:fldChar w:fldCharType="separate"/>
      </w:r>
    </w:p>
    <w:tbl>
      <w:tblPr>
        <w:tblStyle w:val="MediumList1"/>
        <w:tblW w:w="6948" w:type="dxa"/>
        <w:tblLook w:val="04A0" w:firstRow="1" w:lastRow="0" w:firstColumn="1" w:lastColumn="0" w:noHBand="0" w:noVBand="1"/>
      </w:tblPr>
      <w:tblGrid>
        <w:gridCol w:w="2178"/>
        <w:gridCol w:w="913"/>
        <w:gridCol w:w="2147"/>
        <w:gridCol w:w="1710"/>
      </w:tblGrid>
      <w:tr w:rsidR="00A42D3A" w:rsidRPr="00A42D3A" w14:paraId="6EF6206C" w14:textId="77777777" w:rsidTr="00D2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0B4B6BC8" w14:textId="640410AA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13" w:type="dxa"/>
            <w:noWrap/>
            <w:hideMark/>
          </w:tcPr>
          <w:p w14:paraId="67728A15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Adj.HR</w:t>
            </w:r>
          </w:p>
        </w:tc>
        <w:tc>
          <w:tcPr>
            <w:tcW w:w="2147" w:type="dxa"/>
            <w:noWrap/>
            <w:hideMark/>
          </w:tcPr>
          <w:p w14:paraId="30282AD6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95%CI</w:t>
            </w:r>
          </w:p>
        </w:tc>
        <w:tc>
          <w:tcPr>
            <w:tcW w:w="1710" w:type="dxa"/>
            <w:noWrap/>
            <w:hideMark/>
          </w:tcPr>
          <w:p w14:paraId="10001A1A" w14:textId="77777777" w:rsidR="00A42D3A" w:rsidRPr="00A42D3A" w:rsidRDefault="00A42D3A" w:rsidP="00A42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 value</w:t>
            </w:r>
          </w:p>
        </w:tc>
      </w:tr>
      <w:tr w:rsidR="00A42D3A" w:rsidRPr="00A42D3A" w14:paraId="3BCBFDAD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7346CC49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Addison's disease</w:t>
            </w:r>
          </w:p>
        </w:tc>
        <w:tc>
          <w:tcPr>
            <w:tcW w:w="913" w:type="dxa"/>
            <w:noWrap/>
            <w:hideMark/>
          </w:tcPr>
          <w:p w14:paraId="7E1812DD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0.565</w:t>
            </w:r>
          </w:p>
        </w:tc>
        <w:tc>
          <w:tcPr>
            <w:tcW w:w="2147" w:type="dxa"/>
            <w:noWrap/>
            <w:hideMark/>
          </w:tcPr>
          <w:p w14:paraId="7C989C59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(0.21813, 1.46569)</w:t>
            </w:r>
          </w:p>
        </w:tc>
        <w:tc>
          <w:tcPr>
            <w:tcW w:w="1710" w:type="dxa"/>
            <w:noWrap/>
            <w:hideMark/>
          </w:tcPr>
          <w:p w14:paraId="05B2EA1D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0.240693729</w:t>
            </w:r>
          </w:p>
        </w:tc>
      </w:tr>
      <w:tr w:rsidR="00A42D3A" w:rsidRPr="00A42D3A" w14:paraId="3584282E" w14:textId="77777777" w:rsidTr="00D2707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1BCFB6F5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Log10 Viral load</w:t>
            </w:r>
          </w:p>
        </w:tc>
        <w:tc>
          <w:tcPr>
            <w:tcW w:w="913" w:type="dxa"/>
            <w:noWrap/>
            <w:hideMark/>
          </w:tcPr>
          <w:p w14:paraId="0AAA9811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1.774</w:t>
            </w:r>
          </w:p>
        </w:tc>
        <w:tc>
          <w:tcPr>
            <w:tcW w:w="2147" w:type="dxa"/>
            <w:noWrap/>
            <w:hideMark/>
          </w:tcPr>
          <w:p w14:paraId="4D988D75" w14:textId="77777777" w:rsidR="00A42D3A" w:rsidRPr="00A42D3A" w:rsidRDefault="00A42D3A" w:rsidP="00A42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(1.41225, 2.22899)</w:t>
            </w:r>
          </w:p>
        </w:tc>
        <w:tc>
          <w:tcPr>
            <w:tcW w:w="1710" w:type="dxa"/>
            <w:noWrap/>
            <w:hideMark/>
          </w:tcPr>
          <w:p w14:paraId="70778DB4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8.44E-07</w:t>
            </w:r>
          </w:p>
        </w:tc>
      </w:tr>
      <w:tr w:rsidR="00A42D3A" w:rsidRPr="00A42D3A" w14:paraId="29B017BB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2A0634DE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Neutrophils</w:t>
            </w:r>
          </w:p>
        </w:tc>
        <w:tc>
          <w:tcPr>
            <w:tcW w:w="913" w:type="dxa"/>
            <w:noWrap/>
            <w:hideMark/>
          </w:tcPr>
          <w:p w14:paraId="4B26FF6A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0.974</w:t>
            </w:r>
          </w:p>
        </w:tc>
        <w:tc>
          <w:tcPr>
            <w:tcW w:w="2147" w:type="dxa"/>
            <w:noWrap/>
            <w:hideMark/>
          </w:tcPr>
          <w:p w14:paraId="32216C63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(0.95467, 0.99279)</w:t>
            </w:r>
          </w:p>
        </w:tc>
        <w:tc>
          <w:tcPr>
            <w:tcW w:w="1710" w:type="dxa"/>
            <w:noWrap/>
            <w:hideMark/>
          </w:tcPr>
          <w:p w14:paraId="4747D480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0.007263384</w:t>
            </w:r>
          </w:p>
        </w:tc>
      </w:tr>
      <w:tr w:rsidR="00A42D3A" w:rsidRPr="00A42D3A" w14:paraId="3540FF54" w14:textId="77777777" w:rsidTr="00D2707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638B239E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Lymphocyte count</w:t>
            </w:r>
          </w:p>
        </w:tc>
        <w:tc>
          <w:tcPr>
            <w:tcW w:w="913" w:type="dxa"/>
            <w:noWrap/>
            <w:hideMark/>
          </w:tcPr>
          <w:p w14:paraId="6BE25790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0.924</w:t>
            </w:r>
          </w:p>
        </w:tc>
        <w:tc>
          <w:tcPr>
            <w:tcW w:w="2147" w:type="dxa"/>
            <w:noWrap/>
            <w:hideMark/>
          </w:tcPr>
          <w:p w14:paraId="6546101E" w14:textId="77777777" w:rsidR="00A42D3A" w:rsidRPr="00A42D3A" w:rsidRDefault="00A42D3A" w:rsidP="00A42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(0.87072, 0.98059)</w:t>
            </w:r>
          </w:p>
        </w:tc>
        <w:tc>
          <w:tcPr>
            <w:tcW w:w="1710" w:type="dxa"/>
            <w:noWrap/>
            <w:hideMark/>
          </w:tcPr>
          <w:p w14:paraId="4BE542D0" w14:textId="77777777" w:rsidR="00A42D3A" w:rsidRPr="00A42D3A" w:rsidRDefault="00A42D3A" w:rsidP="00A42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0.009145005</w:t>
            </w:r>
          </w:p>
        </w:tc>
      </w:tr>
      <w:tr w:rsidR="00A42D3A" w:rsidRPr="00A42D3A" w14:paraId="5CB3C89A" w14:textId="77777777" w:rsidTr="00D27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noWrap/>
            <w:hideMark/>
          </w:tcPr>
          <w:p w14:paraId="19900439" w14:textId="77777777" w:rsidR="00A42D3A" w:rsidRPr="00A42D3A" w:rsidRDefault="00A42D3A" w:rsidP="00A42D3A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Potassium</w:t>
            </w:r>
          </w:p>
        </w:tc>
        <w:tc>
          <w:tcPr>
            <w:tcW w:w="913" w:type="dxa"/>
            <w:noWrap/>
            <w:hideMark/>
          </w:tcPr>
          <w:p w14:paraId="44FEB5DB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0.862</w:t>
            </w:r>
          </w:p>
        </w:tc>
        <w:tc>
          <w:tcPr>
            <w:tcW w:w="2147" w:type="dxa"/>
            <w:noWrap/>
            <w:hideMark/>
          </w:tcPr>
          <w:p w14:paraId="7A936068" w14:textId="77777777" w:rsidR="00A42D3A" w:rsidRPr="00A42D3A" w:rsidRDefault="00A42D3A" w:rsidP="00A42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(0.65495, 1.13395)</w:t>
            </w:r>
          </w:p>
        </w:tc>
        <w:tc>
          <w:tcPr>
            <w:tcW w:w="1710" w:type="dxa"/>
            <w:noWrap/>
            <w:hideMark/>
          </w:tcPr>
          <w:p w14:paraId="02E66B6C" w14:textId="77777777" w:rsidR="00A42D3A" w:rsidRPr="00A42D3A" w:rsidRDefault="00A42D3A" w:rsidP="00A42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42D3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0.288136069</w:t>
            </w:r>
          </w:p>
        </w:tc>
      </w:tr>
    </w:tbl>
    <w:p w14:paraId="282F37B5" w14:textId="7823A8E4" w:rsidR="00A42D3A" w:rsidRPr="00D27073" w:rsidRDefault="00A42D3A" w:rsidP="00A42D3A">
      <w:pPr>
        <w:pStyle w:val="BodyText"/>
        <w:rPr>
          <w:sz w:val="22"/>
          <w:szCs w:val="22"/>
        </w:rPr>
      </w:pPr>
      <w:r w:rsidRPr="00D27073">
        <w:rPr>
          <w:rFonts w:ascii="Arial" w:hAnsi="Arial" w:cs="Arial"/>
          <w:sz w:val="22"/>
          <w:szCs w:val="22"/>
        </w:rPr>
        <w:fldChar w:fldCharType="end"/>
      </w:r>
    </w:p>
    <w:sectPr w:rsidR="00A42D3A" w:rsidRPr="00D270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C4C9" w14:textId="77777777" w:rsidR="00055DE0" w:rsidRDefault="00055DE0">
      <w:pPr>
        <w:spacing w:after="0"/>
      </w:pPr>
      <w:r>
        <w:separator/>
      </w:r>
    </w:p>
  </w:endnote>
  <w:endnote w:type="continuationSeparator" w:id="0">
    <w:p w14:paraId="250658BC" w14:textId="77777777" w:rsidR="00055DE0" w:rsidRDefault="00055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4D94" w14:textId="77777777" w:rsidR="00055DE0" w:rsidRDefault="00055DE0">
      <w:r>
        <w:separator/>
      </w:r>
    </w:p>
  </w:footnote>
  <w:footnote w:type="continuationSeparator" w:id="0">
    <w:p w14:paraId="361C175D" w14:textId="77777777" w:rsidR="00055DE0" w:rsidRDefault="00055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92B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FA"/>
    <w:rsid w:val="00055DE0"/>
    <w:rsid w:val="000D4203"/>
    <w:rsid w:val="00166448"/>
    <w:rsid w:val="00203C5C"/>
    <w:rsid w:val="00255F08"/>
    <w:rsid w:val="002B26F4"/>
    <w:rsid w:val="00341894"/>
    <w:rsid w:val="00345A7E"/>
    <w:rsid w:val="004327BA"/>
    <w:rsid w:val="0054245E"/>
    <w:rsid w:val="005616D9"/>
    <w:rsid w:val="005752FA"/>
    <w:rsid w:val="005877AB"/>
    <w:rsid w:val="0059559C"/>
    <w:rsid w:val="00641813"/>
    <w:rsid w:val="00706CB1"/>
    <w:rsid w:val="008332C1"/>
    <w:rsid w:val="00836193"/>
    <w:rsid w:val="008D1058"/>
    <w:rsid w:val="009142FB"/>
    <w:rsid w:val="00A42D3A"/>
    <w:rsid w:val="00BA013A"/>
    <w:rsid w:val="00BB1D19"/>
    <w:rsid w:val="00D27073"/>
    <w:rsid w:val="00D33EC0"/>
    <w:rsid w:val="00D80BB9"/>
    <w:rsid w:val="00E07A2A"/>
    <w:rsid w:val="00EC107C"/>
    <w:rsid w:val="00F15D1D"/>
    <w:rsid w:val="00F840CF"/>
    <w:rsid w:val="00F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17BB"/>
  <w15:docId w15:val="{B365CADF-EB8D-4541-95C4-28C3F551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42D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2D3A"/>
    <w:pPr>
      <w:spacing w:after="100"/>
      <w:ind w:left="480"/>
    </w:pPr>
  </w:style>
  <w:style w:type="table" w:styleId="MediumList1">
    <w:name w:val="Medium List 1"/>
    <w:basedOn w:val="TableNormal"/>
    <w:rsid w:val="00A42D3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>University of the Free State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2</cp:revision>
  <dcterms:created xsi:type="dcterms:W3CDTF">2022-10-05T09:44:00Z</dcterms:created>
  <dcterms:modified xsi:type="dcterms:W3CDTF">2022-10-05T09:44:00Z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2022-08-02</vt:lpwstr>
  </property>
  <property fmtid="{D5CDD505-2E9C-101B-9397-08002B2CF9AE}" pid="4" name="output">
    <vt:lpwstr/>
  </property>
</Properties>
</file>