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2022-12-07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297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(253,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(388, 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(185, 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(352,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(316, 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(616, 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(111, 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(4.67,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(3.28, 5.36)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(14,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(3.70,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(7.60,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(3.9,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(0.6,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530"/>
        <w:gridCol w:w="155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(33.1%)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1"/>
    <w:bookmarkStart w:id="22" w:name="table-3-bivariate-table"/>
    <w:p>
      <w:pPr>
        <w:pStyle w:val="Heading1"/>
      </w:pPr>
      <w:r>
        <w:t xml:space="preserve">Table 3: Bivariate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778"/>
        <w:gridCol w:w="839"/>
        <w:gridCol w:w="1389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1.11, 6.07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2"/>
    <w:bookmarkStart w:id="23" w:name="X25bba8e14d3d2cfc29336120acd0fe99fa4562e"/>
    <w:p>
      <w:pPr>
        <w:pStyle w:val="Heading1"/>
      </w:pPr>
      <w:r>
        <w:t xml:space="preserve">Table 3a: Deep dive on Addison’s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655"/>
        <w:gridCol w:w="2025"/>
        <w:gridCol w:w="2025"/>
        <w:gridCol w:w="113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(367, 623)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(419, 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(630, 880)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(22,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(4.55,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</w:tbl>
    <w:bookmarkEnd w:id="23"/>
    <w:bookmarkStart w:id="24" w:name="X44326de293b3f07101283c95883a5a5a1a4bf85"/>
    <w:p>
      <w:pPr>
        <w:pStyle w:val="Heading1"/>
      </w:pPr>
      <w:r>
        <w:t xml:space="preserve">Table 3b: Deep dive in mortality status among Addissons cases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655"/>
        <w:gridCol w:w="2025"/>
        <w:gridCol w:w="2025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(230, 376)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(180, 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(312, 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(70, 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(3.27,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(4.67,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</w:tbl>
    <w:bookmarkEnd w:id="24"/>
    <w:bookmarkStart w:id="25" w:name="table-4-multivariate-table"/>
    <w:p>
      <w:pPr>
        <w:pStyle w:val="Heading1"/>
      </w:pPr>
      <w:r>
        <w:t xml:space="preserve">Table 4: Multivariate table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2022-12-07T12:25:02Z</dcterms:created>
  <dcterms:modified xsi:type="dcterms:W3CDTF">2022-12-07T12:25:02Z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2022-12-07</vt:lpwstr>
  </property>
  <property fmtid="{D5CDD505-2E9C-101B-9397-08002B2CF9AE}" pid="4" name="output">
    <vt:lpwstr/>
  </property>
</Properties>
</file>