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Interpreting</w:t>
      </w:r>
      <w:r>
        <w:t xml:space="preserve"> </w:t>
      </w:r>
      <w:r>
        <w:t xml:space="preserve">and</w:t>
      </w:r>
      <w:r>
        <w:t xml:space="preserve"> </w:t>
      </w:r>
      <w:r>
        <w:t xml:space="preserve">Presenting</w:t>
      </w:r>
      <w:r>
        <w:t xml:space="preserve"> </w:t>
      </w:r>
      <w:r>
        <w:t xml:space="preserve">Statistical</w:t>
      </w:r>
      <w:r>
        <w:t xml:space="preserve"> </w:t>
      </w:r>
      <w:r>
        <w:t xml:space="preserve">Analyses</w:t>
      </w:r>
      <w:r>
        <w:t xml:space="preserve"> </w:t>
      </w:r>
      <w:r>
        <w:t xml:space="preserve">Using</w:t>
      </w:r>
      <w:r>
        <w:t xml:space="preserve"> </w:t>
      </w:r>
      <w:r>
        <w:t xml:space="preserve">R</w:t>
      </w:r>
    </w:p>
    <w:p>
      <w:pPr>
        <w:pStyle w:val="Date"/>
      </w:pPr>
      <w:r>
        <w:t xml:space="preserve">9/10/2020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document indicates how the results we send to the researcher are displayed and interpreted. Guidance is also given regarding how to construct tables for reporting purposes. Firstly, the basic description of categorical and numerical variables will be discussed, thereafter comparisons/associations between two sets of variables.</w:t>
      </w:r>
    </w:p>
    <w:p>
      <w:pPr>
        <w:pStyle w:val="Heading1"/>
      </w:pPr>
      <w:bookmarkStart w:id="20" w:name="basic-description-of-results"/>
      <w:r>
        <w:t xml:space="preserve">Basic description of results</w:t>
      </w:r>
      <w:bookmarkEnd w:id="20"/>
    </w:p>
    <w:p>
      <w:pPr>
        <w:pStyle w:val="Heading2"/>
      </w:pPr>
      <w:bookmarkStart w:id="21" w:name="categorical-variables"/>
      <w:r>
        <w:t xml:space="preserve">Categorical variables:</w:t>
      </w:r>
      <w:bookmarkEnd w:id="21"/>
    </w:p>
    <w:p>
      <w:pPr>
        <w:pStyle w:val="FirstParagraph"/>
      </w:pPr>
      <w:r>
        <w:t xml:space="preserve">In the output of a frequency table below</w:t>
      </w:r>
      <w:r>
        <w:t xml:space="preserve"> </w:t>
      </w:r>
      <w:r>
        <w:rPr>
          <w:i/>
        </w:rPr>
        <w:t xml:space="preserve">agecat</w:t>
      </w:r>
      <w:r>
        <w:t xml:space="preserve"> </w:t>
      </w:r>
      <w:r>
        <w:t xml:space="preserve">indicates the age category of participants in the study — this variable was originally collected as a numerical variable but we have categorized it here for purposes of explanation. For each category, the number who belong to a specific category</w:t>
      </w:r>
      <w:r>
        <w:t xml:space="preserve"> </w:t>
      </w:r>
      <w:r>
        <w:rPr>
          <w:i/>
        </w:rPr>
        <w:t xml:space="preserve">freq</w:t>
      </w:r>
      <w:r>
        <w:t xml:space="preserve"> </w:t>
      </w:r>
      <w:r>
        <w:t xml:space="preserve">is indicated, and what percentage that is of those who had a response. All the 39 participants in the study provided an answer to this question (see last value in the column for cumulative frequency) and therefore no missing were recorded in this study</w:t>
      </w:r>
    </w:p>
    <w:p>
      <w:pPr>
        <w:pStyle w:val="Compact"/>
      </w:pPr>
      <w:r>
        <w:t xml:space="preserve">Table 1: Frequency table for agecat</w:t>
      </w:r>
    </w:p>
    <w:p>
      <w:pPr>
        <w:pStyle w:val="Compact"/>
      </w:pPr>
      <w:r>
        <w:t xml:space="preserve">agecat</w:t>
      </w:r>
    </w:p>
    <w:p>
      <w:pPr>
        <w:pStyle w:val="Compact"/>
      </w:pPr>
      <w:r>
        <w:t xml:space="preserve">freq</w:t>
      </w:r>
    </w:p>
    <w:p>
      <w:pPr>
        <w:pStyle w:val="Compact"/>
      </w:pPr>
      <w:r>
        <w:t xml:space="preserve">percentage</w:t>
      </w:r>
    </w:p>
    <w:p>
      <w:pPr>
        <w:pStyle w:val="Compact"/>
      </w:pPr>
      <w:r>
        <w:t xml:space="preserve">cumulative frequency</w:t>
      </w:r>
    </w:p>
    <w:p>
      <w:pPr>
        <w:pStyle w:val="Compact"/>
      </w:pPr>
      <w:r>
        <w:t xml:space="preserve">cumulative percentage</w:t>
      </w:r>
    </w:p>
    <w:p>
      <w:pPr>
        <w:pStyle w:val="Compact"/>
      </w:pPr>
      <w:r>
        <w:t xml:space="preserve">1</w:t>
      </w:r>
    </w:p>
    <w:p>
      <w:pPr>
        <w:pStyle w:val="Compact"/>
      </w:pPr>
      <w:r>
        <w:t xml:space="preserve">25</w:t>
      </w:r>
    </w:p>
    <w:p>
      <w:pPr>
        <w:pStyle w:val="Compact"/>
      </w:pPr>
      <w:r>
        <w:t xml:space="preserve">64.1</w:t>
      </w:r>
    </w:p>
    <w:p>
      <w:pPr>
        <w:pStyle w:val="Compact"/>
      </w:pPr>
      <w:r>
        <w:t xml:space="preserve">25</w:t>
      </w:r>
    </w:p>
    <w:p>
      <w:pPr>
        <w:pStyle w:val="Compact"/>
      </w:pPr>
      <w:r>
        <w:t xml:space="preserve">64.1</w:t>
      </w:r>
    </w:p>
    <w:p>
      <w:pPr>
        <w:pStyle w:val="Compact"/>
      </w:pPr>
      <w:r>
        <w:t xml:space="preserve">2</w:t>
      </w:r>
    </w:p>
    <w:p>
      <w:pPr>
        <w:pStyle w:val="Compact"/>
      </w:pPr>
      <w:r>
        <w:t xml:space="preserve">7</w:t>
      </w:r>
    </w:p>
    <w:p>
      <w:pPr>
        <w:pStyle w:val="Compact"/>
      </w:pPr>
      <w:r>
        <w:t xml:space="preserve">17.9</w:t>
      </w:r>
    </w:p>
    <w:p>
      <w:pPr>
        <w:pStyle w:val="Compact"/>
      </w:pPr>
      <w:r>
        <w:t xml:space="preserve">32</w:t>
      </w:r>
    </w:p>
    <w:p>
      <w:pPr>
        <w:pStyle w:val="Compact"/>
      </w:pPr>
      <w:r>
        <w:t xml:space="preserve">82.0</w:t>
      </w:r>
    </w:p>
    <w:p>
      <w:pPr>
        <w:pStyle w:val="Compact"/>
      </w:pPr>
      <w:r>
        <w:t xml:space="preserve">3</w:t>
      </w:r>
    </w:p>
    <w:p>
      <w:pPr>
        <w:pStyle w:val="Compact"/>
      </w:pPr>
      <w:r>
        <w:t xml:space="preserve">3</w:t>
      </w:r>
    </w:p>
    <w:p>
      <w:pPr>
        <w:pStyle w:val="Compact"/>
      </w:pPr>
      <w:r>
        <w:t xml:space="preserve">7.7</w:t>
      </w:r>
    </w:p>
    <w:p>
      <w:pPr>
        <w:pStyle w:val="Compact"/>
      </w:pPr>
      <w:r>
        <w:t xml:space="preserve">35</w:t>
      </w:r>
    </w:p>
    <w:p>
      <w:pPr>
        <w:pStyle w:val="Compact"/>
      </w:pPr>
      <w:r>
        <w:t xml:space="preserve">89.7</w:t>
      </w:r>
    </w:p>
    <w:p>
      <w:pPr>
        <w:pStyle w:val="Compact"/>
      </w:pPr>
      <w:r>
        <w:t xml:space="preserve">4</w:t>
      </w:r>
    </w:p>
    <w:p>
      <w:pPr>
        <w:pStyle w:val="Compact"/>
      </w:pPr>
      <w:r>
        <w:t xml:space="preserve">1</w:t>
      </w:r>
    </w:p>
    <w:p>
      <w:pPr>
        <w:pStyle w:val="Compact"/>
      </w:pPr>
      <w:r>
        <w:t xml:space="preserve">2.6</w:t>
      </w:r>
    </w:p>
    <w:p>
      <w:pPr>
        <w:pStyle w:val="Compact"/>
      </w:pPr>
      <w:r>
        <w:t xml:space="preserve">36</w:t>
      </w:r>
    </w:p>
    <w:p>
      <w:pPr>
        <w:pStyle w:val="Compact"/>
      </w:pPr>
      <w:r>
        <w:t xml:space="preserve">92.3</w:t>
      </w:r>
    </w:p>
    <w:p>
      <w:pPr>
        <w:pStyle w:val="Compact"/>
      </w:pPr>
      <w:r>
        <w:t xml:space="preserve">5</w:t>
      </w:r>
    </w:p>
    <w:p>
      <w:pPr>
        <w:pStyle w:val="Compact"/>
      </w:pPr>
      <w:r>
        <w:t xml:space="preserve">1</w:t>
      </w:r>
    </w:p>
    <w:p>
      <w:pPr>
        <w:pStyle w:val="Compact"/>
      </w:pPr>
      <w:r>
        <w:t xml:space="preserve">2.6</w:t>
      </w:r>
    </w:p>
    <w:p>
      <w:pPr>
        <w:pStyle w:val="Compact"/>
      </w:pPr>
      <w:r>
        <w:t xml:space="preserve">37</w:t>
      </w:r>
    </w:p>
    <w:p>
      <w:pPr>
        <w:pStyle w:val="Compact"/>
      </w:pPr>
      <w:r>
        <w:t xml:space="preserve">94.9</w:t>
      </w:r>
    </w:p>
    <w:p>
      <w:pPr>
        <w:pStyle w:val="Compact"/>
      </w:pPr>
      <w:r>
        <w:t xml:space="preserve">6</w:t>
      </w:r>
    </w:p>
    <w:p>
      <w:pPr>
        <w:pStyle w:val="Compact"/>
      </w:pPr>
      <w:r>
        <w:t xml:space="preserve">2</w:t>
      </w:r>
    </w:p>
    <w:p>
      <w:pPr>
        <w:pStyle w:val="Compact"/>
      </w:pPr>
      <w:r>
        <w:t xml:space="preserve">5.1</w:t>
      </w:r>
    </w:p>
    <w:p>
      <w:pPr>
        <w:pStyle w:val="Compact"/>
      </w:pPr>
      <w:r>
        <w:t xml:space="preserve">39</w:t>
      </w:r>
    </w:p>
    <w:p>
      <w:pPr>
        <w:pStyle w:val="Compact"/>
      </w:pPr>
      <w:r>
        <w:t xml:space="preserve">100.0</w:t>
      </w:r>
    </w:p>
    <w:p>
      <w:pPr>
        <w:pStyle w:val="BodyText"/>
      </w:pPr>
      <w:r>
        <w:t xml:space="preserve">Majority, 64.1% were</w:t>
      </w:r>
      <w:r>
        <w:t xml:space="preserve"> </w:t>
      </w:r>
      <m:oMath>
        <m:r>
          <m:t>≤</m:t>
        </m:r>
      </m:oMath>
      <w:r>
        <w:t xml:space="preserve"> </w:t>
      </w:r>
      <w:r>
        <w:t xml:space="preserve">23 months (agecat = 1) and only 5.1% were</w:t>
      </w:r>
      <w:r>
        <w:t xml:space="preserve"> </w:t>
      </w:r>
      <m:oMath>
        <m:r>
          <m:t>≥</m:t>
        </m:r>
      </m:oMath>
      <w:r>
        <w:t xml:space="preserve"> </w:t>
      </w:r>
      <w:r>
        <w:t xml:space="preserve">120 months (age_cat = 6). All percentages should be rounded to one decimal point. The cumulative frequency and cumulative percentage are usually not used except when one intends to group responses into categories.</w:t>
      </w:r>
    </w:p>
    <w:p>
      <w:pPr>
        <w:pStyle w:val="BodyText"/>
      </w:pPr>
      <w:r>
        <w:t xml:space="preserve">When creating a table to report the results, you need to indicate what the codes stand for:</w:t>
      </w:r>
    </w:p>
    <w:p>
      <w:pPr>
        <w:pStyle w:val="Compact"/>
      </w:pPr>
      <w:r>
        <w:t xml:space="preserve">Table 2: Frequency table for age at different categories(n = 39)</w:t>
      </w:r>
    </w:p>
    <w:p>
      <w:pPr>
        <w:pStyle w:val="Compact"/>
      </w:pPr>
      <w:r>
        <w:t xml:space="preserve">agecat</w:t>
      </w:r>
    </w:p>
    <w:p>
      <w:pPr>
        <w:pStyle w:val="Compact"/>
      </w:pPr>
      <w:r>
        <w:t xml:space="preserve">n</w:t>
      </w:r>
    </w:p>
    <w:p>
      <w:pPr>
        <w:pStyle w:val="Compact"/>
      </w:pPr>
      <w:r>
        <w:t xml:space="preserve">percentage</w:t>
      </w:r>
    </w:p>
    <w:p>
      <w:pPr>
        <w:pStyle w:val="Compact"/>
      </w:pPr>
      <w:r>
        <w:t xml:space="preserve">0-23</w:t>
      </w:r>
    </w:p>
    <w:p>
      <w:pPr>
        <w:pStyle w:val="Compact"/>
      </w:pPr>
      <w:r>
        <w:t xml:space="preserve">25</w:t>
      </w:r>
    </w:p>
    <w:p>
      <w:pPr>
        <w:pStyle w:val="Compact"/>
      </w:pPr>
      <w:r>
        <w:t xml:space="preserve">64.1</w:t>
      </w:r>
    </w:p>
    <w:p>
      <w:pPr>
        <w:pStyle w:val="Compact"/>
      </w:pPr>
      <w:r>
        <w:t xml:space="preserve">24-47</w:t>
      </w:r>
    </w:p>
    <w:p>
      <w:pPr>
        <w:pStyle w:val="Compact"/>
      </w:pPr>
      <w:r>
        <w:t xml:space="preserve">7</w:t>
      </w:r>
    </w:p>
    <w:p>
      <w:pPr>
        <w:pStyle w:val="Compact"/>
      </w:pPr>
      <w:r>
        <w:t xml:space="preserve">17.9</w:t>
      </w:r>
    </w:p>
    <w:p>
      <w:pPr>
        <w:pStyle w:val="Compact"/>
      </w:pPr>
      <w:r>
        <w:t xml:space="preserve">48-71</w:t>
      </w:r>
    </w:p>
    <w:p>
      <w:pPr>
        <w:pStyle w:val="Compact"/>
      </w:pPr>
      <w:r>
        <w:t xml:space="preserve">3</w:t>
      </w:r>
    </w:p>
    <w:p>
      <w:pPr>
        <w:pStyle w:val="Compact"/>
      </w:pPr>
      <w:r>
        <w:t xml:space="preserve">7.7</w:t>
      </w:r>
    </w:p>
    <w:p>
      <w:pPr>
        <w:pStyle w:val="Compact"/>
      </w:pPr>
      <w:r>
        <w:t xml:space="preserve">72-95</w:t>
      </w:r>
    </w:p>
    <w:p>
      <w:pPr>
        <w:pStyle w:val="Compact"/>
      </w:pPr>
      <w:r>
        <w:t xml:space="preserve">1</w:t>
      </w:r>
    </w:p>
    <w:p>
      <w:pPr>
        <w:pStyle w:val="Compact"/>
      </w:pPr>
      <w:r>
        <w:t xml:space="preserve">2.6</w:t>
      </w:r>
    </w:p>
    <w:p>
      <w:pPr>
        <w:pStyle w:val="Compact"/>
      </w:pPr>
      <w:r>
        <w:t xml:space="preserve">96-119</w:t>
      </w:r>
    </w:p>
    <w:p>
      <w:pPr>
        <w:pStyle w:val="Compact"/>
      </w:pPr>
      <w:r>
        <w:t xml:space="preserve">1</w:t>
      </w:r>
    </w:p>
    <w:p>
      <w:pPr>
        <w:pStyle w:val="Compact"/>
      </w:pPr>
      <w:r>
        <w:t xml:space="preserve">2.6</w:t>
      </w:r>
    </w:p>
    <w:p>
      <w:pPr>
        <w:pStyle w:val="Compact"/>
      </w:pPr>
      <w:r>
        <w:t xml:space="preserve">120+</w:t>
      </w:r>
    </w:p>
    <w:p>
      <w:pPr>
        <w:pStyle w:val="Compact"/>
      </w:pPr>
      <w:r>
        <w:t xml:space="preserve">2</w:t>
      </w:r>
    </w:p>
    <w:p>
      <w:pPr>
        <w:pStyle w:val="Compact"/>
      </w:pPr>
      <w:r>
        <w:t xml:space="preserve">5.1</w:t>
      </w:r>
    </w:p>
    <w:p>
      <w:pPr>
        <w:pStyle w:val="BodyText"/>
      </w:pPr>
      <w:r>
        <w:t xml:space="preserve">The information of various categorical variables can be reported in one table, with a more generic title, and, at the end of each heading, an indication of the total number of responses for that variable (n = 39).</w:t>
      </w:r>
    </w:p>
    <w:p>
      <w:pPr>
        <w:pStyle w:val="BodyText"/>
      </w:pPr>
      <w:r>
        <w:t xml:space="preserve">The results of sex of the respondents (f = Female, m = Male) below, can be reported in a sentence and without creating a table in the report i.e. 64.1% of the participants in the study were males and 35.9% were females.</w:t>
      </w:r>
    </w:p>
    <w:p>
      <w:pPr>
        <w:pStyle w:val="Compact"/>
      </w:pPr>
      <w:r>
        <w:t xml:space="preserve">Table 3: Frequency table for sex of the respondents</w:t>
      </w:r>
    </w:p>
    <w:p>
      <w:pPr>
        <w:pStyle w:val="Compact"/>
      </w:pPr>
      <w:r>
        <w:t xml:space="preserve">gender</w:t>
      </w:r>
    </w:p>
    <w:p>
      <w:pPr>
        <w:pStyle w:val="Compact"/>
      </w:pPr>
      <w:r>
        <w:t xml:space="preserve">freq</w:t>
      </w:r>
    </w:p>
    <w:p>
      <w:pPr>
        <w:pStyle w:val="Compact"/>
      </w:pPr>
      <w:r>
        <w:t xml:space="preserve">percentage</w:t>
      </w:r>
    </w:p>
    <w:p>
      <w:pPr>
        <w:pStyle w:val="Compact"/>
      </w:pPr>
      <w:r>
        <w:t xml:space="preserve">cumulative frequency</w:t>
      </w:r>
    </w:p>
    <w:p>
      <w:pPr>
        <w:pStyle w:val="Compact"/>
      </w:pPr>
      <w:r>
        <w:t xml:space="preserve">cumulative percentage</w:t>
      </w:r>
    </w:p>
    <w:p>
      <w:pPr>
        <w:pStyle w:val="Compact"/>
      </w:pPr>
      <w:r>
        <w:t xml:space="preserve">f</w:t>
      </w:r>
    </w:p>
    <w:p>
      <w:pPr>
        <w:pStyle w:val="Compact"/>
      </w:pPr>
      <w:r>
        <w:t xml:space="preserve">14</w:t>
      </w:r>
    </w:p>
    <w:p>
      <w:pPr>
        <w:pStyle w:val="Compact"/>
      </w:pPr>
      <w:r>
        <w:t xml:space="preserve">35.9</w:t>
      </w:r>
    </w:p>
    <w:p>
      <w:pPr>
        <w:pStyle w:val="Compact"/>
      </w:pPr>
      <w:r>
        <w:t xml:space="preserve">14</w:t>
      </w:r>
    </w:p>
    <w:p>
      <w:pPr>
        <w:pStyle w:val="Compact"/>
      </w:pPr>
      <w:r>
        <w:t xml:space="preserve">35.9</w:t>
      </w:r>
    </w:p>
    <w:p>
      <w:pPr>
        <w:pStyle w:val="Compact"/>
      </w:pPr>
      <w:r>
        <w:t xml:space="preserve">m</w:t>
      </w:r>
    </w:p>
    <w:p>
      <w:pPr>
        <w:pStyle w:val="Compact"/>
      </w:pPr>
      <w:r>
        <w:t xml:space="preserve">25</w:t>
      </w:r>
    </w:p>
    <w:p>
      <w:pPr>
        <w:pStyle w:val="Compact"/>
      </w:pPr>
      <w:r>
        <w:t xml:space="preserve">64.1</w:t>
      </w:r>
    </w:p>
    <w:p>
      <w:pPr>
        <w:pStyle w:val="Compact"/>
      </w:pPr>
      <w:r>
        <w:t xml:space="preserve">39</w:t>
      </w:r>
    </w:p>
    <w:p>
      <w:pPr>
        <w:pStyle w:val="Compact"/>
      </w:pPr>
      <w:r>
        <w:t xml:space="preserve">100.0</w:t>
      </w:r>
    </w:p>
    <w:p>
      <w:pPr>
        <w:pStyle w:val="Heading2"/>
      </w:pPr>
      <w:bookmarkStart w:id="22" w:name="numerical-variables"/>
      <w:r>
        <w:t xml:space="preserve">Numerical variables:</w:t>
      </w:r>
      <w:bookmarkEnd w:id="22"/>
    </w:p>
    <w:p>
      <w:pPr>
        <w:pStyle w:val="FirstParagraph"/>
      </w:pPr>
      <w:r>
        <w:t xml:space="preserve">The distribution of any numerical variable (age in months) can be summarised as follows:</w:t>
      </w:r>
    </w:p>
    <w:p>
      <w:pPr>
        <w:pStyle w:val="Compact"/>
      </w:pPr>
      <w:r>
        <w:t xml:space="preserve">Table 4: Frequency table for sex of the respondents</w:t>
      </w:r>
    </w:p>
    <w:p>
      <w:pPr>
        <w:pStyle w:val="Compact"/>
      </w:pPr>
      <w:r>
        <w:t xml:space="preserve">N</w:t>
      </w:r>
    </w:p>
    <w:p>
      <w:pPr>
        <w:pStyle w:val="Compact"/>
      </w:pPr>
      <w:r>
        <w:t xml:space="preserve">Average</w:t>
      </w:r>
    </w:p>
    <w:p>
      <w:pPr>
        <w:pStyle w:val="Compact"/>
      </w:pPr>
      <w:r>
        <w:t xml:space="preserve">standard devaition</w:t>
      </w:r>
    </w:p>
    <w:p>
      <w:pPr>
        <w:pStyle w:val="Compact"/>
      </w:pPr>
      <w:r>
        <w:t xml:space="preserve">median value</w:t>
      </w:r>
    </w:p>
    <w:p>
      <w:pPr>
        <w:pStyle w:val="Compact"/>
      </w:pPr>
      <w:r>
        <w:t xml:space="preserve">lower quartile</w:t>
      </w:r>
    </w:p>
    <w:p>
      <w:pPr>
        <w:pStyle w:val="Compact"/>
      </w:pPr>
      <w:r>
        <w:t xml:space="preserve">upper quartile</w:t>
      </w:r>
    </w:p>
    <w:p>
      <w:pPr>
        <w:pStyle w:val="Compact"/>
      </w:pPr>
      <w:r>
        <w:t xml:space="preserve">minimum value</w:t>
      </w:r>
    </w:p>
    <w:p>
      <w:pPr>
        <w:pStyle w:val="Compact"/>
      </w:pPr>
      <w:r>
        <w:t xml:space="preserve">maximum value</w:t>
      </w:r>
    </w:p>
    <w:p>
      <w:pPr>
        <w:pStyle w:val="Compact"/>
      </w:pPr>
      <w:r>
        <w:t xml:space="preserve">39</w:t>
      </w:r>
    </w:p>
    <w:p>
      <w:pPr>
        <w:pStyle w:val="Compact"/>
      </w:pPr>
      <w:r>
        <w:t xml:space="preserve">23.74</w:t>
      </w:r>
    </w:p>
    <w:p>
      <w:pPr>
        <w:pStyle w:val="Compact"/>
      </w:pPr>
      <w:r>
        <w:t xml:space="preserve">36.3</w:t>
      </w:r>
    </w:p>
    <w:p>
      <w:pPr>
        <w:pStyle w:val="Compact"/>
      </w:pPr>
      <w:r>
        <w:t xml:space="preserve">4</w:t>
      </w:r>
    </w:p>
    <w:p>
      <w:pPr>
        <w:pStyle w:val="Compact"/>
      </w:pPr>
      <w:r>
        <w:t xml:space="preserve">1</w:t>
      </w:r>
    </w:p>
    <w:p>
      <w:pPr>
        <w:pStyle w:val="Compact"/>
      </w:pPr>
      <w:r>
        <w:t xml:space="preserve">33</w:t>
      </w:r>
    </w:p>
    <w:p>
      <w:pPr>
        <w:pStyle w:val="Compact"/>
      </w:pPr>
      <w:r>
        <w:t xml:space="preserve">0.9</w:t>
      </w:r>
    </w:p>
    <w:p>
      <w:pPr>
        <w:pStyle w:val="Compact"/>
      </w:pPr>
      <w:r>
        <w:t xml:space="preserve">156</w:t>
      </w:r>
    </w:p>
    <w:p>
      <w:pPr>
        <w:pStyle w:val="BodyText"/>
      </w:pPr>
      <w:r>
        <w:t xml:space="preserve">where</w:t>
      </w:r>
      <w:r>
        <w:t xml:space="preserve"> </w:t>
      </w:r>
      <w:r>
        <w:rPr>
          <w:i/>
        </w:rPr>
        <w:t xml:space="preserve">N</w:t>
      </w:r>
      <w:r>
        <w:t xml:space="preserve"> </w:t>
      </w:r>
      <w:r>
        <w:t xml:space="preserve">is total number of observations analyzed,</w:t>
      </w:r>
      <w:r>
        <w:t xml:space="preserve"> </w:t>
      </w:r>
      <w:r>
        <w:rPr>
          <w:i/>
        </w:rPr>
        <w:t xml:space="preserve">Median_val</w:t>
      </w:r>
      <w:r>
        <w:t xml:space="preserve"> </w:t>
      </w:r>
      <w:r>
        <w:t xml:space="preserve">is the median value of the distribution of age in months,</w:t>
      </w:r>
      <w:r>
        <w:t xml:space="preserve"> </w:t>
      </w:r>
      <w:r>
        <w:rPr>
          <w:i/>
        </w:rPr>
        <w:t xml:space="preserve">Min_val</w:t>
      </w:r>
      <w:r>
        <w:t xml:space="preserve"> </w:t>
      </w:r>
      <w:r>
        <w:t xml:space="preserve">is the minimum value,</w:t>
      </w:r>
      <w:r>
        <w:t xml:space="preserve"> </w:t>
      </w:r>
      <w:r>
        <w:rPr>
          <w:i/>
        </w:rPr>
        <w:t xml:space="preserve">Lower_Qu</w:t>
      </w:r>
      <w:r>
        <w:t xml:space="preserve"> </w:t>
      </w:r>
      <w:r>
        <w:t xml:space="preserve">is the lower quartile or 25th percentile,</w:t>
      </w:r>
      <w:r>
        <w:t xml:space="preserve"> </w:t>
      </w:r>
      <w:r>
        <w:rPr>
          <w:i/>
        </w:rPr>
        <w:t xml:space="preserve">Upper_Qu</w:t>
      </w:r>
      <w:r>
        <w:t xml:space="preserve"> </w:t>
      </w:r>
      <w:r>
        <w:t xml:space="preserve">is the upper quartile or 75th percentile. We note that age is skewed (i.e. mean is quantitatively different from median) and therefore we report about its distribution using the median and inter-quartile range, i.e. 4 months (IQR: 1, 33). Otherwise, if age was not skewed then we report the mean and standard deviation, i.e. 23.7 months (SD: 36.3). You don’t have to include, in the results, table 4.</w:t>
      </w:r>
      <w:r>
        <w:t xml:space="preserve"> </w:t>
      </w:r>
      <w:r>
        <w:t xml:space="preserve">The minimum and maximum are also shown, please check whether these extreme values are plausible and inclusion criteria are met.</w:t>
      </w:r>
      <w:r>
        <w:t xml:space="preserve"> </w:t>
      </w:r>
      <w:r>
        <w:t xml:space="preserve">The frequency table of a numerical variable such as age can also be obtained:</w:t>
      </w:r>
    </w:p>
    <w:p>
      <w:pPr>
        <w:pStyle w:val="Compact"/>
      </w:pPr>
      <w:r>
        <w:t xml:space="preserve">Table 5: Frequency table for agecat</w:t>
      </w:r>
    </w:p>
    <w:p>
      <w:pPr>
        <w:pStyle w:val="Compact"/>
      </w:pPr>
      <w:r>
        <w:t xml:space="preserve">age_months</w:t>
      </w:r>
    </w:p>
    <w:p>
      <w:pPr>
        <w:pStyle w:val="Compact"/>
      </w:pPr>
      <w:r>
        <w:t xml:space="preserve">freq</w:t>
      </w:r>
    </w:p>
    <w:p>
      <w:pPr>
        <w:pStyle w:val="Compact"/>
      </w:pPr>
      <w:r>
        <w:t xml:space="preserve">percentage</w:t>
      </w:r>
    </w:p>
    <w:p>
      <w:pPr>
        <w:pStyle w:val="Compact"/>
      </w:pPr>
      <w:r>
        <w:t xml:space="preserve">cumulative frequency</w:t>
      </w:r>
    </w:p>
    <w:p>
      <w:pPr>
        <w:pStyle w:val="Compact"/>
      </w:pPr>
      <w:r>
        <w:t xml:space="preserve">cumulative percentage</w:t>
      </w:r>
    </w:p>
    <w:p>
      <w:pPr>
        <w:pStyle w:val="Compact"/>
      </w:pPr>
      <w:r>
        <w:t xml:space="preserve">0.9</w:t>
      </w:r>
    </w:p>
    <w:p>
      <w:pPr>
        <w:pStyle w:val="Compact"/>
      </w:pPr>
      <w:r>
        <w:t xml:space="preserve">2</w:t>
      </w:r>
    </w:p>
    <w:p>
      <w:pPr>
        <w:pStyle w:val="Compact"/>
      </w:pPr>
      <w:r>
        <w:t xml:space="preserve">5.13</w:t>
      </w:r>
    </w:p>
    <w:p>
      <w:pPr>
        <w:pStyle w:val="Compact"/>
      </w:pPr>
      <w:r>
        <w:t xml:space="preserve">2</w:t>
      </w:r>
    </w:p>
    <w:p>
      <w:pPr>
        <w:pStyle w:val="Compact"/>
      </w:pPr>
      <w:r>
        <w:t xml:space="preserve">5.1</w:t>
      </w:r>
    </w:p>
    <w:p>
      <w:pPr>
        <w:pStyle w:val="Compact"/>
      </w:pPr>
      <w:r>
        <w:t xml:space="preserve">1.0</w:t>
      </w:r>
    </w:p>
    <w:p>
      <w:pPr>
        <w:pStyle w:val="Compact"/>
      </w:pPr>
      <w:r>
        <w:t xml:space="preserve">11</w:t>
      </w:r>
    </w:p>
    <w:p>
      <w:pPr>
        <w:pStyle w:val="Compact"/>
      </w:pPr>
      <w:r>
        <w:t xml:space="preserve">28.21</w:t>
      </w:r>
    </w:p>
    <w:p>
      <w:pPr>
        <w:pStyle w:val="Compact"/>
      </w:pPr>
      <w:r>
        <w:t xml:space="preserve">13</w:t>
      </w:r>
    </w:p>
    <w:p>
      <w:pPr>
        <w:pStyle w:val="Compact"/>
      </w:pPr>
      <w:r>
        <w:t xml:space="preserve">33.3</w:t>
      </w:r>
    </w:p>
    <w:p>
      <w:pPr>
        <w:pStyle w:val="Compact"/>
      </w:pPr>
      <w:r>
        <w:t xml:space="preserve">2.0</w:t>
      </w:r>
    </w:p>
    <w:p>
      <w:pPr>
        <w:pStyle w:val="Compact"/>
      </w:pPr>
      <w:r>
        <w:t xml:space="preserve">4</w:t>
      </w:r>
    </w:p>
    <w:p>
      <w:pPr>
        <w:pStyle w:val="Compact"/>
      </w:pPr>
      <w:r>
        <w:t xml:space="preserve">10.26</w:t>
      </w:r>
    </w:p>
    <w:p>
      <w:pPr>
        <w:pStyle w:val="Compact"/>
      </w:pPr>
      <w:r>
        <w:t xml:space="preserve">17</w:t>
      </w:r>
    </w:p>
    <w:p>
      <w:pPr>
        <w:pStyle w:val="Compact"/>
      </w:pPr>
      <w:r>
        <w:t xml:space="preserve">43.6</w:t>
      </w:r>
    </w:p>
    <w:p>
      <w:pPr>
        <w:pStyle w:val="Compact"/>
      </w:pPr>
      <w:r>
        <w:t xml:space="preserve">3.0</w:t>
      </w:r>
    </w:p>
    <w:p>
      <w:pPr>
        <w:pStyle w:val="Compact"/>
      </w:pPr>
      <w:r>
        <w:t xml:space="preserve">2</w:t>
      </w:r>
    </w:p>
    <w:p>
      <w:pPr>
        <w:pStyle w:val="Compact"/>
      </w:pPr>
      <w:r>
        <w:t xml:space="preserve">5.13</w:t>
      </w:r>
    </w:p>
    <w:p>
      <w:pPr>
        <w:pStyle w:val="Compact"/>
      </w:pPr>
      <w:r>
        <w:t xml:space="preserve">19</w:t>
      </w:r>
    </w:p>
    <w:p>
      <w:pPr>
        <w:pStyle w:val="Compact"/>
      </w:pPr>
      <w:r>
        <w:t xml:space="preserve">48.7</w:t>
      </w:r>
    </w:p>
    <w:p>
      <w:pPr>
        <w:pStyle w:val="Compact"/>
      </w:pPr>
      <w:r>
        <w:t xml:space="preserve">4.0</w:t>
      </w:r>
    </w:p>
    <w:p>
      <w:pPr>
        <w:pStyle w:val="Compact"/>
      </w:pPr>
      <w:r>
        <w:t xml:space="preserve">1</w:t>
      </w:r>
    </w:p>
    <w:p>
      <w:pPr>
        <w:pStyle w:val="Compact"/>
      </w:pPr>
      <w:r>
        <w:t xml:space="preserve">2.56</w:t>
      </w:r>
    </w:p>
    <w:p>
      <w:pPr>
        <w:pStyle w:val="Compact"/>
      </w:pPr>
      <w:r>
        <w:t xml:space="preserve">20</w:t>
      </w:r>
    </w:p>
    <w:p>
      <w:pPr>
        <w:pStyle w:val="Compact"/>
      </w:pPr>
      <w:r>
        <w:t xml:space="preserve">51.3</w:t>
      </w:r>
    </w:p>
    <w:p>
      <w:pPr>
        <w:pStyle w:val="Compact"/>
      </w:pPr>
      <w:r>
        <w:t xml:space="preserve">5.0</w:t>
      </w:r>
    </w:p>
    <w:p>
      <w:pPr>
        <w:pStyle w:val="Compact"/>
      </w:pPr>
      <w:r>
        <w:t xml:space="preserve">1</w:t>
      </w:r>
    </w:p>
    <w:p>
      <w:pPr>
        <w:pStyle w:val="Compact"/>
      </w:pPr>
      <w:r>
        <w:t xml:space="preserve">2.56</w:t>
      </w:r>
    </w:p>
    <w:p>
      <w:pPr>
        <w:pStyle w:val="Compact"/>
      </w:pPr>
      <w:r>
        <w:t xml:space="preserve">21</w:t>
      </w:r>
    </w:p>
    <w:p>
      <w:pPr>
        <w:pStyle w:val="Compact"/>
      </w:pPr>
      <w:r>
        <w:t xml:space="preserve">53.9</w:t>
      </w:r>
    </w:p>
    <w:p>
      <w:pPr>
        <w:pStyle w:val="Compact"/>
      </w:pPr>
      <w:r>
        <w:t xml:space="preserve">6.0</w:t>
      </w:r>
    </w:p>
    <w:p>
      <w:pPr>
        <w:pStyle w:val="Compact"/>
      </w:pPr>
      <w:r>
        <w:t xml:space="preserve">1</w:t>
      </w:r>
    </w:p>
    <w:p>
      <w:pPr>
        <w:pStyle w:val="Compact"/>
      </w:pPr>
      <w:r>
        <w:t xml:space="preserve">2.56</w:t>
      </w:r>
    </w:p>
    <w:p>
      <w:pPr>
        <w:pStyle w:val="Compact"/>
      </w:pPr>
      <w:r>
        <w:t xml:space="preserve">22</w:t>
      </w:r>
    </w:p>
    <w:p>
      <w:pPr>
        <w:pStyle w:val="Compact"/>
      </w:pPr>
      <w:r>
        <w:t xml:space="preserve">56.4</w:t>
      </w:r>
    </w:p>
    <w:p>
      <w:pPr>
        <w:pStyle w:val="Compact"/>
      </w:pPr>
      <w:r>
        <w:t xml:space="preserve">11.0</w:t>
      </w:r>
    </w:p>
    <w:p>
      <w:pPr>
        <w:pStyle w:val="Compact"/>
      </w:pPr>
      <w:r>
        <w:t xml:space="preserve">1</w:t>
      </w:r>
    </w:p>
    <w:p>
      <w:pPr>
        <w:pStyle w:val="Compact"/>
      </w:pPr>
      <w:r>
        <w:t xml:space="preserve">2.56</w:t>
      </w:r>
    </w:p>
    <w:p>
      <w:pPr>
        <w:pStyle w:val="Compact"/>
      </w:pPr>
      <w:r>
        <w:t xml:space="preserve">23</w:t>
      </w:r>
    </w:p>
    <w:p>
      <w:pPr>
        <w:pStyle w:val="Compact"/>
      </w:pPr>
      <w:r>
        <w:t xml:space="preserve">59.0</w:t>
      </w:r>
    </w:p>
    <w:p>
      <w:pPr>
        <w:pStyle w:val="Compact"/>
      </w:pPr>
      <w:r>
        <w:t xml:space="preserve">16.0</w:t>
      </w:r>
    </w:p>
    <w:p>
      <w:pPr>
        <w:pStyle w:val="Compact"/>
      </w:pPr>
      <w:r>
        <w:t xml:space="preserve">1</w:t>
      </w:r>
    </w:p>
    <w:p>
      <w:pPr>
        <w:pStyle w:val="Compact"/>
      </w:pPr>
      <w:r>
        <w:t xml:space="preserve">2.56</w:t>
      </w:r>
    </w:p>
    <w:p>
      <w:pPr>
        <w:pStyle w:val="Compact"/>
      </w:pPr>
      <w:r>
        <w:t xml:space="preserve">24</w:t>
      </w:r>
    </w:p>
    <w:p>
      <w:pPr>
        <w:pStyle w:val="Compact"/>
      </w:pPr>
      <w:r>
        <w:t xml:space="preserve">61.5</w:t>
      </w:r>
    </w:p>
    <w:p>
      <w:pPr>
        <w:pStyle w:val="Compact"/>
      </w:pPr>
      <w:r>
        <w:t xml:space="preserve">23.0</w:t>
      </w:r>
    </w:p>
    <w:p>
      <w:pPr>
        <w:pStyle w:val="Compact"/>
      </w:pPr>
      <w:r>
        <w:t xml:space="preserve">1</w:t>
      </w:r>
    </w:p>
    <w:p>
      <w:pPr>
        <w:pStyle w:val="Compact"/>
      </w:pPr>
      <w:r>
        <w:t xml:space="preserve">2.56</w:t>
      </w:r>
    </w:p>
    <w:p>
      <w:pPr>
        <w:pStyle w:val="Compact"/>
      </w:pPr>
      <w:r>
        <w:t xml:space="preserve">25</w:t>
      </w:r>
    </w:p>
    <w:p>
      <w:pPr>
        <w:pStyle w:val="Compact"/>
      </w:pPr>
      <w:r>
        <w:t xml:space="preserve">64.1</w:t>
      </w:r>
    </w:p>
    <w:p>
      <w:pPr>
        <w:pStyle w:val="Compact"/>
      </w:pPr>
      <w:r>
        <w:t xml:space="preserve">24.0</w:t>
      </w:r>
    </w:p>
    <w:p>
      <w:pPr>
        <w:pStyle w:val="Compact"/>
      </w:pPr>
      <w:r>
        <w:t xml:space="preserve">3</w:t>
      </w:r>
    </w:p>
    <w:p>
      <w:pPr>
        <w:pStyle w:val="Compact"/>
      </w:pPr>
      <w:r>
        <w:t xml:space="preserve">7.69</w:t>
      </w:r>
    </w:p>
    <w:p>
      <w:pPr>
        <w:pStyle w:val="Compact"/>
      </w:pPr>
      <w:r>
        <w:t xml:space="preserve">28</w:t>
      </w:r>
    </w:p>
    <w:p>
      <w:pPr>
        <w:pStyle w:val="Compact"/>
      </w:pPr>
      <w:r>
        <w:t xml:space="preserve">71.8</w:t>
      </w:r>
    </w:p>
    <w:p>
      <w:pPr>
        <w:pStyle w:val="Compact"/>
      </w:pPr>
      <w:r>
        <w:t xml:space="preserve">30.0</w:t>
      </w:r>
    </w:p>
    <w:p>
      <w:pPr>
        <w:pStyle w:val="Compact"/>
      </w:pPr>
      <w:r>
        <w:t xml:space="preserve">1</w:t>
      </w:r>
    </w:p>
    <w:p>
      <w:pPr>
        <w:pStyle w:val="Compact"/>
      </w:pPr>
      <w:r>
        <w:t xml:space="preserve">2.56</w:t>
      </w:r>
    </w:p>
    <w:p>
      <w:pPr>
        <w:pStyle w:val="Compact"/>
      </w:pPr>
      <w:r>
        <w:t xml:space="preserve">29</w:t>
      </w:r>
    </w:p>
    <w:p>
      <w:pPr>
        <w:pStyle w:val="Compact"/>
      </w:pPr>
      <w:r>
        <w:t xml:space="preserve">74.3</w:t>
      </w:r>
    </w:p>
    <w:p>
      <w:pPr>
        <w:pStyle w:val="Compact"/>
      </w:pPr>
      <w:r>
        <w:t xml:space="preserve">36.0</w:t>
      </w:r>
    </w:p>
    <w:p>
      <w:pPr>
        <w:pStyle w:val="Compact"/>
      </w:pPr>
      <w:r>
        <w:t xml:space="preserve">3</w:t>
      </w:r>
    </w:p>
    <w:p>
      <w:pPr>
        <w:pStyle w:val="Compact"/>
      </w:pPr>
      <w:r>
        <w:t xml:space="preserve">7.69</w:t>
      </w:r>
    </w:p>
    <w:p>
      <w:pPr>
        <w:pStyle w:val="Compact"/>
      </w:pPr>
      <w:r>
        <w:t xml:space="preserve">32</w:t>
      </w:r>
    </w:p>
    <w:p>
      <w:pPr>
        <w:pStyle w:val="Compact"/>
      </w:pPr>
      <w:r>
        <w:t xml:space="preserve">82.0</w:t>
      </w:r>
    </w:p>
    <w:p>
      <w:pPr>
        <w:pStyle w:val="Compact"/>
      </w:pPr>
      <w:r>
        <w:t xml:space="preserve">48.0</w:t>
      </w:r>
    </w:p>
    <w:p>
      <w:pPr>
        <w:pStyle w:val="Compact"/>
      </w:pPr>
      <w:r>
        <w:t xml:space="preserve">1</w:t>
      </w:r>
    </w:p>
    <w:p>
      <w:pPr>
        <w:pStyle w:val="Compact"/>
      </w:pPr>
      <w:r>
        <w:t xml:space="preserve">2.56</w:t>
      </w:r>
    </w:p>
    <w:p>
      <w:pPr>
        <w:pStyle w:val="Compact"/>
      </w:pPr>
      <w:r>
        <w:t xml:space="preserve">33</w:t>
      </w:r>
    </w:p>
    <w:p>
      <w:pPr>
        <w:pStyle w:val="Compact"/>
      </w:pPr>
      <w:r>
        <w:t xml:space="preserve">84.6</w:t>
      </w:r>
    </w:p>
    <w:p>
      <w:pPr>
        <w:pStyle w:val="Compact"/>
      </w:pPr>
      <w:r>
        <w:t xml:space="preserve">60.0</w:t>
      </w:r>
    </w:p>
    <w:p>
      <w:pPr>
        <w:pStyle w:val="Compact"/>
      </w:pPr>
      <w:r>
        <w:t xml:space="preserve">2</w:t>
      </w:r>
    </w:p>
    <w:p>
      <w:pPr>
        <w:pStyle w:val="Compact"/>
      </w:pPr>
      <w:r>
        <w:t xml:space="preserve">5.13</w:t>
      </w:r>
    </w:p>
    <w:p>
      <w:pPr>
        <w:pStyle w:val="Compact"/>
      </w:pPr>
      <w:r>
        <w:t xml:space="preserve">35</w:t>
      </w:r>
    </w:p>
    <w:p>
      <w:pPr>
        <w:pStyle w:val="Compact"/>
      </w:pPr>
      <w:r>
        <w:t xml:space="preserve">89.7</w:t>
      </w:r>
    </w:p>
    <w:p>
      <w:pPr>
        <w:pStyle w:val="Compact"/>
      </w:pPr>
      <w:r>
        <w:t xml:space="preserve">84.0</w:t>
      </w:r>
    </w:p>
    <w:p>
      <w:pPr>
        <w:pStyle w:val="Compact"/>
      </w:pPr>
      <w:r>
        <w:t xml:space="preserve">1</w:t>
      </w:r>
    </w:p>
    <w:p>
      <w:pPr>
        <w:pStyle w:val="Compact"/>
      </w:pPr>
      <w:r>
        <w:t xml:space="preserve">2.56</w:t>
      </w:r>
    </w:p>
    <w:p>
      <w:pPr>
        <w:pStyle w:val="Compact"/>
      </w:pPr>
      <w:r>
        <w:t xml:space="preserve">36</w:t>
      </w:r>
    </w:p>
    <w:p>
      <w:pPr>
        <w:pStyle w:val="Compact"/>
      </w:pPr>
      <w:r>
        <w:t xml:space="preserve">92.3</w:t>
      </w:r>
    </w:p>
    <w:p>
      <w:pPr>
        <w:pStyle w:val="Compact"/>
      </w:pPr>
      <w:r>
        <w:t xml:space="preserve">96.0</w:t>
      </w:r>
    </w:p>
    <w:p>
      <w:pPr>
        <w:pStyle w:val="Compact"/>
      </w:pPr>
      <w:r>
        <w:t xml:space="preserve">1</w:t>
      </w:r>
    </w:p>
    <w:p>
      <w:pPr>
        <w:pStyle w:val="Compact"/>
      </w:pPr>
      <w:r>
        <w:t xml:space="preserve">2.56</w:t>
      </w:r>
    </w:p>
    <w:p>
      <w:pPr>
        <w:pStyle w:val="Compact"/>
      </w:pPr>
      <w:r>
        <w:t xml:space="preserve">37</w:t>
      </w:r>
    </w:p>
    <w:p>
      <w:pPr>
        <w:pStyle w:val="Compact"/>
      </w:pPr>
      <w:r>
        <w:t xml:space="preserve">94.8</w:t>
      </w:r>
    </w:p>
    <w:p>
      <w:pPr>
        <w:pStyle w:val="Compact"/>
      </w:pPr>
      <w:r>
        <w:t xml:space="preserve">120.0</w:t>
      </w:r>
    </w:p>
    <w:p>
      <w:pPr>
        <w:pStyle w:val="Compact"/>
      </w:pPr>
      <w:r>
        <w:t xml:space="preserve">1</w:t>
      </w:r>
    </w:p>
    <w:p>
      <w:pPr>
        <w:pStyle w:val="Compact"/>
      </w:pPr>
      <w:r>
        <w:t xml:space="preserve">2.56</w:t>
      </w:r>
    </w:p>
    <w:p>
      <w:pPr>
        <w:pStyle w:val="Compact"/>
      </w:pPr>
      <w:r>
        <w:t xml:space="preserve">38</w:t>
      </w:r>
    </w:p>
    <w:p>
      <w:pPr>
        <w:pStyle w:val="Compact"/>
      </w:pPr>
      <w:r>
        <w:t xml:space="preserve">97.4</w:t>
      </w:r>
    </w:p>
    <w:p>
      <w:pPr>
        <w:pStyle w:val="Compact"/>
      </w:pPr>
      <w:r>
        <w:t xml:space="preserve">156.0</w:t>
      </w:r>
    </w:p>
    <w:p>
      <w:pPr>
        <w:pStyle w:val="Compact"/>
      </w:pPr>
      <w:r>
        <w:t xml:space="preserve">1</w:t>
      </w:r>
    </w:p>
    <w:p>
      <w:pPr>
        <w:pStyle w:val="Compact"/>
      </w:pPr>
      <w:r>
        <w:t xml:space="preserve">2.56</w:t>
      </w:r>
    </w:p>
    <w:p>
      <w:pPr>
        <w:pStyle w:val="Compact"/>
      </w:pPr>
      <w:r>
        <w:t xml:space="preserve">39</w:t>
      </w:r>
    </w:p>
    <w:p>
      <w:pPr>
        <w:pStyle w:val="Compact"/>
      </w:pPr>
      <w:r>
        <w:t xml:space="preserve">100.0</w:t>
      </w:r>
    </w:p>
    <w:p>
      <w:pPr>
        <w:pStyle w:val="Heading1"/>
      </w:pPr>
      <w:bookmarkStart w:id="23" w:name="comparisons-associations"/>
      <w:r>
        <w:t xml:space="preserve">Comparisons (Associations):</w:t>
      </w:r>
      <w:bookmarkEnd w:id="23"/>
    </w:p>
    <w:p>
      <w:pPr>
        <w:pStyle w:val="Heading2"/>
      </w:pPr>
      <w:bookmarkStart w:id="24" w:name="categorical-variables-1"/>
      <w:r>
        <w:t xml:space="preserve">Categorical variables</w:t>
      </w:r>
      <w:bookmarkEnd w:id="24"/>
    </w:p>
    <w:p>
      <w:pPr>
        <w:pStyle w:val="FirstParagraph"/>
      </w:pPr>
      <w:r>
        <w:rPr>
          <w:i/>
          <w:b/>
        </w:rPr>
        <w:t xml:space="preserve">Contingency tables</w:t>
      </w:r>
    </w:p>
    <w:p>
      <w:pPr>
        <w:pStyle w:val="BodyText"/>
      </w:pPr>
      <w:r>
        <w:t xml:space="preserve">In the 2x2 contingency table 6 (cell totals) and table 7 (row percentages) below, Serum IgE test results (1 = Positive, 2 = Negative) is given in the columns, sex of the respondent (f = Female, m = Male) in the rows. 9 out of 14 females in the study (64.3%) had a positive Serum IgE test compared to 13 out of 25 males (52.0%). You can combine both table 6 and 7 into one table by including, in each cell, the cell total from table 6 and the corresponding total in table 7. For example, if you want to use row totals, you can put 9 (64.3%) in the cell corresponding to females with a positive serum IgE or if you want to use column totals, you can put 9 (40.9%) in the cell corresponding to positive serum IgE patients who are females. Remember to round percentages to one decimal.</w:t>
      </w:r>
    </w:p>
    <w:p>
      <w:pPr>
        <w:pStyle w:val="Compact"/>
      </w:pPr>
      <w:r>
        <w:t xml:space="preserve">Table 6: Table showing sex of respondent by serum IgE</w:t>
      </w:r>
    </w:p>
    <w:p>
      <w:pPr>
        <w:pStyle w:val="Compact"/>
      </w:pPr>
      <w:r>
        <w:t xml:space="preserve">1</w:t>
      </w:r>
    </w:p>
    <w:p>
      <w:pPr>
        <w:pStyle w:val="Compact"/>
      </w:pPr>
      <w:r>
        <w:t xml:space="preserve">2</w:t>
      </w:r>
    </w:p>
    <w:p>
      <w:pPr>
        <w:pStyle w:val="Compact"/>
      </w:pPr>
      <w:r>
        <w:t xml:space="preserve">Sum</w:t>
      </w:r>
    </w:p>
    <w:p>
      <w:pPr>
        <w:pStyle w:val="Compact"/>
      </w:pPr>
      <w:r>
        <w:t xml:space="preserve">f</w:t>
      </w:r>
    </w:p>
    <w:p>
      <w:pPr>
        <w:pStyle w:val="Compact"/>
      </w:pPr>
      <w:r>
        <w:t xml:space="preserve">9</w:t>
      </w:r>
    </w:p>
    <w:p>
      <w:pPr>
        <w:pStyle w:val="Compact"/>
      </w:pPr>
      <w:r>
        <w:t xml:space="preserve">5</w:t>
      </w:r>
    </w:p>
    <w:p>
      <w:pPr>
        <w:pStyle w:val="Compact"/>
      </w:pPr>
      <w:r>
        <w:t xml:space="preserve">14</w:t>
      </w:r>
    </w:p>
    <w:p>
      <w:pPr>
        <w:pStyle w:val="Compact"/>
      </w:pPr>
      <w:r>
        <w:t xml:space="preserve">m</w:t>
      </w:r>
    </w:p>
    <w:p>
      <w:pPr>
        <w:pStyle w:val="Compact"/>
      </w:pPr>
      <w:r>
        <w:t xml:space="preserve">13</w:t>
      </w:r>
    </w:p>
    <w:p>
      <w:pPr>
        <w:pStyle w:val="Compact"/>
      </w:pPr>
      <w:r>
        <w:t xml:space="preserve">12</w:t>
      </w:r>
    </w:p>
    <w:p>
      <w:pPr>
        <w:pStyle w:val="Compact"/>
      </w:pPr>
      <w:r>
        <w:t xml:space="preserve">25</w:t>
      </w:r>
    </w:p>
    <w:p>
      <w:pPr>
        <w:pStyle w:val="Compact"/>
      </w:pPr>
      <w:r>
        <w:t xml:space="preserve">Sum</w:t>
      </w:r>
    </w:p>
    <w:p>
      <w:pPr>
        <w:pStyle w:val="Compact"/>
      </w:pPr>
      <w:r>
        <w:t xml:space="preserve">22</w:t>
      </w:r>
    </w:p>
    <w:p>
      <w:pPr>
        <w:pStyle w:val="Compact"/>
      </w:pPr>
      <w:r>
        <w:t xml:space="preserve">17</w:t>
      </w:r>
    </w:p>
    <w:p>
      <w:pPr>
        <w:pStyle w:val="Compact"/>
      </w:pPr>
      <w:r>
        <w:t xml:space="preserve">39</w:t>
      </w:r>
    </w:p>
    <w:p>
      <w:pPr>
        <w:pStyle w:val="Compact"/>
      </w:pPr>
      <w:r>
        <w:t xml:space="preserve">Table 7: Row percentages for sex of respondent by serum IgE</w:t>
      </w:r>
    </w:p>
    <w:p>
      <w:pPr>
        <w:pStyle w:val="Compact"/>
      </w:pPr>
      <w:r>
        <w:t xml:space="preserve">1</w:t>
      </w:r>
    </w:p>
    <w:p>
      <w:pPr>
        <w:pStyle w:val="Compact"/>
      </w:pPr>
      <w:r>
        <w:t xml:space="preserve">2</w:t>
      </w:r>
    </w:p>
    <w:p>
      <w:pPr>
        <w:pStyle w:val="Compact"/>
      </w:pPr>
      <w:r>
        <w:t xml:space="preserve">f</w:t>
      </w:r>
    </w:p>
    <w:p>
      <w:pPr>
        <w:pStyle w:val="Compact"/>
      </w:pPr>
      <w:r>
        <w:t xml:space="preserve">64.3</w:t>
      </w:r>
    </w:p>
    <w:p>
      <w:pPr>
        <w:pStyle w:val="Compact"/>
      </w:pPr>
      <w:r>
        <w:t xml:space="preserve">35.7</w:t>
      </w:r>
    </w:p>
    <w:p>
      <w:pPr>
        <w:pStyle w:val="Compact"/>
      </w:pPr>
      <w:r>
        <w:t xml:space="preserve">m</w:t>
      </w:r>
    </w:p>
    <w:p>
      <w:pPr>
        <w:pStyle w:val="Compact"/>
      </w:pPr>
      <w:r>
        <w:t xml:space="preserve">52.0</w:t>
      </w:r>
    </w:p>
    <w:p>
      <w:pPr>
        <w:pStyle w:val="Compact"/>
      </w:pPr>
      <w:r>
        <w:t xml:space="preserve">48.0</w:t>
      </w:r>
    </w:p>
    <w:p>
      <w:pPr>
        <w:pStyle w:val="Compact"/>
      </w:pPr>
      <w:r>
        <w:t xml:space="preserve">In the table below the column percentages, from table 6 above, are given.</w:t>
      </w:r>
    </w:p>
    <w:p>
      <w:pPr>
        <w:pStyle w:val="Compact"/>
      </w:pPr>
      <w:r>
        <w:t xml:space="preserve">Table 8: column percentages for sex of respondent by serum IgE</w:t>
      </w:r>
    </w:p>
    <w:p>
      <w:pPr>
        <w:pStyle w:val="Compact"/>
      </w:pPr>
      <w:r>
        <w:t xml:space="preserve">1</w:t>
      </w:r>
    </w:p>
    <w:p>
      <w:pPr>
        <w:pStyle w:val="Compact"/>
      </w:pPr>
      <w:r>
        <w:t xml:space="preserve">2</w:t>
      </w:r>
    </w:p>
    <w:p>
      <w:pPr>
        <w:pStyle w:val="Compact"/>
      </w:pPr>
      <w:r>
        <w:t xml:space="preserve">f</w:t>
      </w:r>
    </w:p>
    <w:p>
      <w:pPr>
        <w:pStyle w:val="Compact"/>
      </w:pPr>
      <w:r>
        <w:t xml:space="preserve">40.9</w:t>
      </w:r>
    </w:p>
    <w:p>
      <w:pPr>
        <w:pStyle w:val="Compact"/>
      </w:pPr>
      <w:r>
        <w:t xml:space="preserve">29.4</w:t>
      </w:r>
    </w:p>
    <w:p>
      <w:pPr>
        <w:pStyle w:val="Compact"/>
      </w:pPr>
      <w:r>
        <w:t xml:space="preserve">m</w:t>
      </w:r>
    </w:p>
    <w:p>
      <w:pPr>
        <w:pStyle w:val="Compact"/>
      </w:pPr>
      <w:r>
        <w:t xml:space="preserve">59.1</w:t>
      </w:r>
    </w:p>
    <w:p>
      <w:pPr>
        <w:pStyle w:val="Compact"/>
      </w:pPr>
      <w:r>
        <w:t xml:space="preserve">70.6</w:t>
      </w:r>
    </w:p>
    <w:p>
      <w:pPr>
        <w:pStyle w:val="BodyText"/>
      </w:pPr>
      <w:r>
        <w:t xml:space="preserve">Whether the row or column percentage is used will not affect the results of the statistical test for association i.e. Chi-square test or Fisher’s Exact test. The Chi-Square test is commonly used to compare two categorical variables in a 2 by 2 table. It is based on the null hypothesis that the two variable are independent (i.e. you can’t predict the second variable if you know the results of the first one). From table 9, there was no evidence (p-value = 0.685) to suggest that there is a gender-effect on the serum IgE test results in the study (i.e., A patient’s gender is independent or has no bearing on serum IgE results). Alternatively, you can report that the p-value is larger than 0.05 therefore there was no statistically significant difference.</w:t>
      </w:r>
    </w:p>
    <w:p>
      <w:pPr>
        <w:pStyle w:val="Compact"/>
      </w:pPr>
      <w:r>
        <w:t xml:space="preserve">Table 9: Statistical signifiance tests for sex of respondent by serum IgE</w:t>
      </w:r>
    </w:p>
    <w:p>
      <w:pPr>
        <w:pStyle w:val="Compact"/>
      </w:pPr>
      <w:r>
        <w:t xml:space="preserve">statistic</w:t>
      </w:r>
    </w:p>
    <w:p>
      <w:pPr>
        <w:pStyle w:val="Compact"/>
      </w:pPr>
      <w:r>
        <w:t xml:space="preserve">DF</w:t>
      </w:r>
    </w:p>
    <w:p>
      <w:pPr>
        <w:pStyle w:val="Compact"/>
      </w:pPr>
      <w:r>
        <w:t xml:space="preserve">Value</w:t>
      </w:r>
    </w:p>
    <w:p>
      <w:pPr>
        <w:pStyle w:val="Compact"/>
      </w:pPr>
      <w:r>
        <w:t xml:space="preserve">P.value</w:t>
      </w:r>
    </w:p>
    <w:p>
      <w:pPr>
        <w:pStyle w:val="Compact"/>
      </w:pPr>
      <w:r>
        <w:t xml:space="preserve">Chi-square</w:t>
      </w:r>
    </w:p>
    <w:p>
      <w:pPr>
        <w:pStyle w:val="Compact"/>
      </w:pPr>
      <w:r>
        <w:t xml:space="preserve">1</w:t>
      </w:r>
    </w:p>
    <w:p>
      <w:pPr>
        <w:pStyle w:val="Compact"/>
      </w:pPr>
      <w:r>
        <w:t xml:space="preserve">0.165</w:t>
      </w:r>
    </w:p>
    <w:p>
      <w:pPr>
        <w:pStyle w:val="Compact"/>
      </w:pPr>
      <w:r>
        <w:t xml:space="preserve">0.6850</w:t>
      </w:r>
    </w:p>
    <w:p>
      <w:pPr>
        <w:pStyle w:val="Compact"/>
      </w:pPr>
      <w:r>
        <w:t xml:space="preserve">Fisher’s Exact</w:t>
      </w:r>
    </w:p>
    <w:p>
      <w:pPr>
        <w:pStyle w:val="Compact"/>
      </w:pPr>
      <w:r>
        <w:t xml:space="preserve">1.640</w:t>
      </w:r>
    </w:p>
    <w:p>
      <w:pPr>
        <w:pStyle w:val="Compact"/>
      </w:pPr>
      <w:r>
        <w:t xml:space="preserve">0.5178</w:t>
      </w:r>
    </w:p>
    <w:p>
      <w:pPr>
        <w:pStyle w:val="BodyText"/>
      </w:pPr>
      <w:r>
        <w:t xml:space="preserve">The Chi-square test is however not used if the expected counts/frequency (see table 10) &lt; 5, and, in such a case, we use the Fisher’s exact test. However, in our example, the expected counts are all &gt; 5 and so we can draw our conclusions about the gender vs serum IgE relationship using Chi-square.</w:t>
      </w:r>
      <w:r>
        <w:t xml:space="preserve"> </w:t>
      </w:r>
      <w:r>
        <w:rPr>
          <w:i/>
        </w:rPr>
        <w:t xml:space="preserve">Note that the fishers test is also interpreted the same as the Chi-square test in terms of statistical significance.</w:t>
      </w:r>
    </w:p>
    <w:p>
      <w:pPr>
        <w:pStyle w:val="Compact"/>
      </w:pPr>
      <w:r>
        <w:t xml:space="preserve">Table 10: Expected cell counts for sex of respondent by serum IgE</w:t>
      </w:r>
    </w:p>
    <w:p>
      <w:pPr>
        <w:pStyle w:val="Compact"/>
      </w:pPr>
      <w:r>
        <w:t xml:space="preserve">X1</w:t>
      </w:r>
    </w:p>
    <w:p>
      <w:pPr>
        <w:pStyle w:val="Compact"/>
      </w:pPr>
      <w:r>
        <w:t xml:space="preserve">X2</w:t>
      </w:r>
    </w:p>
    <w:p>
      <w:pPr>
        <w:pStyle w:val="Compact"/>
      </w:pPr>
      <w:r>
        <w:t xml:space="preserve">f</w:t>
      </w:r>
    </w:p>
    <w:p>
      <w:pPr>
        <w:pStyle w:val="Compact"/>
      </w:pPr>
      <w:r>
        <w:t xml:space="preserve">7.897436</w:t>
      </w:r>
    </w:p>
    <w:p>
      <w:pPr>
        <w:pStyle w:val="Compact"/>
      </w:pPr>
      <w:r>
        <w:t xml:space="preserve">6.102564</w:t>
      </w:r>
    </w:p>
    <w:p>
      <w:pPr>
        <w:pStyle w:val="Compact"/>
      </w:pPr>
      <w:r>
        <w:t xml:space="preserve">m</w:t>
      </w:r>
    </w:p>
    <w:p>
      <w:pPr>
        <w:pStyle w:val="Compact"/>
      </w:pPr>
      <w:r>
        <w:t xml:space="preserve">14.102564</w:t>
      </w:r>
    </w:p>
    <w:p>
      <w:pPr>
        <w:pStyle w:val="Compact"/>
      </w:pPr>
      <w:r>
        <w:t xml:space="preserve">10.897436</w:t>
      </w:r>
    </w:p>
    <w:p>
      <w:pPr>
        <w:pStyle w:val="Compact"/>
      </w:pPr>
      <w:r>
        <w:t xml:space="preserve">The results regarding the association between sex of the respondent and serum IgE can be</w:t>
      </w:r>
      <w:r>
        <w:t xml:space="preserve"> </w:t>
      </w:r>
      <w:r>
        <w:t xml:space="preserve">represented as follows in a table with other variables as well.</w:t>
      </w:r>
    </w:p>
    <w:p>
      <w:pPr>
        <w:pStyle w:val="Compact"/>
      </w:pPr>
      <w:r>
        <w:t xml:space="preserve">Table 11: Results table</w:t>
      </w:r>
    </w:p>
    <w:p>
      <w:pPr>
        <w:pStyle w:val="Compact"/>
      </w:pPr>
      <w:r>
        <w:t xml:space="preserve">Variable</w:t>
      </w:r>
    </w:p>
    <w:p>
      <w:pPr>
        <w:pStyle w:val="Compact"/>
      </w:pPr>
      <w:r>
        <w:t xml:space="preserve">Positive.serum.IgE</w:t>
      </w:r>
    </w:p>
    <w:p>
      <w:pPr>
        <w:pStyle w:val="Compact"/>
      </w:pPr>
      <w:r>
        <w:t xml:space="preserve">Negative.serum.IgE</w:t>
      </w:r>
    </w:p>
    <w:p>
      <w:pPr>
        <w:pStyle w:val="Compact"/>
      </w:pPr>
      <w:r>
        <w:t xml:space="preserve">P_value</w:t>
      </w:r>
    </w:p>
    <w:p>
      <w:pPr>
        <w:pStyle w:val="Compact"/>
      </w:pPr>
      <w:r>
        <w:t xml:space="preserve">Sex of respondent (Female)</w:t>
      </w:r>
    </w:p>
    <w:p>
      <w:pPr>
        <w:pStyle w:val="Compact"/>
      </w:pPr>
      <w:r>
        <w:t xml:space="preserve">9 (64.3)</w:t>
      </w:r>
    </w:p>
    <w:p>
      <w:pPr>
        <w:pStyle w:val="Compact"/>
      </w:pPr>
      <w:r>
        <w:t xml:space="preserve">5 (35.7)</w:t>
      </w:r>
    </w:p>
    <w:p>
      <w:pPr>
        <w:pStyle w:val="Compact"/>
      </w:pPr>
      <w:r>
        <w:t xml:space="preserve">0.685</w:t>
      </w:r>
    </w:p>
    <w:p>
      <w:pPr>
        <w:pStyle w:val="Heading2"/>
      </w:pPr>
      <w:bookmarkStart w:id="25" w:name="numerical-variables-1"/>
      <w:r>
        <w:t xml:space="preserve">Numerical variables</w:t>
      </w:r>
      <w:bookmarkEnd w:id="25"/>
    </w:p>
    <w:p>
      <w:pPr>
        <w:pStyle w:val="FirstParagraph"/>
      </w:pPr>
      <w:r>
        <w:rPr>
          <w:i/>
          <w:b/>
        </w:rPr>
        <w:t xml:space="preserve">Numerical variables compared in different categories</w:t>
      </w:r>
    </w:p>
    <w:p>
      <w:pPr>
        <w:pStyle w:val="Compact"/>
      </w:pPr>
      <w:r>
        <w:t xml:space="preserve">If the numerical variable has a skew distribution results will be summarised and compared as below</w:t>
      </w:r>
    </w:p>
    <w:p>
      <w:pPr>
        <w:pStyle w:val="Compact"/>
      </w:pPr>
      <w:r>
        <w:t xml:space="preserve">Table 12: Age in months by gender distribution</w:t>
      </w:r>
    </w:p>
    <w:p>
      <w:pPr>
        <w:pStyle w:val="Compact"/>
      </w:pPr>
      <w:r>
        <w:t xml:space="preserve">gender</w:t>
      </w:r>
    </w:p>
    <w:p>
      <w:pPr>
        <w:pStyle w:val="Compact"/>
      </w:pPr>
      <w:r>
        <w:t xml:space="preserve">N</w:t>
      </w:r>
    </w:p>
    <w:p>
      <w:pPr>
        <w:pStyle w:val="Compact"/>
      </w:pPr>
      <w:r>
        <w:t xml:space="preserve">Median</w:t>
      </w:r>
    </w:p>
    <w:p>
      <w:pPr>
        <w:pStyle w:val="Compact"/>
      </w:pPr>
      <w:r>
        <w:t xml:space="preserve">Lower Quartile</w:t>
      </w:r>
    </w:p>
    <w:p>
      <w:pPr>
        <w:pStyle w:val="Compact"/>
      </w:pPr>
      <w:r>
        <w:t xml:space="preserve">Upper Quartile</w:t>
      </w:r>
    </w:p>
    <w:p>
      <w:pPr>
        <w:pStyle w:val="Compact"/>
      </w:pPr>
      <w:r>
        <w:t xml:space="preserve">Minimum</w:t>
      </w:r>
    </w:p>
    <w:p>
      <w:pPr>
        <w:pStyle w:val="Compact"/>
      </w:pPr>
      <w:r>
        <w:t xml:space="preserve">Maximum</w:t>
      </w:r>
    </w:p>
    <w:p>
      <w:pPr>
        <w:pStyle w:val="Compact"/>
      </w:pPr>
      <w:r>
        <w:t xml:space="preserve">f</w:t>
      </w:r>
    </w:p>
    <w:p>
      <w:pPr>
        <w:pStyle w:val="Compact"/>
      </w:pPr>
      <w:r>
        <w:t xml:space="preserve">14</w:t>
      </w:r>
    </w:p>
    <w:p>
      <w:pPr>
        <w:pStyle w:val="Compact"/>
      </w:pPr>
      <w:r>
        <w:t xml:space="preserve">14.5</w:t>
      </w:r>
    </w:p>
    <w:p>
      <w:pPr>
        <w:pStyle w:val="Compact"/>
      </w:pPr>
      <w:r>
        <w:t xml:space="preserve">1</w:t>
      </w:r>
    </w:p>
    <w:p>
      <w:pPr>
        <w:pStyle w:val="Compact"/>
      </w:pPr>
      <w:r>
        <w:t xml:space="preserve">54</w:t>
      </w:r>
    </w:p>
    <w:p>
      <w:pPr>
        <w:pStyle w:val="Compact"/>
      </w:pPr>
      <w:r>
        <w:t xml:space="preserve">0.9</w:t>
      </w:r>
    </w:p>
    <w:p>
      <w:pPr>
        <w:pStyle w:val="Compact"/>
      </w:pPr>
      <w:r>
        <w:t xml:space="preserve">156</w:t>
      </w:r>
    </w:p>
    <w:p>
      <w:pPr>
        <w:pStyle w:val="Compact"/>
      </w:pPr>
      <w:r>
        <w:t xml:space="preserve">m</w:t>
      </w:r>
    </w:p>
    <w:p>
      <w:pPr>
        <w:pStyle w:val="Compact"/>
      </w:pPr>
      <w:r>
        <w:t xml:space="preserve">25</w:t>
      </w:r>
    </w:p>
    <w:p>
      <w:pPr>
        <w:pStyle w:val="Compact"/>
      </w:pPr>
      <w:r>
        <w:t xml:space="preserve">3.0</w:t>
      </w:r>
    </w:p>
    <w:p>
      <w:pPr>
        <w:pStyle w:val="Compact"/>
      </w:pPr>
      <w:r>
        <w:t xml:space="preserve">1</w:t>
      </w:r>
    </w:p>
    <w:p>
      <w:pPr>
        <w:pStyle w:val="Compact"/>
      </w:pPr>
      <w:r>
        <w:t xml:space="preserve">24</w:t>
      </w:r>
    </w:p>
    <w:p>
      <w:pPr>
        <w:pStyle w:val="Compact"/>
      </w:pPr>
      <w:r>
        <w:t xml:space="preserve">0.9</w:t>
      </w:r>
    </w:p>
    <w:p>
      <w:pPr>
        <w:pStyle w:val="Compact"/>
      </w:pPr>
      <w:r>
        <w:t xml:space="preserve">84</w:t>
      </w:r>
    </w:p>
    <w:p>
      <w:pPr>
        <w:pStyle w:val="Compact"/>
      </w:pPr>
      <w:r>
        <w:t xml:space="preserve">We noted in table 4 that age is not normally distributed and for this reason we cannot use the mean or average to compare groups, but we use the median. We use the Kruskal-Wallis Test, which is a non parametric test, to compare the medians of the two groups.</w:t>
      </w:r>
    </w:p>
    <w:p>
      <w:pPr>
        <w:pStyle w:val="Compact"/>
      </w:pPr>
      <w:r>
        <w:t xml:space="preserve">Table 13: Statistical signifiance tests for sex of respondent by age in months</w:t>
      </w:r>
    </w:p>
    <w:p>
      <w:pPr>
        <w:pStyle w:val="Compact"/>
      </w:pPr>
      <w:r>
        <w:t xml:space="preserve">Statistic</w:t>
      </w:r>
    </w:p>
    <w:p>
      <w:pPr>
        <w:pStyle w:val="Compact"/>
      </w:pPr>
      <w:r>
        <w:t xml:space="preserve">Chi.Square</w:t>
      </w:r>
    </w:p>
    <w:p>
      <w:pPr>
        <w:pStyle w:val="Compact"/>
      </w:pPr>
      <w:r>
        <w:t xml:space="preserve">DF</w:t>
      </w:r>
    </w:p>
    <w:p>
      <w:pPr>
        <w:pStyle w:val="Compact"/>
      </w:pPr>
      <w:r>
        <w:t xml:space="preserve">P.value</w:t>
      </w:r>
    </w:p>
    <w:p>
      <w:pPr>
        <w:pStyle w:val="Compact"/>
      </w:pPr>
      <w:r>
        <w:t xml:space="preserve">Kruskal-Wallis Test</w:t>
      </w:r>
    </w:p>
    <w:p>
      <w:pPr>
        <w:pStyle w:val="Compact"/>
      </w:pPr>
      <w:r>
        <w:t xml:space="preserve">60.2716</w:t>
      </w:r>
    </w:p>
    <w:p>
      <w:pPr>
        <w:pStyle w:val="Compact"/>
      </w:pPr>
      <w:r>
        <w:t xml:space="preserve">1</w:t>
      </w:r>
    </w:p>
    <w:p>
      <w:pPr>
        <w:pStyle w:val="Compact"/>
      </w:pPr>
      <w:r>
        <w:t xml:space="preserve">0</w:t>
      </w:r>
    </w:p>
    <w:p>
      <w:pPr>
        <w:pStyle w:val="BodyText"/>
      </w:pPr>
      <w:r>
        <w:t xml:space="preserve">Computed was the p-value (P &lt; 0.0001) from the Kruskal-Wallis test. Also, the 95% Confidence interval for the difference in median age between the two gender groups (Male = m and Female = f) was calculated as [-1, 31]. These results can also be represented with the results of other numerical variables in a table as follows.</w:t>
      </w:r>
    </w:p>
    <w:p>
      <w:pPr>
        <w:pStyle w:val="Compact"/>
      </w:pPr>
      <w:r>
        <w:t xml:space="preserve">Table 14: The relatioship between sex of respondent by age in months</w:t>
      </w:r>
    </w:p>
    <w:p>
      <w:pPr>
        <w:pStyle w:val="Compact"/>
      </w:pPr>
      <w:r>
        <w:t xml:space="preserve">variable</w:t>
      </w:r>
    </w:p>
    <w:p>
      <w:pPr>
        <w:pStyle w:val="Compact"/>
      </w:pPr>
      <w:r>
        <w:t xml:space="preserve">Males.n.25.</w:t>
      </w:r>
    </w:p>
    <w:p>
      <w:pPr>
        <w:pStyle w:val="Compact"/>
      </w:pPr>
      <w:r>
        <w:t xml:space="preserve">Females.n.14.</w:t>
      </w:r>
    </w:p>
    <w:p>
      <w:pPr>
        <w:pStyle w:val="Compact"/>
      </w:pPr>
      <w:r>
        <w:t xml:space="preserve">X95..CI.for.median.diff.</w:t>
      </w:r>
    </w:p>
    <w:p>
      <w:pPr>
        <w:pStyle w:val="Compact"/>
      </w:pPr>
      <w:r>
        <w:t xml:space="preserve">P.value.Kruskal</w:t>
      </w:r>
    </w:p>
    <w:p>
      <w:pPr>
        <w:pStyle w:val="Compact"/>
      </w:pPr>
      <w:r>
        <w:t xml:space="preserve">Age in months</w:t>
      </w:r>
    </w:p>
    <w:p>
      <w:pPr>
        <w:pStyle w:val="Compact"/>
      </w:pPr>
      <w:r>
        <w:t xml:space="preserve">14.5 (1, 54)</w:t>
      </w:r>
    </w:p>
    <w:p>
      <w:pPr>
        <w:pStyle w:val="Compact"/>
      </w:pPr>
      <w:r>
        <w:t xml:space="preserve">3 (1, 24)</w:t>
      </w:r>
    </w:p>
    <w:p>
      <w:pPr>
        <w:pStyle w:val="Compact"/>
      </w:pPr>
      <w:r>
        <w:t xml:space="preserve">-1, 31</w:t>
      </w:r>
    </w:p>
    <w:p>
      <w:pPr>
        <w:pStyle w:val="Compact"/>
      </w:pPr>
      <w:r>
        <w:t xml:space="preserve">0</w:t>
      </w:r>
    </w:p>
    <w:p>
      <w:pPr>
        <w:pStyle w:val="BodyText"/>
      </w:pPr>
      <w:r>
        <w:t xml:space="preserve">If the numerical variable has a symmetric distribution, results will be summarised and compared as below.</w:t>
      </w:r>
    </w:p>
    <w:p>
      <w:pPr>
        <w:pStyle w:val="Compact"/>
      </w:pPr>
      <w:r>
        <w:t xml:space="preserve">Table 15: Age in months by gender distribution, if Age in month was symmetric</w:t>
      </w:r>
    </w:p>
    <w:p>
      <w:pPr>
        <w:pStyle w:val="Compact"/>
      </w:pPr>
      <w:r>
        <w:t xml:space="preserve">gender</w:t>
      </w:r>
    </w:p>
    <w:p>
      <w:pPr>
        <w:pStyle w:val="Compact"/>
      </w:pPr>
      <w:r>
        <w:t xml:space="preserve">N</w:t>
      </w:r>
    </w:p>
    <w:p>
      <w:pPr>
        <w:pStyle w:val="Compact"/>
      </w:pPr>
      <w:r>
        <w:t xml:space="preserve">Average</w:t>
      </w:r>
    </w:p>
    <w:p>
      <w:pPr>
        <w:pStyle w:val="Compact"/>
      </w:pPr>
      <w:r>
        <w:t xml:space="preserve">Std. deviation</w:t>
      </w:r>
    </w:p>
    <w:p>
      <w:pPr>
        <w:pStyle w:val="Compact"/>
      </w:pPr>
      <w:r>
        <w:t xml:space="preserve">Minimum</w:t>
      </w:r>
    </w:p>
    <w:p>
      <w:pPr>
        <w:pStyle w:val="Compact"/>
      </w:pPr>
      <w:r>
        <w:t xml:space="preserve">Maximum</w:t>
      </w:r>
    </w:p>
    <w:p>
      <w:pPr>
        <w:pStyle w:val="Compact"/>
      </w:pPr>
      <w:r>
        <w:t xml:space="preserve">f</w:t>
      </w:r>
    </w:p>
    <w:p>
      <w:pPr>
        <w:pStyle w:val="Compact"/>
      </w:pPr>
      <w:r>
        <w:t xml:space="preserve">14</w:t>
      </w:r>
    </w:p>
    <w:p>
      <w:pPr>
        <w:pStyle w:val="Compact"/>
      </w:pPr>
      <w:r>
        <w:t xml:space="preserve">38.21</w:t>
      </w:r>
    </w:p>
    <w:p>
      <w:pPr>
        <w:pStyle w:val="Compact"/>
      </w:pPr>
      <w:r>
        <w:t xml:space="preserve">51.06</w:t>
      </w:r>
    </w:p>
    <w:p>
      <w:pPr>
        <w:pStyle w:val="Compact"/>
      </w:pPr>
      <w:r>
        <w:t xml:space="preserve">0.9</w:t>
      </w:r>
    </w:p>
    <w:p>
      <w:pPr>
        <w:pStyle w:val="Compact"/>
      </w:pPr>
      <w:r>
        <w:t xml:space="preserve">156</w:t>
      </w:r>
    </w:p>
    <w:p>
      <w:pPr>
        <w:pStyle w:val="Compact"/>
      </w:pPr>
      <w:r>
        <w:t xml:space="preserve">m</w:t>
      </w:r>
    </w:p>
    <w:p>
      <w:pPr>
        <w:pStyle w:val="Compact"/>
      </w:pPr>
      <w:r>
        <w:t xml:space="preserve">25</w:t>
      </w:r>
    </w:p>
    <w:p>
      <w:pPr>
        <w:pStyle w:val="Compact"/>
      </w:pPr>
      <w:r>
        <w:t xml:space="preserve">15.64</w:t>
      </w:r>
    </w:p>
    <w:p>
      <w:pPr>
        <w:pStyle w:val="Compact"/>
      </w:pPr>
      <w:r>
        <w:t xml:space="preserve">22.00</w:t>
      </w:r>
    </w:p>
    <w:p>
      <w:pPr>
        <w:pStyle w:val="Compact"/>
      </w:pPr>
      <w:r>
        <w:t xml:space="preserve">0.9</w:t>
      </w:r>
    </w:p>
    <w:p>
      <w:pPr>
        <w:pStyle w:val="Compact"/>
      </w:pPr>
      <w:r>
        <w:t xml:space="preserve">84</w:t>
      </w:r>
    </w:p>
    <w:p>
      <w:pPr>
        <w:pStyle w:val="BodyText"/>
      </w:pPr>
      <w:r>
        <w:t xml:space="preserve">Using the pooled variance estimate method, the variances between the two groups (Females vs males) were different (F Value = 5.38, p-value = 3.8</w:t>
      </w:r>
      <w:r>
        <w:t xml:space="preserve">10^{-4}). A significant p-value for the F-test here shows that respondents age in months is, as expected, nonzero. The p-value (from the two sample t-test) and 95% confidence interval was calculated. The p-value from the t-test was not significant, which implies while that the mean age in months between the two groups is the same (note that the age in months of Males overlaps that of the Females). These results can also be represented with other numerical variables in a table as follows.</w:t>
      </w:r>
    </w:p>
    <w:p>
      <w:pPr>
        <w:pStyle w:val="Compact"/>
      </w:pPr>
      <w:r>
        <w:t xml:space="preserve">Table 16: The relationship sex of respondent by age in months (for symmetric age)</w:t>
      </w:r>
    </w:p>
    <w:p>
      <w:pPr>
        <w:pStyle w:val="Compact"/>
      </w:pPr>
      <w:r>
        <w:t xml:space="preserve">variable</w:t>
      </w:r>
    </w:p>
    <w:p>
      <w:pPr>
        <w:pStyle w:val="Compact"/>
      </w:pPr>
      <w:r>
        <w:t xml:space="preserve">Males.n.25.</w:t>
      </w:r>
    </w:p>
    <w:p>
      <w:pPr>
        <w:pStyle w:val="Compact"/>
      </w:pPr>
      <w:r>
        <w:t xml:space="preserve">Females.n.14.</w:t>
      </w:r>
    </w:p>
    <w:p>
      <w:pPr>
        <w:pStyle w:val="Compact"/>
      </w:pPr>
      <w:r>
        <w:t xml:space="preserve">X95..CI.for.mean.diff.</w:t>
      </w:r>
    </w:p>
    <w:p>
      <w:pPr>
        <w:pStyle w:val="Compact"/>
      </w:pPr>
      <w:r>
        <w:t xml:space="preserve">P.value</w:t>
      </w:r>
    </w:p>
    <w:p>
      <w:pPr>
        <w:pStyle w:val="Compact"/>
      </w:pPr>
      <w:r>
        <w:t xml:space="preserve">Age in months</w:t>
      </w:r>
    </w:p>
    <w:p>
      <w:pPr>
        <w:pStyle w:val="Compact"/>
      </w:pPr>
      <w:r>
        <w:t xml:space="preserve">38.21 (51.06, 0.9)</w:t>
      </w:r>
    </w:p>
    <w:p>
      <w:pPr>
        <w:pStyle w:val="Compact"/>
      </w:pPr>
      <w:r>
        <w:t xml:space="preserve">15.64 (22, 0.9)</w:t>
      </w:r>
    </w:p>
    <w:p>
      <w:pPr>
        <w:pStyle w:val="Compact"/>
      </w:pPr>
      <w:r>
        <w:t xml:space="preserve">-7.86, 53</w:t>
      </w:r>
    </w:p>
    <w:p>
      <w:pPr>
        <w:pStyle w:val="Compact"/>
      </w:pPr>
      <w:r>
        <w:t xml:space="preserve">0.1353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Interpreting and Presenting Statistical Analyses Using R</dc:title>
  <dc:creator/>
  <cp:keywords/>
  <dcterms:created xsi:type="dcterms:W3CDTF">2020-09-17T06:53:21Z</dcterms:created>
  <dcterms:modified xsi:type="dcterms:W3CDTF">2020-09-17T06:53:21Z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9/10/2020</vt:lpwstr>
  </property>
  <property fmtid="{D5CDD505-2E9C-101B-9397-08002B2CF9AE}" pid="4" name="output">
    <vt:lpwstr/>
  </property>
</Properties>
</file>