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УрФУ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Баранский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5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p w:rsidR="00735E9F" w:rsidRDefault="00A353F6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3F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C7896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в современной теории графов являются графические разбиения. </w:t>
      </w:r>
      <w:r w:rsidR="00996514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2F54F5">
        <w:rPr>
          <w:rFonts w:ascii="Courier New" w:hAnsi="Courier New" w:cs="Courier New"/>
          <w:sz w:val="28"/>
          <w:szCs w:val="28"/>
        </w:rPr>
        <w:t>=(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V</w:t>
      </w:r>
      <w:r w:rsidR="002F54F5">
        <w:rPr>
          <w:rFonts w:ascii="Courier New" w:hAnsi="Courier New" w:cs="Courier New"/>
          <w:sz w:val="28"/>
          <w:szCs w:val="28"/>
        </w:rPr>
        <w:t>,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E</w:t>
      </w:r>
      <w:r w:rsidR="00996514" w:rsidRPr="002F54F5">
        <w:rPr>
          <w:rFonts w:ascii="Courier New" w:hAnsi="Courier New" w:cs="Courier New"/>
          <w:sz w:val="28"/>
          <w:szCs w:val="28"/>
        </w:rPr>
        <w:t>)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996514">
        <w:rPr>
          <w:rFonts w:ascii="Courier New" w:hAnsi="Courier New" w:cs="Courier New"/>
          <w:sz w:val="28"/>
          <w:szCs w:val="28"/>
        </w:rPr>
        <w:t>(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</w:rPr>
        <w:t>1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</w:rPr>
        <w:t>2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n</w:t>
      </w:r>
      <w:r w:rsidRPr="00996514">
        <w:rPr>
          <w:rFonts w:ascii="Courier New" w:hAnsi="Courier New" w:cs="Courier New"/>
          <w:sz w:val="28"/>
          <w:szCs w:val="28"/>
        </w:rPr>
        <w:t>)</w:t>
      </w:r>
      <w:r w:rsidR="00996514">
        <w:rPr>
          <w:rFonts w:ascii="Times New Roman" w:hAnsi="Times New Roman" w:cs="Times New Roman"/>
          <w:sz w:val="28"/>
          <w:szCs w:val="28"/>
        </w:rPr>
        <w:t xml:space="preserve">, где 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k</w:t>
      </w:r>
      <w:r w:rsidR="00996514">
        <w:rPr>
          <w:rFonts w:ascii="Cambria Math" w:hAnsi="Cambria Math" w:cs="Courier New"/>
          <w:sz w:val="28"/>
          <w:szCs w:val="28"/>
        </w:rPr>
        <w:t>∈ℕ</w:t>
      </w:r>
      <w:r w:rsidR="00996514">
        <w:rPr>
          <w:rFonts w:ascii="Times New Roman" w:hAnsi="Times New Roman" w:cs="Times New Roman"/>
          <w:sz w:val="28"/>
          <w:szCs w:val="28"/>
        </w:rPr>
        <w:t xml:space="preserve"> -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 степень </w:t>
      </w:r>
      <w:r w:rsidR="00996514" w:rsidRP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 w:rsidRPr="00996514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2F54F5">
        <w:rPr>
          <w:rFonts w:ascii="Times New Roman" w:hAnsi="Times New Roman" w:cs="Times New Roman"/>
          <w:sz w:val="28"/>
          <w:szCs w:val="28"/>
        </w:rPr>
        <w:t xml:space="preserve"> </w:t>
      </w:r>
      <w:r w:rsidR="002F54F5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2F54F5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996514">
        <w:rPr>
          <w:rFonts w:ascii="Courier New" w:hAnsi="Courier New" w:cs="Courier New"/>
          <w:sz w:val="28"/>
          <w:szCs w:val="28"/>
        </w:rPr>
        <w:t>(</w:t>
      </w:r>
      <w:r w:rsid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>
        <w:rPr>
          <w:rFonts w:ascii="Courier New" w:hAnsi="Courier New" w:cs="Courier New"/>
          <w:sz w:val="28"/>
          <w:szCs w:val="28"/>
        </w:rPr>
        <w:t>=1,2,</w:t>
      </w:r>
      <w:r w:rsidR="00996514"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996514">
        <w:rPr>
          <w:rFonts w:ascii="Courier New" w:hAnsi="Courier New" w:cs="Courier New"/>
          <w:sz w:val="28"/>
          <w:szCs w:val="28"/>
          <w:lang w:val="en-US"/>
        </w:rPr>
        <w:t>n</w:t>
      </w:r>
      <w:r w:rsidR="00996514" w:rsidRPr="00996514">
        <w:rPr>
          <w:rFonts w:ascii="Courier New" w:hAnsi="Courier New" w:cs="Courier New"/>
          <w:sz w:val="28"/>
          <w:szCs w:val="28"/>
        </w:rPr>
        <w:t>)</w:t>
      </w:r>
      <w:r w:rsidR="00996514" w:rsidRPr="002F54F5">
        <w:rPr>
          <w:rFonts w:ascii="Times New Roman" w:hAnsi="Times New Roman" w:cs="Times New Roman"/>
          <w:sz w:val="28"/>
          <w:szCs w:val="28"/>
        </w:rPr>
        <w:t>.</w:t>
      </w:r>
      <w:r w:rsidR="002F54F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ambria Math" w:hAnsi="Cambria Math" w:cs="Cambria Math"/>
          <w:sz w:val="28"/>
          <w:szCs w:val="28"/>
        </w:rPr>
        <w:t>∈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d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ourier New" w:hAnsi="Courier New" w:cs="Courier New"/>
          <w:sz w:val="28"/>
          <w:szCs w:val="28"/>
        </w:rPr>
        <w:t xml:space="preserve"> (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i</w:t>
      </w:r>
      <w:r w:rsidR="00A35955" w:rsidRPr="00A35955">
        <w:rPr>
          <w:rFonts w:ascii="Courier New" w:hAnsi="Courier New" w:cs="Courier New"/>
          <w:sz w:val="28"/>
          <w:szCs w:val="28"/>
        </w:rPr>
        <w:t>=1,2,…,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n</w:t>
      </w:r>
      <w:r w:rsidR="00A35955" w:rsidRPr="00A35955">
        <w:rPr>
          <w:rFonts w:ascii="Courier New" w:hAnsi="Courier New" w:cs="Courier New"/>
          <w:sz w:val="28"/>
          <w:szCs w:val="28"/>
        </w:rPr>
        <w:t>)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для некоторой нумерации вершин из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>
        <w:rPr>
          <w:rFonts w:ascii="Times New Roman" w:hAnsi="Times New Roman" w:cs="Times New Roman"/>
          <w:sz w:val="28"/>
          <w:szCs w:val="28"/>
        </w:rPr>
        <w:t>.</w:t>
      </w:r>
      <w:r w:rsidR="00F00A8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 данного графического разбиения.</w:t>
      </w:r>
      <w:r w:rsid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6C4CA7">
        <w:rPr>
          <w:rFonts w:ascii="Times New Roman" w:hAnsi="Times New Roman" w:cs="Times New Roman"/>
          <w:sz w:val="28"/>
          <w:szCs w:val="28"/>
        </w:rPr>
        <w:t xml:space="preserve">Кроме того, сразу можно отметить, что в классе графов, удовлетворяющих последовательности </w:t>
      </w:r>
      <w:r w:rsidR="006C4CA7" w:rsidRPr="006C4CA7">
        <w:rPr>
          <w:rFonts w:ascii="Courier New" w:hAnsi="Courier New" w:cs="Courier New"/>
          <w:sz w:val="28"/>
          <w:szCs w:val="28"/>
          <w:lang w:val="en-US"/>
        </w:rPr>
        <w:t>L</w:t>
      </w:r>
      <w:r w:rsidR="006C4CA7">
        <w:rPr>
          <w:rFonts w:ascii="Times New Roman" w:hAnsi="Times New Roman" w:cs="Times New Roman"/>
          <w:sz w:val="28"/>
          <w:szCs w:val="28"/>
        </w:rPr>
        <w:t xml:space="preserve">, могут возникнуть пары изоморфных графов. </w:t>
      </w:r>
      <w:r w:rsidR="00F00A8A">
        <w:rPr>
          <w:rFonts w:ascii="Times New Roman" w:hAnsi="Times New Roman" w:cs="Times New Roman"/>
          <w:sz w:val="28"/>
          <w:szCs w:val="28"/>
        </w:rPr>
        <w:t>Наша задача заключается в том, чтобы по данному графическому разбиению построить все неизоморфные её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в рамках работы была создана программа, которая по заданному графическому разбиению строит все её реализации с точностью до изоморфизма.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разбиений.</w:t>
      </w:r>
    </w:p>
    <w:p w:rsidR="002A5B92" w:rsidRDefault="002A5B92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6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339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pyplot</w:t>
      </w:r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3468BA"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8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-dir directory, --directory directory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468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68B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tests.py.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 xml:space="preserve">Он замеряет время работы программы для входных данных заданной величины и строит график, который помещает в директорию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3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461D" w:rsidRPr="003F461D">
        <w:rPr>
          <w:rFonts w:ascii="Times New Roman" w:hAnsi="Times New Roman" w:cs="Times New Roman"/>
          <w:sz w:val="28"/>
          <w:szCs w:val="28"/>
        </w:rPr>
        <w:t>]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461D" w:rsidRPr="003F461D">
        <w:rPr>
          <w:rFonts w:ascii="Times New Roman" w:hAnsi="Times New Roman" w:cs="Times New Roman"/>
          <w:sz w:val="28"/>
          <w:szCs w:val="28"/>
        </w:rPr>
        <w:t>] [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>].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10. Утилита измерит время работы алгоритма на последовательностях длин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>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461D">
        <w:rPr>
          <w:rFonts w:ascii="Times New Roman" w:hAnsi="Times New Roman" w:cs="Times New Roman"/>
          <w:sz w:val="28"/>
          <w:szCs w:val="28"/>
        </w:rPr>
        <w:t>, --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3F461D">
        <w:rPr>
          <w:rFonts w:ascii="Times New Roman" w:hAnsi="Times New Roman" w:cs="Times New Roman"/>
          <w:sz w:val="28"/>
          <w:szCs w:val="28"/>
        </w:rPr>
        <w:t>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71385" w:rsidRPr="00571385">
        <w:rPr>
          <w:rFonts w:ascii="Times New Roman" w:hAnsi="Times New Roman" w:cs="Times New Roman"/>
          <w:sz w:val="28"/>
          <w:szCs w:val="28"/>
        </w:rPr>
        <w:t>, --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 xml:space="preserve">Сохранять ли график в файл. Если аргумент не передан, </w:t>
      </w:r>
      <w:r w:rsidR="00571385">
        <w:rPr>
          <w:rFonts w:ascii="Times New Roman" w:hAnsi="Times New Roman" w:cs="Times New Roman"/>
          <w:sz w:val="28"/>
          <w:szCs w:val="28"/>
        </w:rPr>
        <w:lastRenderedPageBreak/>
        <w:t>график будет построен и выведен в отдельном окне, где его можно будет сохранить или закрыть.</w:t>
      </w:r>
    </w:p>
    <w:p w:rsidR="00AA210D" w:rsidRDefault="00AA210D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Порождение одной произвольной реализации</w:t>
      </w:r>
      <w:r w:rsidR="00A56C12">
        <w:rPr>
          <w:rFonts w:ascii="Times New Roman" w:hAnsi="Times New Roman" w:cs="Times New Roman"/>
          <w:b/>
          <w:sz w:val="28"/>
          <w:szCs w:val="28"/>
        </w:rPr>
        <w:t xml:space="preserve"> разбиения</w:t>
      </w:r>
    </w:p>
    <w:p w:rsidR="00AA210D" w:rsidRPr="00AA210D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</w:p>
    <w:p w:rsidR="00AA210D" w:rsidRDefault="00A56C12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Операция своп</w:t>
      </w:r>
    </w:p>
    <w:p w:rsidR="00AA210D" w:rsidRDefault="00A56C12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Изоморфизм разбиений</w:t>
      </w:r>
    </w:p>
    <w:p w:rsidR="0015771C" w:rsidRDefault="00A56C12" w:rsidP="0015771C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5771C" w:rsidRDefault="00A56C12" w:rsidP="0015771C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174CB8" w:rsidRDefault="00174CB8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B4">
        <w:rPr>
          <w:rFonts w:ascii="Times New Roman" w:hAnsi="Times New Roman" w:cs="Times New Roman"/>
          <w:sz w:val="28"/>
          <w:szCs w:val="28"/>
          <w:lang w:val="en-US"/>
        </w:rPr>
        <w:t>Peter L. Erd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, Zoltan Kir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aly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, Istvan Mikl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On the swap-distance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s of different realizations of a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graphical degree sequence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E2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287A" w:rsidRPr="00FE287A" w:rsidRDefault="00FE287A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Емеличев В.А., Мельников О.И., Сарванов В.И., Тышкевич Р.И. – «Лекции по теории графов».</w:t>
      </w:r>
      <w:bookmarkStart w:id="0" w:name="_GoBack"/>
      <w:bookmarkEnd w:id="0"/>
    </w:p>
    <w:sectPr w:rsidR="00FE287A" w:rsidRPr="00FE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FE287A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:rsidR="006575E8" w:rsidRDefault="00FE287A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D24237"/>
    <w:multiLevelType w:val="hybridMultilevel"/>
    <w:tmpl w:val="C56E8AFA"/>
    <w:lvl w:ilvl="0" w:tplc="F7D66D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32DF"/>
    <w:multiLevelType w:val="hybridMultilevel"/>
    <w:tmpl w:val="535A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67CB"/>
    <w:rsid w:val="0015771C"/>
    <w:rsid w:val="00170A95"/>
    <w:rsid w:val="00174CB8"/>
    <w:rsid w:val="00281645"/>
    <w:rsid w:val="002A5B92"/>
    <w:rsid w:val="002F54F5"/>
    <w:rsid w:val="003339FE"/>
    <w:rsid w:val="003468BA"/>
    <w:rsid w:val="003A2AD4"/>
    <w:rsid w:val="003C7896"/>
    <w:rsid w:val="003F461D"/>
    <w:rsid w:val="00571385"/>
    <w:rsid w:val="006C4CA7"/>
    <w:rsid w:val="00735E9F"/>
    <w:rsid w:val="007E7272"/>
    <w:rsid w:val="007F4C9E"/>
    <w:rsid w:val="00946348"/>
    <w:rsid w:val="00966776"/>
    <w:rsid w:val="00996514"/>
    <w:rsid w:val="00A353F6"/>
    <w:rsid w:val="00A35955"/>
    <w:rsid w:val="00A56C12"/>
    <w:rsid w:val="00AA210D"/>
    <w:rsid w:val="00B47816"/>
    <w:rsid w:val="00B91986"/>
    <w:rsid w:val="00BA76CB"/>
    <w:rsid w:val="00C7657E"/>
    <w:rsid w:val="00DE51B7"/>
    <w:rsid w:val="00E713C0"/>
    <w:rsid w:val="00F00A8A"/>
    <w:rsid w:val="00F90F27"/>
    <w:rsid w:val="00F91F7B"/>
    <w:rsid w:val="00FB68B4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myonMakhaev/graphical-sequences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27</cp:revision>
  <dcterms:created xsi:type="dcterms:W3CDTF">2017-04-27T18:59:00Z</dcterms:created>
  <dcterms:modified xsi:type="dcterms:W3CDTF">2017-04-27T20:50:00Z</dcterms:modified>
</cp:coreProperties>
</file>