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8B1C" w14:textId="77777777">
      <w:pPr>
        <w:spacing w:before="160" w:after="80"/>
        <w:jc w:val="center"/>
      </w:pPr>
      <w:r>
        <w:rPr>
          <w:rFonts w:eastAsia="黑体"/>
          <w:b/>
          <w:color w:val="1F4D78"/>
          <w:sz w:val="40"/>
        </w:rPr>
        <w:t>基于滚动随机混合整数规划的农作物种植策略</w:t>
      </w:r>
    </w:p>
    <w:p w14:paraId="450B65FF" w14:textId="77777777">
      <w:pPr>
        <w:pBdr>
          <w:bottom w:val="single" w:sz="10" w:space="2" w:color="2E74B5"/>
        </w:pBdr>
        <w:spacing w:after="300"/>
        <w:jc w:val="center"/>
      </w:pPr>
      <w:r>
        <w:rPr>
          <w:color w:val="666666"/>
          <w:sz w:val="20"/>
        </w:rPr>
        <w:t>2024</w:t>
      </w:r>
      <w:r>
        <w:rPr>
          <w:color w:val="666666"/>
          <w:sz w:val="20"/>
        </w:rPr>
        <w:t>年高教社杯全国大学生数学建模竞赛</w:t>
      </w:r>
      <w:r>
        <w:rPr>
          <w:color w:val="666666"/>
          <w:sz w:val="20"/>
        </w:rPr>
        <w:t xml:space="preserve"> · C</w:t>
      </w:r>
      <w:r>
        <w:rPr>
          <w:color w:val="666666"/>
          <w:sz w:val="20"/>
        </w:rPr>
        <w:t>题</w:t>
      </w:r>
    </w:p>
    <w:p w14:paraId="6154C3A6" w14:textId="77777777">
      <w:pPr>
        <w:pStyle w:val="1"/>
      </w:pPr>
      <w:r>
        <w:rPr>
          <w:rFonts w:ascii="Times New Roman" w:eastAsia="宋体" w:hAnsi="Times New Roman"/>
        </w:rPr>
        <w:t>摘要</w:t>
      </w:r>
    </w:p>
    <w:p w14:paraId="0BE2933F" w14:textId="77777777">
      <w:r>
        <w:t>针对多地类、多季次和多作物条件下的七年种植规划问题，本文建立三年重叠滚动混合整数线性规划模型。模型以地块</w:t>
      </w:r>
      <w:r>
        <w:t>—</w:t>
      </w:r>
      <w:r>
        <w:t>年份</w:t>
      </w:r>
      <w:r>
        <w:t>—</w:t>
      </w:r>
      <w:r>
        <w:t>季次</w:t>
      </w:r>
      <w:r>
        <w:t>—</w:t>
      </w:r>
      <w:r>
        <w:t>作物种植面积为核心变量，同时描述适种范围、地块容量、水浇地种植模式、相邻期禁重茬、连续三年豆类覆盖和最小种植面积。第一问采用确定性参数，分别处理超产滞销和超产半价销售；第二问通过独立情景描述销量、亩产、成本和价格的不确定性，并将期望利润与下行风险结合；第三问进一步加入类别层面的相关冲击及弱替代、互补响应。</w:t>
      </w:r>
    </w:p>
    <w:p w14:paraId="0E37867F" w14:textId="77777777">
      <w:r>
        <w:t>第一问情形（</w:t>
      </w:r>
      <w:r>
        <w:t>1</w:t>
      </w:r>
      <w:r>
        <w:t>）的可行近似方案年均利润为</w:t>
      </w:r>
      <w:r>
        <w:t xml:space="preserve"> 3372.86 </w:t>
      </w:r>
      <w:r>
        <w:t>万元，基准超产率为</w:t>
      </w:r>
      <w:r>
        <w:t xml:space="preserve"> 6.83%</w:t>
      </w:r>
      <w:r>
        <w:t>；当预期销量下降</w:t>
      </w:r>
      <w:r>
        <w:t xml:space="preserve"> 5% </w:t>
      </w:r>
      <w:r>
        <w:t>时，超产率增至</w:t>
      </w:r>
      <w:r>
        <w:t xml:space="preserve"> 10.12%</w:t>
      </w:r>
      <w:r>
        <w:t>，说明控制浪费的结论具有条件性。情形（</w:t>
      </w:r>
      <w:r>
        <w:t>2</w:t>
      </w:r>
      <w:r>
        <w:t>）的年均利润为</w:t>
      </w:r>
      <w:r>
        <w:t xml:space="preserve"> 6141.21 </w:t>
      </w:r>
      <w:r>
        <w:t>万元。第二问主方案年均利润为</w:t>
      </w:r>
      <w:r>
        <w:t xml:space="preserve"> 6820.61 </w:t>
      </w:r>
      <w:r>
        <w:t>万元，最差</w:t>
      </w:r>
      <w:r>
        <w:t xml:space="preserve"> 10% </w:t>
      </w:r>
      <w:r>
        <w:t>情景平均利润为</w:t>
      </w:r>
      <w:r>
        <w:t xml:space="preserve"> 6642.93 </w:t>
      </w:r>
      <w:r>
        <w:t>万元；五个新随机种子的复评均保持相对基线的正收益增量。第三问独立方案年均利润为</w:t>
      </w:r>
      <w:r>
        <w:t xml:space="preserve"> 6756.33 </w:t>
      </w:r>
      <w:r>
        <w:t>万元，比相同相关情景下的第二问方案低</w:t>
      </w:r>
      <w:r>
        <w:t xml:space="preserve"> 63.35 </w:t>
      </w:r>
      <w:r>
        <w:t>万元；三档相关强度和三个新种子的检验均未改变这一方向。因此，本文保留第三问独立方案以回答相关性建模要求，但不声称其优于第二问方案。</w:t>
      </w:r>
    </w:p>
    <w:p w14:paraId="032F68DE" w14:textId="77777777">
      <w:r>
        <w:t>模型生成了</w:t>
      </w:r>
      <w:r>
        <w:t xml:space="preserve"> 2024—2030 </w:t>
      </w:r>
      <w:r>
        <w:t>年逐地块、逐季、逐作物的完整方案。结果表明，滚动随机规划能够统一处理种植约束和市场风险，但结论仍受销量代理、智慧大棚季次参数以及模拟相关结构的限制。</w:t>
      </w:r>
    </w:p>
    <w:p w14:paraId="4CD6BF00" w14:textId="77777777">
      <w:pPr>
        <w:spacing w:after="200"/>
        <w:ind w:firstLine="0"/>
      </w:pPr>
      <w:r>
        <w:rPr>
          <w:rFonts w:eastAsia="黑体"/>
          <w:b/>
        </w:rPr>
        <w:t>关键词：</w:t>
      </w:r>
      <w:r>
        <w:t xml:space="preserve"> </w:t>
      </w:r>
      <w:r>
        <w:t>种植规划；混合整数线性规划；滚动优化；情景分析；</w:t>
      </w:r>
      <w:r>
        <w:t>CVaR</w:t>
      </w:r>
      <w:r>
        <w:t>；稳健性检验</w:t>
      </w:r>
    </w:p>
    <w:p w14:paraId="656A3F3D" w14:textId="77777777">
      <w:pPr>
        <w:pStyle w:val="1"/>
      </w:pPr>
      <w:r>
        <w:rPr>
          <w:rFonts w:ascii="Times New Roman" w:eastAsia="宋体" w:hAnsi="Times New Roman"/>
        </w:rPr>
        <w:t xml:space="preserve">1 </w:t>
      </w:r>
      <w:r>
        <w:rPr>
          <w:rFonts w:ascii="Times New Roman" w:eastAsia="宋体" w:hAnsi="Times New Roman"/>
        </w:rPr>
        <w:t>问题重述与分析</w:t>
      </w:r>
    </w:p>
    <w:p w14:paraId="3808E8A5" w14:textId="77777777">
      <w:r>
        <w:t>某乡村现有</w:t>
      </w:r>
      <w:r>
        <w:t xml:space="preserve"> 54 </w:t>
      </w:r>
      <w:r>
        <w:t>个地块，包含平旱地、梯田、山坡地、水浇地、普通大棚和智慧大棚。不同地类允许的作物和季次数不同，需要为</w:t>
      </w:r>
      <w:r>
        <w:t xml:space="preserve"> 41 </w:t>
      </w:r>
      <w:r>
        <w:t>种作物制定</w:t>
      </w:r>
      <w:r>
        <w:t xml:space="preserve"> 2024—2030 </w:t>
      </w:r>
      <w:r>
        <w:t>年的种植方案</w:t>
      </w:r>
      <w:r>
        <w:t>[1]</w:t>
      </w:r>
      <w:r>
        <w:t>。方案不仅要满足面积与适种要求，还需避免连续重茬，保证任意连续三年内每个地块种植豆类，并控制种植过度分散和面积过小。已有研究表明，作物轮作可转化为跨年度网络流或数学规划结构</w:t>
      </w:r>
      <w:r>
        <w:t>[2]</w:t>
      </w:r>
      <w:r>
        <w:t>；本文根据题面中的地块和季次规则构造更细粒度的</w:t>
      </w:r>
      <w:r>
        <w:t xml:space="preserve"> MILP</w:t>
      </w:r>
      <w:r>
        <w:t>。</w:t>
      </w:r>
    </w:p>
    <w:p w14:paraId="48D1C17B" w14:textId="77777777">
      <w:r>
        <w:t>第一问假设未来亩产、成本、售价和预期销量保持在</w:t>
      </w:r>
      <w:r>
        <w:t xml:space="preserve"> 2023 </w:t>
      </w:r>
      <w:r>
        <w:t>年基准水平。超出预期销量的产量分别按两种规则处理：完全滞销，或按正常售价的</w:t>
      </w:r>
      <w:r>
        <w:t xml:space="preserve"> 50% </w:t>
      </w:r>
      <w:r>
        <w:t>销售。第二问要求考虑销量、亩产、成本和价格的未来变化。第三问进一步考虑作物间替代、互补以及各经济变量之间的相关性。</w:t>
      </w:r>
    </w:p>
    <w:p w14:paraId="31F866B9" w14:textId="77777777">
      <w:r>
        <w:t>三个问题共享同一组种植可行域，区别集中在收益和情景结构。因此，本文先建立统一的地块</w:t>
      </w:r>
      <w:r>
        <w:t>—</w:t>
      </w:r>
      <w:r>
        <w:t>作物</w:t>
      </w:r>
      <w:r>
        <w:t xml:space="preserve"> MILP </w:t>
      </w:r>
      <w:r>
        <w:t>框架，再依次替换确定性收益、独立情景收益和相关情景收益。完整七年模型的整数变量较多，采用三年重叠窗口可在保留轮作联系的同时控制求解规模。</w:t>
      </w:r>
    </w:p>
    <w:p w14:paraId="21899549" w14:textId="77777777">
      <w:pPr>
        <w:pStyle w:val="1"/>
      </w:pPr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模型假设</w:t>
      </w:r>
    </w:p>
    <w:p w14:paraId="3630CF56" w14:textId="77777777">
      <w:pPr>
        <w:pStyle w:val="a"/>
      </w:pPr>
      <w:r>
        <w:t xml:space="preserve">2024—2030 </w:t>
      </w:r>
      <w:r>
        <w:t>年地块面积、地类和题面给出的适种规则不变。</w:t>
      </w:r>
    </w:p>
    <w:p w14:paraId="098EEA77" w14:textId="77777777">
      <w:pPr>
        <w:pStyle w:val="a"/>
      </w:pPr>
      <w:r>
        <w:lastRenderedPageBreak/>
        <w:t xml:space="preserve">2023 </w:t>
      </w:r>
      <w:r>
        <w:t>年各作物实际产量作为预期销量代理，销售价格取附件价格区间中点。</w:t>
      </w:r>
    </w:p>
    <w:p w14:paraId="4AC59100" w14:textId="77777777">
      <w:pPr>
        <w:pStyle w:val="a"/>
      </w:pPr>
      <w:r>
        <w:t>当季产出当季销售，不设置跨季库存。</w:t>
      </w:r>
    </w:p>
    <w:p w14:paraId="18588891" w14:textId="77777777">
      <w:pPr>
        <w:pStyle w:val="a"/>
      </w:pPr>
      <w:r>
        <w:t>第一问的亩产、成本和基准售价保持不变；第二、三问的变化由题面范围内的随机情景描述，而非历史时间序列估计。</w:t>
      </w:r>
    </w:p>
    <w:p w14:paraId="177BD4CE" w14:textId="77777777">
      <w:pPr>
        <w:pStyle w:val="a"/>
      </w:pPr>
      <w:r>
        <w:t>第二、三问的超产部分按正常售价的</w:t>
      </w:r>
      <w:r>
        <w:t xml:space="preserve"> 50% </w:t>
      </w:r>
      <w:r>
        <w:t>销售。</w:t>
      </w:r>
    </w:p>
    <w:p w14:paraId="049FAA2C" w14:textId="77777777">
      <w:pPr>
        <w:pStyle w:val="a"/>
      </w:pPr>
      <w:r>
        <w:t>大棚单次种植面积至少为</w:t>
      </w:r>
      <w:r>
        <w:t xml:space="preserve"> 0.1 </w:t>
      </w:r>
      <w:r>
        <w:t>亩，其他地块至少为</w:t>
      </w:r>
      <w:r>
        <w:t xml:space="preserve"> </w:t>
      </w:r>
      <w:r>
        <w:rPr>
          <w:rFonts w:ascii="Cambria Math" w:eastAsia="Cambria Math" w:hAnsi="Cambria Math"/>
        </w:rPr>
        <w:t>max(0.5,0.05A_i)</w:t>
      </w:r>
      <w:r>
        <w:t xml:space="preserve"> </w:t>
      </w:r>
      <w:r>
        <w:t>亩，并用小额启用惩罚抑制过度碎片化。</w:t>
      </w:r>
    </w:p>
    <w:p w14:paraId="7C500A76" w14:textId="77777777">
      <w:pPr>
        <w:pStyle w:val="a"/>
      </w:pPr>
      <w:r>
        <w:t>附件缺少智慧大棚第一季的独立经济参数，暂用第二季对应参数代替。</w:t>
      </w:r>
    </w:p>
    <w:p w14:paraId="25AE3EB7" w14:textId="77777777">
      <w:pPr>
        <w:pStyle w:val="a"/>
      </w:pPr>
      <w:r>
        <w:t>第三问的替代、互补和相关结构均为模拟设定，不解释为附件数据估计或因果关系。</w:t>
      </w:r>
    </w:p>
    <w:p w14:paraId="28A8B10C" w14:textId="77777777">
      <w:pPr>
        <w:pStyle w:val="1"/>
      </w:pPr>
      <w:r>
        <w:rPr>
          <w:rFonts w:ascii="Times New Roman" w:eastAsia="宋体" w:hAnsi="Times New Roman"/>
        </w:rPr>
        <w:t xml:space="preserve">3 </w:t>
      </w:r>
      <w:r>
        <w:rPr>
          <w:rFonts w:ascii="Times New Roman" w:eastAsia="宋体" w:hAnsi="Times New Roman"/>
        </w:rPr>
        <w:t>符号说明</w:t>
      </w:r>
    </w:p>
    <w:tbl>
      <w:tblPr>
        <w:tblStyle w:val="aff1"/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14:paraId="32E5E154" w14:textId="77777777">
        <w:trPr>
          <w:tblHeader/>
        </w:trPr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E689" w14:textId="77777777"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F30F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3F66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单位</w:t>
            </w:r>
          </w:p>
        </w:tc>
      </w:tr>
      <w:tr w14:paraId="3F03B596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32FA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i,j,t,s,ω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640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地块、作物、年份、季次和情景索引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5E1F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5C34A41A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0BAB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A_i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603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地块面积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B1B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亩</w:t>
            </w:r>
          </w:p>
        </w:tc>
      </w:tr>
      <w:tr w14:paraId="1E83054D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657D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x_ijts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69C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作物种植面积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599F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亩</w:t>
            </w:r>
          </w:p>
        </w:tc>
      </w:tr>
      <w:tr w14:paraId="3E33ADB5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1AF7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y_ijts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2DD9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种植启用变量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DFE9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233BA800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DE35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q_jL_is^ω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6ED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单位面积产量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3B4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亩</w:t>
            </w:r>
          </w:p>
        </w:tc>
      </w:tr>
      <w:tr w14:paraId="5E330EF4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CAFC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c_jL_is^t,ω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0E3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单位面积成本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710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亩</w:t>
            </w:r>
          </w:p>
        </w:tc>
      </w:tr>
      <w:tr w14:paraId="5C4F077F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98AE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p_j^t,ω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369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销售价格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D721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斤</w:t>
            </w:r>
          </w:p>
        </w:tc>
      </w:tr>
      <w:tr w14:paraId="2D592ADD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6C60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d_js^t,ω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8587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预期销量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600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斤</w:t>
            </w:r>
          </w:p>
        </w:tc>
      </w:tr>
      <w:tr w14:paraId="4367DC87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21D9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Q_jts^ω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5934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总产量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CB6C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斤</w:t>
            </w:r>
          </w:p>
        </w:tc>
      </w:tr>
      <w:tr w14:paraId="4EF40DF3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0F46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u_jts^ω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96F2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正常售价销售量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835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斤</w:t>
            </w:r>
          </w:p>
        </w:tc>
      </w:tr>
      <w:tr w14:paraId="2CADF577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F45B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e_jts^ω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E8B4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超产量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0A3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斤</w:t>
            </w:r>
          </w:p>
        </w:tc>
      </w:tr>
      <w:tr w14:paraId="72967B10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9818" w14:textId="77777777">
            <w:pPr>
              <w:spacing w:after="0" w:line="240" w:lineRule="auto"/>
              <w:jc w:val="left"/>
            </w:pPr>
            <w:r>
              <w:rPr>
                <w:rFonts w:ascii="Cambria Math" w:eastAsia="Cambria Math" w:hAnsi="Cambria Math"/>
                <w:sz w:val="18"/>
              </w:rPr>
              <w:t>Π^ω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9D98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情景利润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B7FF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元</w:t>
            </w:r>
          </w:p>
        </w:tc>
      </w:tr>
    </w:tbl>
    <w:p w14:paraId="11FC1551" w14:textId="77777777">
      <w:pPr>
        <w:pStyle w:val="1"/>
      </w:pPr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通用种植规划模型</w:t>
      </w:r>
    </w:p>
    <w:p w14:paraId="0ECA8BB0" w14:textId="77777777">
      <w:pPr>
        <w:pStyle w:val="21"/>
      </w:pPr>
      <w:r>
        <w:rPr>
          <w:rFonts w:ascii="Times New Roman" w:eastAsia="宋体" w:hAnsi="Times New Roman"/>
        </w:rPr>
        <w:t xml:space="preserve">4.1 </w:t>
      </w:r>
      <w:r>
        <w:rPr>
          <w:rFonts w:ascii="Times New Roman" w:eastAsia="宋体" w:hAnsi="Times New Roman"/>
        </w:rPr>
        <w:t>产量、销量与利润</w:t>
      </w:r>
    </w:p>
    <w:p w14:paraId="0B5D8874" w14:textId="77777777">
      <w:r>
        <w:t>仅对允许的地块</w:t>
      </w:r>
      <w:r>
        <w:t>—</w:t>
      </w:r>
      <w:r>
        <w:t>季次</w:t>
      </w:r>
      <w:r>
        <w:t>—</w:t>
      </w:r>
      <w:r>
        <w:t>作物组合建立变量。情景</w:t>
      </w:r>
      <w:r>
        <w:t xml:space="preserve"> </w:t>
      </w:r>
      <w:r>
        <w:rPr>
          <w:rFonts w:ascii="Cambria Math" w:eastAsia="Cambria Math" w:hAnsi="Cambria Math"/>
        </w:rPr>
        <w:t>ω</w:t>
      </w:r>
      <w:r>
        <w:t xml:space="preserve"> </w:t>
      </w:r>
      <w:r>
        <w:t>下，作物产量为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181C3CB5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6F62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803FCEB" wp14:editId="4C0AC299">
                  <wp:extent cx="1485900" cy="215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C0A4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(1)</w:t>
            </w:r>
          </w:p>
        </w:tc>
      </w:tr>
    </w:tbl>
    <w:p w14:paraId="0E51992A" w14:textId="77777777">
      <w:r>
        <w:t>正常售价销售量满足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58A70F54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9694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3D851E8" wp14:editId="2CCB0175">
                  <wp:extent cx="2222500" cy="215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A00D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(2)</w:t>
            </w:r>
          </w:p>
        </w:tc>
      </w:tr>
    </w:tbl>
    <w:p w14:paraId="1C03E5FB" w14:textId="77777777">
      <w:r>
        <w:t>超产量为</w:t>
      </w:r>
      <w:r>
        <w:t xml:space="preserve"> </w:t>
      </w:r>
      <w:r>
        <w:rPr>
          <w:rFonts w:ascii="Cambria Math" w:eastAsia="Cambria Math" w:hAnsi="Cambria Math"/>
        </w:rPr>
        <w:t>e_jts^ω=Q_jts^ω-u_jts^ω</w:t>
      </w:r>
      <w:r>
        <w:t>。若超产残值比例为</w:t>
      </w:r>
      <w:r>
        <w:t xml:space="preserve"> </w:t>
      </w:r>
      <w:r>
        <w:rPr>
          <w:rFonts w:ascii="Cambria Math" w:eastAsia="Cambria Math" w:hAnsi="Cambria Math"/>
        </w:rPr>
        <w:t>r</w:t>
      </w:r>
      <w:r>
        <w:t>，情景利润写为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074FBB7A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8734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303A69F" wp14:editId="3E1BCF52">
                  <wp:extent cx="3441700" cy="2159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B87F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(3)</w:t>
            </w:r>
          </w:p>
        </w:tc>
      </w:tr>
    </w:tbl>
    <w:p w14:paraId="18D7FAE9" w14:textId="77777777">
      <w:pPr>
        <w:pStyle w:val="21"/>
      </w:pPr>
      <w:r>
        <w:rPr>
          <w:rFonts w:ascii="Times New Roman" w:eastAsia="宋体" w:hAnsi="Times New Roman"/>
        </w:rPr>
        <w:lastRenderedPageBreak/>
        <w:t xml:space="preserve">4.2 </w:t>
      </w:r>
      <w:r>
        <w:rPr>
          <w:rFonts w:ascii="Times New Roman" w:eastAsia="宋体" w:hAnsi="Times New Roman"/>
        </w:rPr>
        <w:t>种植与管理约束</w:t>
      </w:r>
    </w:p>
    <w:p w14:paraId="30C169FA" w14:textId="77777777">
      <w:r>
        <w:t>各地块每季总面积不能超过可用面积：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38A7F394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718B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BED410D" wp14:editId="67E56C68">
                  <wp:extent cx="1260000" cy="3842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8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8D2E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(4)</w:t>
            </w:r>
          </w:p>
        </w:tc>
      </w:tr>
    </w:tbl>
    <w:p w14:paraId="1E3854C0" w14:textId="77777777">
      <w:r>
        <w:t>利用二元变量连接种植面积和启用状态：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06E28D55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175F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77CC611" wp14:editId="38C776C8">
                  <wp:extent cx="1289050" cy="2127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2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9E9C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(5)</w:t>
            </w:r>
          </w:p>
        </w:tc>
      </w:tr>
    </w:tbl>
    <w:p w14:paraId="3C54B45F" w14:textId="77777777">
      <w:r>
        <w:t>水浇地设置年度模式变量，保证单季水稻和两季蔬菜不能同时出现。相邻种植期的同一作物启用变量之和不超过</w:t>
      </w:r>
      <w:r>
        <w:t xml:space="preserve"> 1</w:t>
      </w:r>
      <w:r>
        <w:t>，以避免重茬。对于任意地块和任意连续三年窗口，豆类种植面积之和不小于该地块面积：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66F6B02F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66B9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724B31E" wp14:editId="35F86548">
                  <wp:extent cx="1851024" cy="2159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024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8241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(6)</w:t>
            </w:r>
          </w:p>
        </w:tc>
      </w:tr>
    </w:tbl>
    <w:p w14:paraId="20D1DA3C" w14:textId="77777777">
      <w:r>
        <w:t xml:space="preserve">2023 </w:t>
      </w:r>
      <w:r>
        <w:t>年已种植作物参与</w:t>
      </w:r>
      <w:r>
        <w:t xml:space="preserve"> 2024 </w:t>
      </w:r>
      <w:r>
        <w:t>年轮作和首个豆类窗口的计算。</w:t>
      </w:r>
    </w:p>
    <w:p w14:paraId="2DADFD80" w14:textId="77777777">
      <w:pPr>
        <w:pStyle w:val="21"/>
      </w:pPr>
      <w:r>
        <w:rPr>
          <w:rFonts w:ascii="Times New Roman" w:eastAsia="宋体" w:hAnsi="Times New Roman"/>
        </w:rPr>
        <w:t xml:space="preserve">4.3 </w:t>
      </w:r>
      <w:r>
        <w:rPr>
          <w:rFonts w:ascii="Times New Roman" w:eastAsia="宋体" w:hAnsi="Times New Roman"/>
        </w:rPr>
        <w:t>滚动求解</w:t>
      </w:r>
    </w:p>
    <w:p w14:paraId="06E2D8D7" w14:textId="77777777">
      <w:r>
        <w:t>模型依次求解</w:t>
      </w:r>
      <w:r>
        <w:t xml:space="preserve"> </w:t>
      </w:r>
      <w:r>
        <w:rPr>
          <w:rFonts w:ascii="Cambria Math" w:eastAsia="Cambria Math" w:hAnsi="Cambria Math"/>
        </w:rPr>
        <w:t>[2024,2026]</w:t>
      </w:r>
      <w:r>
        <w:t>、</w:t>
      </w:r>
      <w:r>
        <w:rPr>
          <w:rFonts w:ascii="Cambria Math" w:eastAsia="Cambria Math" w:hAnsi="Cambria Math"/>
        </w:rPr>
        <w:t>[2026,2028]</w:t>
      </w:r>
      <w:r>
        <w:t xml:space="preserve"> </w:t>
      </w:r>
      <w:r>
        <w:t>和</w:t>
      </w:r>
      <w:r>
        <w:t xml:space="preserve"> </w:t>
      </w:r>
      <w:r>
        <w:rPr>
          <w:rFonts w:ascii="Cambria Math" w:eastAsia="Cambria Math" w:hAnsi="Cambria Math"/>
        </w:rPr>
        <w:t>[2028,2030]</w:t>
      </w:r>
      <w:r>
        <w:t xml:space="preserve"> </w:t>
      </w:r>
      <w:r>
        <w:t>三个窗口。前两个窗口提交前两年结果，最后一个窗口提交全部结果。重叠年份用于传递轮作和豆类种植状态。每个启用变量还承担一个小额碎片化惩罚，使模型在收益相近时优先选择更集中的方案。模型通过</w:t>
      </w:r>
      <w:r>
        <w:t xml:space="preserve"> HiGHS </w:t>
      </w:r>
      <w:r>
        <w:t>求解器完成稀疏</w:t>
      </w:r>
      <w:r>
        <w:t xml:space="preserve"> MILP </w:t>
      </w:r>
      <w:r>
        <w:t>求解</w:t>
      </w:r>
      <w:r>
        <w:t>[5]</w:t>
      </w:r>
      <w:r>
        <w:t>。</w:t>
      </w:r>
    </w:p>
    <w:p w14:paraId="47A57291" w14:textId="77777777">
      <w:pPr>
        <w:pStyle w:val="1"/>
      </w:pPr>
      <w:r>
        <w:rPr>
          <w:rFonts w:ascii="Times New Roman" w:eastAsia="宋体" w:hAnsi="Times New Roman"/>
        </w:rPr>
        <w:t xml:space="preserve">5 </w:t>
      </w:r>
      <w:r>
        <w:rPr>
          <w:rFonts w:ascii="Times New Roman" w:eastAsia="宋体" w:hAnsi="Times New Roman"/>
        </w:rPr>
        <w:t>第一问：确定性种植策略</w:t>
      </w:r>
    </w:p>
    <w:p w14:paraId="312902F0" w14:textId="77777777">
      <w:pPr>
        <w:pStyle w:val="21"/>
      </w:pPr>
      <w:r>
        <w:rPr>
          <w:rFonts w:ascii="Times New Roman" w:eastAsia="宋体" w:hAnsi="Times New Roman"/>
        </w:rPr>
        <w:t xml:space="preserve">5.1 </w:t>
      </w:r>
      <w:r>
        <w:rPr>
          <w:rFonts w:ascii="Times New Roman" w:eastAsia="宋体" w:hAnsi="Times New Roman"/>
        </w:rPr>
        <w:t>两种超产处置模型</w:t>
      </w:r>
    </w:p>
    <w:p w14:paraId="0D627800" w14:textId="77777777">
      <w:r>
        <w:t>情形（</w:t>
      </w:r>
      <w:r>
        <w:t>1</w:t>
      </w:r>
      <w:r>
        <w:t>）取</w:t>
      </w:r>
      <w:r>
        <w:t xml:space="preserve"> </w:t>
      </w:r>
      <w:r>
        <w:rPr>
          <w:rFonts w:ascii="Cambria Math" w:eastAsia="Cambria Math" w:hAnsi="Cambria Math"/>
        </w:rPr>
        <w:t>r=0</w:t>
      </w:r>
      <w:r>
        <w:t>。为体现控制滞销的优先级，在利润之外加入超产货值惩罚，目标为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3AC4D73C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3E11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5525DC4" wp14:editId="13E3DD2E">
                  <wp:extent cx="2212975" cy="2159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D025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(7)</w:t>
            </w:r>
          </w:p>
        </w:tc>
      </w:tr>
    </w:tbl>
    <w:p w14:paraId="2C81F0B0" w14:textId="77777777">
      <w:r>
        <w:t>情形（</w:t>
      </w:r>
      <w:r>
        <w:t>2</w:t>
      </w:r>
      <w:r>
        <w:t>）取</w:t>
      </w:r>
      <w:r>
        <w:t xml:space="preserve"> </w:t>
      </w:r>
      <w:r>
        <w:rPr>
          <w:rFonts w:ascii="Cambria Math" w:eastAsia="Cambria Math" w:hAnsi="Cambria Math"/>
        </w:rPr>
        <w:t>r=0.5</w:t>
      </w:r>
      <w:r>
        <w:t>，直接最大化式（</w:t>
      </w:r>
      <w:r>
        <w:t>3</w:t>
      </w:r>
      <w:r>
        <w:t>）给出的利润并扣除碎片化惩罚。两种情形均与满足全部硬约束的利润排序贪心方案比较。</w:t>
      </w:r>
    </w:p>
    <w:p w14:paraId="0FFB6C41" w14:textId="77777777">
      <w:pPr>
        <w:pStyle w:val="21"/>
      </w:pPr>
      <w:r>
        <w:rPr>
          <w:rFonts w:ascii="Times New Roman" w:eastAsia="宋体" w:hAnsi="Times New Roman"/>
        </w:rPr>
        <w:t xml:space="preserve">5.2 </w:t>
      </w:r>
      <w:r>
        <w:rPr>
          <w:rFonts w:ascii="Times New Roman" w:eastAsia="宋体" w:hAnsi="Times New Roman"/>
        </w:rPr>
        <w:t>结果</w:t>
      </w:r>
    </w:p>
    <w:tbl>
      <w:tblPr>
        <w:tblStyle w:val="aff1"/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3"/>
      </w:tblGrid>
      <w:tr w14:paraId="6761DD63" w14:textId="77777777">
        <w:trPr>
          <w:tblHeader/>
        </w:trPr>
        <w:tc>
          <w:tcPr>
            <w:tcW w:w="188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A4B3" w14:textId="77777777"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w="188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2B84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88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1B2F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年均利润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万元</w:t>
            </w:r>
          </w:p>
        </w:tc>
        <w:tc>
          <w:tcPr>
            <w:tcW w:w="188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7E56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超产率</w:t>
            </w:r>
          </w:p>
        </w:tc>
        <w:tc>
          <w:tcPr>
            <w:tcW w:w="188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A627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前五作物面积占比</w:t>
            </w:r>
          </w:p>
        </w:tc>
      </w:tr>
      <w:tr w14:paraId="5DFDE115" w14:textId="77777777"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1A26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超产滞销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EEF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滚动</w:t>
            </w:r>
            <w:r>
              <w:rPr>
                <w:sz w:val="18"/>
              </w:rPr>
              <w:t>MILP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0DF7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3372.86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71D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6.83%</w:t>
            </w:r>
          </w:p>
        </w:tc>
        <w:tc>
          <w:tcPr>
            <w:tcW w:w="18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B014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65.17%</w:t>
            </w:r>
          </w:p>
        </w:tc>
      </w:tr>
      <w:tr w14:paraId="69451D96" w14:textId="77777777"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B918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超产滞销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BF1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贪心基线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8217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-259.55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70B0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92.12%</w:t>
            </w:r>
          </w:p>
        </w:tc>
        <w:tc>
          <w:tcPr>
            <w:tcW w:w="18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2F4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96.56%</w:t>
            </w:r>
          </w:p>
        </w:tc>
      </w:tr>
      <w:tr w14:paraId="5DA97A0C" w14:textId="77777777"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E042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超产半价销售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F283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滚动</w:t>
            </w:r>
            <w:r>
              <w:rPr>
                <w:sz w:val="18"/>
              </w:rPr>
              <w:t>MILP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375A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6141.21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2E2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60.29%</w:t>
            </w:r>
          </w:p>
        </w:tc>
        <w:tc>
          <w:tcPr>
            <w:tcW w:w="18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037C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63.28%</w:t>
            </w:r>
          </w:p>
        </w:tc>
      </w:tr>
      <w:tr w14:paraId="0A49F303" w14:textId="77777777"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FB92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超产半价销售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E861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贪心基线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B100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5828.45</w:t>
            </w:r>
          </w:p>
        </w:tc>
        <w:tc>
          <w:tcPr>
            <w:tcW w:w="18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05B9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92.12%</w:t>
            </w:r>
          </w:p>
        </w:tc>
        <w:tc>
          <w:tcPr>
            <w:tcW w:w="18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50F1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96.56%</w:t>
            </w:r>
          </w:p>
        </w:tc>
      </w:tr>
    </w:tbl>
    <w:p w14:paraId="51FC7C2D" w14:textId="77777777">
      <w:r>
        <w:lastRenderedPageBreak/>
        <w:t>情形（</w:t>
      </w:r>
      <w:r>
        <w:t>1</w:t>
      </w:r>
      <w:r>
        <w:t>）中，主方案在保持正利润的同时明显降低了相对基线的超产率。情形（</w:t>
      </w:r>
      <w:r>
        <w:t>2</w:t>
      </w:r>
      <w:r>
        <w:t>）的高超产率不能直接解释为浪费率，因为超产部分具有</w:t>
      </w:r>
      <w:r>
        <w:t xml:space="preserve"> 50% </w:t>
      </w:r>
      <w:r>
        <w:t>的销售残值。</w:t>
      </w:r>
    </w:p>
    <w:p w14:paraId="5E34AC21" w14:textId="77777777">
      <w:pPr>
        <w:spacing w:before="100" w:after="60"/>
        <w:jc w:val="center"/>
      </w:pPr>
      <w:r>
        <w:rPr>
          <w:noProof/>
        </w:rPr>
        <w:drawing>
          <wp:inline distT="0" distB="0" distL="0" distR="0" wp14:anchorId="27A8F14C" wp14:editId="173DC44F">
            <wp:extent cx="5688000" cy="22234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demand_robus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2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4967" w14:textId="77777777">
      <w:pPr>
        <w:ind w:firstLine="0"/>
        <w:jc w:val="center"/>
      </w:pPr>
      <w:r>
        <w:rPr>
          <w:rFonts w:eastAsia="黑体"/>
          <w:b/>
          <w:sz w:val="19"/>
        </w:rPr>
        <w:t>图</w:t>
      </w:r>
      <w:r>
        <w:rPr>
          <w:rFonts w:eastAsia="黑体"/>
          <w:b/>
          <w:sz w:val="19"/>
        </w:rPr>
        <w:t>1</w:t>
      </w:r>
      <w:r>
        <w:rPr>
          <w:sz w:val="19"/>
        </w:rPr>
        <w:t xml:space="preserve"> </w:t>
      </w:r>
      <w:r>
        <w:rPr>
          <w:sz w:val="19"/>
        </w:rPr>
        <w:t>预期销量在基准值附近变化时，主方案超产率始终远低于贪心基线；销量下降</w:t>
      </w:r>
      <w:r>
        <w:rPr>
          <w:sz w:val="19"/>
        </w:rPr>
        <w:t xml:space="preserve"> 5% </w:t>
      </w:r>
      <w:r>
        <w:rPr>
          <w:sz w:val="19"/>
        </w:rPr>
        <w:t>时，主方案超产率为</w:t>
      </w:r>
      <w:r>
        <w:rPr>
          <w:sz w:val="19"/>
        </w:rPr>
        <w:t xml:space="preserve"> 10.12%</w:t>
      </w:r>
      <w:r>
        <w:rPr>
          <w:sz w:val="19"/>
        </w:rPr>
        <w:t>，略高于预设阈值。</w:t>
      </w:r>
    </w:p>
    <w:p w14:paraId="4358BEF9" w14:textId="77777777">
      <w:r>
        <w:t>三个滚动窗口的最大</w:t>
      </w:r>
      <w:r>
        <w:t xml:space="preserve"> MIP gap </w:t>
      </w:r>
      <w:r>
        <w:t>为</w:t>
      </w:r>
      <w:r>
        <w:t xml:space="preserve"> 48.86%</w:t>
      </w:r>
      <w:r>
        <w:t>。因此，这些结果是通过全部硬约束检查的可行近似方案，不能作为全局最优证明。</w:t>
      </w:r>
    </w:p>
    <w:p w14:paraId="3EA32608" w14:textId="77777777">
      <w:pPr>
        <w:pStyle w:val="1"/>
      </w:pPr>
      <w:r>
        <w:rPr>
          <w:rFonts w:ascii="Times New Roman" w:eastAsia="宋体" w:hAnsi="Times New Roman"/>
        </w:rPr>
        <w:t xml:space="preserve">6 </w:t>
      </w:r>
      <w:r>
        <w:rPr>
          <w:rFonts w:ascii="Times New Roman" w:eastAsia="宋体" w:hAnsi="Times New Roman"/>
        </w:rPr>
        <w:t>第二问：独立情景随机规划</w:t>
      </w:r>
    </w:p>
    <w:p w14:paraId="13F6D700" w14:textId="77777777">
      <w:pPr>
        <w:pStyle w:val="21"/>
      </w:pPr>
      <w:r>
        <w:rPr>
          <w:rFonts w:ascii="Times New Roman" w:eastAsia="宋体" w:hAnsi="Times New Roman"/>
        </w:rPr>
        <w:t xml:space="preserve">6.1 </w:t>
      </w:r>
      <w:r>
        <w:rPr>
          <w:rFonts w:ascii="Times New Roman" w:eastAsia="宋体" w:hAnsi="Times New Roman"/>
        </w:rPr>
        <w:t>情景与风险目标</w:t>
      </w:r>
    </w:p>
    <w:p w14:paraId="7FA2E985" w14:textId="77777777">
      <w:r>
        <w:t>采用固定种子生成</w:t>
      </w:r>
      <w:r>
        <w:t xml:space="preserve"> 30 </w:t>
      </w:r>
      <w:r>
        <w:t>个独立情景。小麦和玉米销量按</w:t>
      </w:r>
      <w:r>
        <w:t xml:space="preserve"> 5%—10% </w:t>
      </w:r>
      <w:r>
        <w:t>年增长变化，其他作物销量在基准附近波动；亩产、成本和价格均按题面范围生成。种植面积在情景间共享，销售量随情景变化。</w:t>
      </w:r>
    </w:p>
    <w:p w14:paraId="27E5A14F" w14:textId="77777777">
      <w:r>
        <w:t>条件风险价值可借助辅助变量转化为线性形式</w:t>
      </w:r>
      <w:r>
        <w:t>[3]</w:t>
      </w:r>
      <w:r>
        <w:t>，并已用于含价格和产量不确定性的作物选择</w:t>
      </w:r>
      <w:r>
        <w:t xml:space="preserve"> MILP[4]</w:t>
      </w:r>
      <w:r>
        <w:t>。令损失</w:t>
      </w:r>
      <w:r>
        <w:t xml:space="preserve"> </w:t>
      </w:r>
      <w:r>
        <w:rPr>
          <w:rFonts w:ascii="Cambria Math" w:eastAsia="Cambria Math" w:hAnsi="Cambria Math"/>
        </w:rPr>
        <w:t>L^ω=-Π^ω</w:t>
      </w:r>
      <w:r>
        <w:t>，以</w:t>
      </w:r>
      <w:r>
        <w:t xml:space="preserve"> </w:t>
      </w:r>
      <w:r>
        <w:rPr>
          <w:rFonts w:ascii="Cambria Math" w:eastAsia="Cambria Math" w:hAnsi="Cambria Math"/>
        </w:rPr>
        <w:t>α=0.90</w:t>
      </w:r>
      <w:r>
        <w:t xml:space="preserve"> </w:t>
      </w:r>
      <w:r>
        <w:t>定义尾部风险变量：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18A81466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A0F45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7A0BA0E" wp14:editId="2C0E7D22">
                  <wp:extent cx="1308100" cy="2095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8D0E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(8)</w:t>
            </w:r>
          </w:p>
        </w:tc>
      </w:tr>
    </w:tbl>
    <w:p w14:paraId="03235D62" w14:textId="77777777">
      <w:r>
        <w:t>模型最小化负期望利润与</w:t>
      </w:r>
      <w:r>
        <w:t xml:space="preserve"> CVaR </w:t>
      </w:r>
      <w:r>
        <w:t>损失的加权和：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76247365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2149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2E35738" wp14:editId="2695DF54">
                  <wp:extent cx="3508375" cy="2159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DF8F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(9)</w:t>
            </w:r>
          </w:p>
        </w:tc>
      </w:tr>
    </w:tbl>
    <w:p w14:paraId="6F6BF308" w14:textId="77777777">
      <w:r>
        <w:t>基线模型使用</w:t>
      </w:r>
      <w:r>
        <w:t xml:space="preserve"> 30 </w:t>
      </w:r>
      <w:r>
        <w:t>个情景的均值参数求解，再在完全相同的情景上评价。</w:t>
      </w:r>
    </w:p>
    <w:p w14:paraId="1B57782A" w14:textId="77777777">
      <w:pPr>
        <w:pStyle w:val="21"/>
      </w:pPr>
      <w:r>
        <w:rPr>
          <w:rFonts w:ascii="Times New Roman" w:eastAsia="宋体" w:hAnsi="Times New Roman"/>
        </w:rPr>
        <w:t xml:space="preserve">6.2 </w:t>
      </w:r>
      <w:r>
        <w:rPr>
          <w:rFonts w:ascii="Times New Roman" w:eastAsia="宋体" w:hAnsi="Times New Roman"/>
        </w:rPr>
        <w:t>结果与复评</w:t>
      </w:r>
    </w:p>
    <w:tbl>
      <w:tblPr>
        <w:tblStyle w:val="aff1"/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14:paraId="6D56B42A" w14:textId="77777777">
        <w:trPr>
          <w:tblHeader/>
        </w:trPr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9949" w14:textId="77777777"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3792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主方案</w:t>
            </w:r>
          </w:p>
        </w:tc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C2C4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均值参数基线</w:t>
            </w:r>
          </w:p>
        </w:tc>
      </w:tr>
      <w:tr w14:paraId="06B8F01C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9CBB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年均利润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万元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73F1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6820.61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E5B9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6801.43</w:t>
            </w:r>
          </w:p>
        </w:tc>
      </w:tr>
      <w:tr w14:paraId="584DED68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060F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最差</w:t>
            </w:r>
            <w:r>
              <w:rPr>
                <w:sz w:val="18"/>
              </w:rPr>
              <w:t>10%</w:t>
            </w:r>
            <w:r>
              <w:rPr>
                <w:sz w:val="18"/>
              </w:rPr>
              <w:t>平均利润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万元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6DE0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6642.93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1119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6614.38</w:t>
            </w:r>
          </w:p>
        </w:tc>
      </w:tr>
      <w:tr w14:paraId="01A8D43D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9C67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5%</w:t>
            </w:r>
            <w:r>
              <w:rPr>
                <w:sz w:val="18"/>
              </w:rPr>
              <w:t>分位利润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万元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EB4A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6654.01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67DA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6632.37</w:t>
            </w:r>
          </w:p>
        </w:tc>
      </w:tr>
      <w:tr w14:paraId="3813935D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EAEC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平均超产率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3381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58.03%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C403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59.84%</w:t>
            </w:r>
          </w:p>
        </w:tc>
      </w:tr>
    </w:tbl>
    <w:p w14:paraId="62091C51" w14:textId="77777777">
      <w:r>
        <w:lastRenderedPageBreak/>
        <w:t>主方案年均利润比基线高</w:t>
      </w:r>
      <w:r>
        <w:t xml:space="preserve"> 19.18 </w:t>
      </w:r>
      <w:r>
        <w:t>万元，最差</w:t>
      </w:r>
      <w:r>
        <w:t xml:space="preserve"> 10% </w:t>
      </w:r>
      <w:r>
        <w:t>情景平均利润高</w:t>
      </w:r>
      <w:r>
        <w:t xml:space="preserve"> 28.56 </w:t>
      </w:r>
      <w:r>
        <w:t>万元。两方案面积重合度仅为</w:t>
      </w:r>
      <w:r>
        <w:t xml:space="preserve"> 20.66%</w:t>
      </w:r>
      <w:r>
        <w:t>，说明风险目标引起了明显的结构调整，但经济改进幅度仍较小。</w:t>
      </w:r>
    </w:p>
    <w:p w14:paraId="12903ED9" w14:textId="77777777">
      <w:pPr>
        <w:spacing w:before="100" w:after="60"/>
        <w:jc w:val="center"/>
      </w:pPr>
      <w:r>
        <w:rPr>
          <w:noProof/>
        </w:rPr>
        <w:drawing>
          <wp:inline distT="0" distB="0" distL="0" distR="0" wp14:anchorId="5EA56724" wp14:editId="0A72B0D0">
            <wp:extent cx="5688000" cy="31504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eed_robustn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C221" w14:textId="77777777">
      <w:pPr>
        <w:ind w:firstLine="0"/>
        <w:jc w:val="center"/>
      </w:pPr>
      <w:r>
        <w:rPr>
          <w:rFonts w:eastAsia="黑体"/>
          <w:b/>
          <w:sz w:val="19"/>
        </w:rPr>
        <w:t>图</w:t>
      </w:r>
      <w:r>
        <w:rPr>
          <w:rFonts w:eastAsia="黑体"/>
          <w:b/>
          <w:sz w:val="19"/>
        </w:rPr>
        <w:t>2</w:t>
      </w:r>
      <w:r>
        <w:rPr>
          <w:sz w:val="19"/>
        </w:rPr>
        <w:t xml:space="preserve"> </w:t>
      </w:r>
      <w:r>
        <w:rPr>
          <w:sz w:val="19"/>
        </w:rPr>
        <w:t>五个新随机种子下，主方案相对基线的平均利润与最差</w:t>
      </w:r>
      <w:r>
        <w:rPr>
          <w:sz w:val="19"/>
        </w:rPr>
        <w:t xml:space="preserve"> 10% </w:t>
      </w:r>
      <w:r>
        <w:rPr>
          <w:sz w:val="19"/>
        </w:rPr>
        <w:t>平均利润增量均为正。平均利润增量为</w:t>
      </w:r>
      <w:r>
        <w:rPr>
          <w:sz w:val="19"/>
        </w:rPr>
        <w:t xml:space="preserve"> 17.02—18.82 </w:t>
      </w:r>
      <w:r>
        <w:rPr>
          <w:sz w:val="19"/>
        </w:rPr>
        <w:t>万元，下行利润增量为</w:t>
      </w:r>
      <w:r>
        <w:rPr>
          <w:sz w:val="19"/>
        </w:rPr>
        <w:t xml:space="preserve"> 19.01—27.71 </w:t>
      </w:r>
      <w:r>
        <w:rPr>
          <w:sz w:val="19"/>
        </w:rPr>
        <w:t>万元。</w:t>
      </w:r>
    </w:p>
    <w:p w14:paraId="046F47C8" w14:textId="77777777">
      <w:r>
        <w:t>三个窗口最大</w:t>
      </w:r>
      <w:r>
        <w:t xml:space="preserve"> MIP gap </w:t>
      </w:r>
      <w:r>
        <w:t>为</w:t>
      </w:r>
      <w:r>
        <w:t xml:space="preserve"> 4.40%</w:t>
      </w:r>
      <w:r>
        <w:t>，低于</w:t>
      </w:r>
      <w:r>
        <w:t xml:space="preserve"> 5% </w:t>
      </w:r>
      <w:r>
        <w:t>预设线。复评支持主方案在所测试情景分布下具有小幅且方向稳定的优势，但不代表对任意未来分布均占优。</w:t>
      </w:r>
    </w:p>
    <w:p w14:paraId="3C216453" w14:textId="77777777">
      <w:pPr>
        <w:pStyle w:val="1"/>
      </w:pPr>
      <w:r>
        <w:rPr>
          <w:rFonts w:ascii="Times New Roman" w:eastAsia="宋体" w:hAnsi="Times New Roman"/>
        </w:rPr>
        <w:t xml:space="preserve">7 </w:t>
      </w:r>
      <w:r>
        <w:rPr>
          <w:rFonts w:ascii="Times New Roman" w:eastAsia="宋体" w:hAnsi="Times New Roman"/>
        </w:rPr>
        <w:t>第三问：相关性与替代互补关系</w:t>
      </w:r>
    </w:p>
    <w:p w14:paraId="6812A57B" w14:textId="77777777">
      <w:pPr>
        <w:pStyle w:val="21"/>
      </w:pPr>
      <w:r>
        <w:rPr>
          <w:rFonts w:ascii="Times New Roman" w:eastAsia="宋体" w:hAnsi="Times New Roman"/>
        </w:rPr>
        <w:t xml:space="preserve">7.1 </w:t>
      </w:r>
      <w:r>
        <w:rPr>
          <w:rFonts w:ascii="Times New Roman" w:eastAsia="宋体" w:hAnsi="Times New Roman"/>
        </w:rPr>
        <w:t>相关情景结构</w:t>
      </w:r>
    </w:p>
    <w:p w14:paraId="2E635E04" w14:textId="77777777">
      <w:r>
        <w:t>在亩产、成本、销量和价格四类冲击之间设置中等强度相关矩阵</w:t>
      </w:r>
    </w:p>
    <w:tbl>
      <w:tblPr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10"/>
        <w:gridCol w:w="1201"/>
      </w:tblGrid>
      <w:tr w14:paraId="3AAC9DF7" w14:textId="77777777"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7C5F" w14:textId="77777777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CF5E224" wp14:editId="2FF18354">
                  <wp:extent cx="1749424" cy="6572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424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15D6" w14:textId="77777777">
            <w:pPr>
              <w:spacing w:before="60" w:after="60"/>
              <w:jc w:val="right"/>
            </w:pPr>
            <w:r>
              <w:rPr>
                <w:rFonts w:ascii="Cambria Math" w:eastAsia="Cambria Math" w:hAnsi="Cambria Math"/>
                <w:sz w:val="20"/>
              </w:rPr>
              <w:t>(10)</w:t>
            </w:r>
          </w:p>
        </w:tc>
      </w:tr>
    </w:tbl>
    <w:p w14:paraId="0B34E3CD" w14:textId="77777777">
      <w:r>
        <w:t>该矩阵最小特征值为</w:t>
      </w:r>
      <w:r>
        <w:t xml:space="preserve"> 0.5832</w:t>
      </w:r>
      <w:r>
        <w:t>，满足正定性。作物按豆类、粮食、蔬菜和食用菌分组，同组相对价格偏离通过弱替代响应影响销量，粮食与豆类之间加入弱互补响应。优化目标和种植约束与第二问相同。</w:t>
      </w:r>
    </w:p>
    <w:p w14:paraId="0713E580" w14:textId="77777777">
      <w:pPr>
        <w:pStyle w:val="21"/>
      </w:pPr>
      <w:r>
        <w:rPr>
          <w:rFonts w:ascii="Times New Roman" w:eastAsia="宋体" w:hAnsi="Times New Roman"/>
        </w:rPr>
        <w:t xml:space="preserve">7.2 </w:t>
      </w:r>
      <w:r>
        <w:rPr>
          <w:rFonts w:ascii="Times New Roman" w:eastAsia="宋体" w:hAnsi="Times New Roman"/>
        </w:rPr>
        <w:t>与第二问方案比较</w:t>
      </w:r>
    </w:p>
    <w:tbl>
      <w:tblPr>
        <w:tblStyle w:val="aff1"/>
        <w:tblW w:w="941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14:paraId="691CF6A1" w14:textId="77777777">
        <w:trPr>
          <w:tblHeader/>
        </w:trPr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118E" w14:textId="77777777">
            <w:pPr>
              <w:spacing w:after="0" w:line="240" w:lineRule="auto"/>
              <w:jc w:val="lef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34F3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Q3</w:t>
            </w:r>
            <w:r>
              <w:rPr>
                <w:b/>
                <w:sz w:val="18"/>
              </w:rPr>
              <w:t>独立方案</w:t>
            </w:r>
          </w:p>
        </w:tc>
        <w:tc>
          <w:tcPr>
            <w:tcW w:w="313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293D" w14:textId="777777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Q2</w:t>
            </w:r>
            <w:r>
              <w:rPr>
                <w:b/>
                <w:sz w:val="18"/>
              </w:rPr>
              <w:t>方案在相关情景下</w:t>
            </w:r>
          </w:p>
        </w:tc>
      </w:tr>
      <w:tr w14:paraId="38DB0C60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66CB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年均利润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万元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273A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6756.33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FB9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6819.68</w:t>
            </w:r>
          </w:p>
        </w:tc>
      </w:tr>
      <w:tr w14:paraId="461D06A8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9591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最差</w:t>
            </w:r>
            <w:r>
              <w:rPr>
                <w:sz w:val="18"/>
              </w:rPr>
              <w:t>10%</w:t>
            </w:r>
            <w:r>
              <w:rPr>
                <w:sz w:val="18"/>
              </w:rPr>
              <w:t>平均利润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万元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BB95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6568.42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3027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6635.30</w:t>
            </w:r>
          </w:p>
        </w:tc>
      </w:tr>
      <w:tr w14:paraId="14B8CEA6" w14:textId="77777777"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479A" w14:textId="77777777">
            <w:pPr>
              <w:spacing w:after="0" w:line="240" w:lineRule="auto"/>
              <w:jc w:val="left"/>
            </w:pPr>
            <w:r>
              <w:rPr>
                <w:sz w:val="18"/>
              </w:rPr>
              <w:t>平均超产率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C05B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59.81%</w:t>
            </w:r>
          </w:p>
        </w:tc>
        <w:tc>
          <w:tcPr>
            <w:tcW w:w="3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1BA1" w14:textId="77777777">
            <w:pPr>
              <w:spacing w:after="0" w:line="240" w:lineRule="auto"/>
              <w:jc w:val="center"/>
            </w:pPr>
            <w:r>
              <w:rPr>
                <w:sz w:val="18"/>
              </w:rPr>
              <w:t>58.03%</w:t>
            </w:r>
          </w:p>
        </w:tc>
      </w:tr>
    </w:tbl>
    <w:p w14:paraId="10DC8402" w14:textId="77777777">
      <w:r>
        <w:lastRenderedPageBreak/>
        <w:t xml:space="preserve">Q3 </w:t>
      </w:r>
      <w:r>
        <w:t>方案年均利润低</w:t>
      </w:r>
      <w:r>
        <w:t xml:space="preserve"> 63.35 </w:t>
      </w:r>
      <w:r>
        <w:t>万元，最差</w:t>
      </w:r>
      <w:r>
        <w:t xml:space="preserve"> 10% </w:t>
      </w:r>
      <w:r>
        <w:t>平均利润低</w:t>
      </w:r>
      <w:r>
        <w:t xml:space="preserve"> 66.89 </w:t>
      </w:r>
      <w:r>
        <w:t>万元；两方案面积重合度为</w:t>
      </w:r>
      <w:r>
        <w:t xml:space="preserve"> 42.65%</w:t>
      </w:r>
      <w:r>
        <w:t>。最大</w:t>
      </w:r>
      <w:r>
        <w:t xml:space="preserve"> MIP gap </w:t>
      </w:r>
      <w:r>
        <w:t>为</w:t>
      </w:r>
      <w:r>
        <w:t xml:space="preserve"> 3.63%</w:t>
      </w:r>
      <w:r>
        <w:t>，硬约束检查全部通过。</w:t>
      </w:r>
    </w:p>
    <w:p w14:paraId="76C10210" w14:textId="77777777">
      <w:pPr>
        <w:spacing w:before="100" w:after="60"/>
        <w:jc w:val="center"/>
      </w:pPr>
      <w:r>
        <w:rPr>
          <w:noProof/>
        </w:rPr>
        <w:drawing>
          <wp:inline distT="0" distB="0" distL="0" distR="0" wp14:anchorId="5F47F7EB" wp14:editId="66FEDA5F">
            <wp:extent cx="5688000" cy="3293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relationship_robust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08A3" w14:textId="77777777">
      <w:pPr>
        <w:ind w:firstLine="0"/>
        <w:jc w:val="center"/>
      </w:pPr>
      <w:r>
        <w:rPr>
          <w:rFonts w:eastAsia="黑体"/>
          <w:b/>
          <w:sz w:val="19"/>
        </w:rPr>
        <w:t>图</w:t>
      </w:r>
      <w:r>
        <w:rPr>
          <w:rFonts w:eastAsia="黑体"/>
          <w:b/>
          <w:sz w:val="19"/>
        </w:rPr>
        <w:t>3</w:t>
      </w:r>
      <w:r>
        <w:rPr>
          <w:sz w:val="19"/>
        </w:rPr>
        <w:t xml:space="preserve"> </w:t>
      </w:r>
      <w:r>
        <w:rPr>
          <w:sz w:val="19"/>
        </w:rPr>
        <w:t>三档相关强度和三个新随机种子下，</w:t>
      </w:r>
      <w:r>
        <w:rPr>
          <w:sz w:val="19"/>
        </w:rPr>
        <w:t xml:space="preserve">Q3−Q2 </w:t>
      </w:r>
      <w:r>
        <w:rPr>
          <w:sz w:val="19"/>
        </w:rPr>
        <w:t>平均利润差均为负，约为</w:t>
      </w:r>
      <w:r>
        <w:rPr>
          <w:sz w:val="19"/>
        </w:rPr>
        <w:t xml:space="preserve"> -62.67 </w:t>
      </w:r>
      <w:r>
        <w:rPr>
          <w:sz w:val="19"/>
        </w:rPr>
        <w:t>至</w:t>
      </w:r>
      <w:r>
        <w:rPr>
          <w:sz w:val="19"/>
        </w:rPr>
        <w:t xml:space="preserve"> -60.88 </w:t>
      </w:r>
      <w:r>
        <w:rPr>
          <w:sz w:val="19"/>
        </w:rPr>
        <w:t>万元。</w:t>
      </w:r>
      <w:r>
        <w:rPr>
          <w:sz w:val="19"/>
        </w:rPr>
        <w:t xml:space="preserve">Q3 </w:t>
      </w:r>
      <w:r>
        <w:rPr>
          <w:sz w:val="19"/>
        </w:rPr>
        <w:t>固定方案平均利润的相对极差为</w:t>
      </w:r>
      <w:r>
        <w:rPr>
          <w:sz w:val="19"/>
        </w:rPr>
        <w:t xml:space="preserve"> 0.356%</w:t>
      </w:r>
      <w:r>
        <w:rPr>
          <w:sz w:val="19"/>
        </w:rPr>
        <w:t>。</w:t>
      </w:r>
    </w:p>
    <w:p w14:paraId="6F4D338C" w14:textId="77777777">
      <w:r>
        <w:t>因此，相关结构确实改变了种植组合，但当前模拟设定下的独立</w:t>
      </w:r>
      <w:r>
        <w:t xml:space="preserve"> Q3 </w:t>
      </w:r>
      <w:r>
        <w:t>方案没有提高收益或下行表现。本文保留该方案以完整回答第三问，同时将第二问方案作为明确对照。式（</w:t>
      </w:r>
      <w:r>
        <w:t>10</w:t>
      </w:r>
      <w:r>
        <w:t>）和替代、互补响应均为模拟设定，不能解释为观测估计或因果关系。</w:t>
      </w:r>
    </w:p>
    <w:p w14:paraId="7FBF75FF" w14:textId="77777777">
      <w:pPr>
        <w:pStyle w:val="1"/>
      </w:pPr>
      <w:r>
        <w:rPr>
          <w:rFonts w:ascii="Times New Roman" w:eastAsia="宋体" w:hAnsi="Times New Roman"/>
        </w:rPr>
        <w:t xml:space="preserve">8 </w:t>
      </w:r>
      <w:r>
        <w:rPr>
          <w:rFonts w:ascii="Times New Roman" w:eastAsia="宋体" w:hAnsi="Times New Roman"/>
        </w:rPr>
        <w:t>稳健性、模型评价与局限</w:t>
      </w:r>
    </w:p>
    <w:p w14:paraId="6F1EA674" w14:textId="77777777">
      <w:pPr>
        <w:pStyle w:val="21"/>
      </w:pPr>
      <w:r>
        <w:rPr>
          <w:rFonts w:ascii="Times New Roman" w:eastAsia="宋体" w:hAnsi="Times New Roman"/>
        </w:rPr>
        <w:t xml:space="preserve">8.1 </w:t>
      </w:r>
      <w:r>
        <w:rPr>
          <w:rFonts w:ascii="Times New Roman" w:eastAsia="宋体" w:hAnsi="Times New Roman"/>
        </w:rPr>
        <w:t>稳健性结论</w:t>
      </w:r>
    </w:p>
    <w:p w14:paraId="05E4A2DC" w14:textId="77777777">
      <w:r>
        <w:t>第一问对预期销量进行</w:t>
      </w:r>
      <w:r>
        <w:t xml:space="preserve"> ±5% </w:t>
      </w:r>
      <w:r>
        <w:t>扰动。主方案在三档销量下均远低于贪心基线，但销量下降</w:t>
      </w:r>
      <w:r>
        <w:t xml:space="preserve"> 5% </w:t>
      </w:r>
      <w:r>
        <w:t>时超产率为</w:t>
      </w:r>
      <w:r>
        <w:t xml:space="preserve"> 10.12%</w:t>
      </w:r>
      <w:r>
        <w:t>，略高于预设</w:t>
      </w:r>
      <w:r>
        <w:t xml:space="preserve"> 10% </w:t>
      </w:r>
      <w:r>
        <w:t>阈值，因此判定为条件性稳健。第二问使用五个新随机种子，每个种子生成</w:t>
      </w:r>
      <w:r>
        <w:t xml:space="preserve"> 100 </w:t>
      </w:r>
      <w:r>
        <w:t>个独立情景；平均利润和下行利润的相对基线增量均为正。第三问使用三档相关强度和三个新随机种子，九组比较均保持</w:t>
      </w:r>
      <w:r>
        <w:t xml:space="preserve"> Q3 </w:t>
      </w:r>
      <w:r>
        <w:t>方案利润低于</w:t>
      </w:r>
      <w:r>
        <w:t xml:space="preserve"> Q2 </w:t>
      </w:r>
      <w:r>
        <w:t>的方向。</w:t>
      </w:r>
    </w:p>
    <w:p w14:paraId="2F4888FF" w14:textId="77777777">
      <w:pPr>
        <w:pStyle w:val="21"/>
      </w:pPr>
      <w:r>
        <w:rPr>
          <w:rFonts w:ascii="Times New Roman" w:eastAsia="宋体" w:hAnsi="Times New Roman"/>
        </w:rPr>
        <w:t xml:space="preserve">8.2 </w:t>
      </w:r>
      <w:r>
        <w:rPr>
          <w:rFonts w:ascii="Times New Roman" w:eastAsia="宋体" w:hAnsi="Times New Roman"/>
        </w:rPr>
        <w:t>模型优点</w:t>
      </w:r>
    </w:p>
    <w:p w14:paraId="0CBC6586" w14:textId="77777777">
      <w:r>
        <w:t>模型在同一框架中表达了六类土地、季次模式、轮作、豆类覆盖、销量上限和经营可实施性。滚动窗口降低了全周期</w:t>
      </w:r>
      <w:r>
        <w:t xml:space="preserve"> MILP </w:t>
      </w:r>
      <w:r>
        <w:t>的求解压力，独立约束检查器保证输出方案满足硬约束。第二、三问采用相同收益口径和可比基线，避免把情景结构变化与约束变化混为一谈。</w:t>
      </w:r>
    </w:p>
    <w:p w14:paraId="328F72B6" w14:textId="77777777">
      <w:pPr>
        <w:pStyle w:val="21"/>
      </w:pPr>
      <w:r>
        <w:rPr>
          <w:rFonts w:ascii="Times New Roman" w:eastAsia="宋体" w:hAnsi="Times New Roman"/>
        </w:rPr>
        <w:t xml:space="preserve">8.3 </w:t>
      </w:r>
      <w:r>
        <w:rPr>
          <w:rFonts w:ascii="Times New Roman" w:eastAsia="宋体" w:hAnsi="Times New Roman"/>
        </w:rPr>
        <w:t>局限性</w:t>
      </w:r>
    </w:p>
    <w:p w14:paraId="44309053" w14:textId="77777777">
      <w:r>
        <w:t>第一，</w:t>
      </w:r>
      <w:r>
        <w:t xml:space="preserve">2023 </w:t>
      </w:r>
      <w:r>
        <w:t>年产量只是预期销量代理，无法替代真实市场需求数据。第二，智慧大棚第一季缺少独立经济参数，复用第二季参数可能改变作物排序。第三，第一问部分窗口的最优性缺口较高，结果</w:t>
      </w:r>
      <w:r>
        <w:lastRenderedPageBreak/>
        <w:t>只能视为可行近似。第四，第二问的概率分布和第三问的相关、替代、互补参数均为题面范围内模拟，不能外推为统计规律。第五，新随机种子的稳健性分析评价固定方案，没有在每个样本上重新优化。</w:t>
      </w:r>
    </w:p>
    <w:p w14:paraId="161DA2B0" w14:textId="77777777">
      <w:pPr>
        <w:pStyle w:val="1"/>
      </w:pPr>
      <w:r>
        <w:rPr>
          <w:rFonts w:ascii="Times New Roman" w:eastAsia="宋体" w:hAnsi="Times New Roman"/>
        </w:rPr>
        <w:t xml:space="preserve">9 </w:t>
      </w:r>
      <w:r>
        <w:rPr>
          <w:rFonts w:ascii="Times New Roman" w:eastAsia="宋体" w:hAnsi="Times New Roman"/>
        </w:rPr>
        <w:t>结论</w:t>
      </w:r>
    </w:p>
    <w:p w14:paraId="09F6E7F2" w14:textId="77777777">
      <w:r>
        <w:t>本文给出了</w:t>
      </w:r>
      <w:r>
        <w:t xml:space="preserve"> 2024—2030 </w:t>
      </w:r>
      <w:r>
        <w:t>年完整种植策略。第一问在滞销规则下把基准超产率控制到</w:t>
      </w:r>
      <w:r>
        <w:t xml:space="preserve"> 6.83%</w:t>
      </w:r>
      <w:r>
        <w:t>，但该指标对销量下降具有边界敏感性；在半价销售规则下，方案年均利润为</w:t>
      </w:r>
      <w:r>
        <w:t xml:space="preserve"> 6141.21 </w:t>
      </w:r>
      <w:r>
        <w:t>万元。第二问的风险平衡方案年均利润为</w:t>
      </w:r>
      <w:r>
        <w:t xml:space="preserve"> 6820.61 </w:t>
      </w:r>
      <w:r>
        <w:t>万元，并在五个新随机种子下保持对均值参数基线的小幅正改进。第三问在模拟相关结构下得到年均利润</w:t>
      </w:r>
      <w:r>
        <w:t xml:space="preserve"> 6756.33 </w:t>
      </w:r>
      <w:r>
        <w:t>万元的独立方案，但它没有优于第二问方案。</w:t>
      </w:r>
    </w:p>
    <w:p w14:paraId="602CF69E" w14:textId="77777777">
      <w:r>
        <w:t>由此可见，市场不确定性和相关结构需要进入种植决策，但更复杂的依赖结构并不自动带来更高收益。实际应用时，应优先补充分季大棚经济数据和多年销量记录，再重新估计场景分布并更新滚动方案。</w:t>
      </w:r>
    </w:p>
    <w:p w14:paraId="37FE0515" w14:textId="77777777">
      <w:pPr>
        <w:pStyle w:val="1"/>
      </w:pPr>
      <w:r>
        <w:rPr>
          <w:rFonts w:ascii="Times New Roman" w:eastAsia="宋体" w:hAnsi="Times New Roman"/>
        </w:rPr>
        <w:t>参考文献</w:t>
      </w:r>
    </w:p>
    <w:p w14:paraId="2715CFDF" w14:textId="77777777">
      <w:pPr>
        <w:spacing w:after="80"/>
        <w:ind w:left="420" w:hanging="420"/>
      </w:pPr>
      <w:r>
        <w:rPr>
          <w:sz w:val="19"/>
        </w:rPr>
        <w:t xml:space="preserve">[1] </w:t>
      </w:r>
      <w:r>
        <w:rPr>
          <w:sz w:val="19"/>
        </w:rPr>
        <w:t>全国大学生数学建模竞赛组委会</w:t>
      </w:r>
      <w:r>
        <w:rPr>
          <w:sz w:val="19"/>
        </w:rPr>
        <w:t>. 2024</w:t>
      </w:r>
      <w:r>
        <w:rPr>
          <w:sz w:val="19"/>
        </w:rPr>
        <w:t>年高教社杯全国大学生数学建模竞赛</w:t>
      </w:r>
      <w:r>
        <w:rPr>
          <w:sz w:val="19"/>
        </w:rPr>
        <w:t>C</w:t>
      </w:r>
      <w:r>
        <w:rPr>
          <w:sz w:val="19"/>
        </w:rPr>
        <w:t>题：农作物的种植策略</w:t>
      </w:r>
      <w:r>
        <w:rPr>
          <w:sz w:val="19"/>
        </w:rPr>
        <w:t>[R]. 2024.</w:t>
      </w:r>
    </w:p>
    <w:p w14:paraId="0AD45E4E" w14:textId="77777777">
      <w:pPr>
        <w:spacing w:after="80"/>
        <w:ind w:left="420" w:hanging="420"/>
      </w:pPr>
      <w:r>
        <w:rPr>
          <w:sz w:val="19"/>
        </w:rPr>
        <w:t>[2] Detlefsen N, Jensen A L. Modelling optimal crop sequences using network flows[J]. Agricultural Systems, 2007, 94: 566–572. DOI: 10.1016/j.agsy.2007.02.002.</w:t>
      </w:r>
    </w:p>
    <w:p w14:paraId="103283F8" w14:textId="77777777">
      <w:pPr>
        <w:spacing w:after="80"/>
        <w:ind w:left="420" w:hanging="420"/>
      </w:pPr>
      <w:r>
        <w:rPr>
          <w:sz w:val="19"/>
        </w:rPr>
        <w:t>[3] Rockafellar R T, Uryasev S. Optimization of conditional value-at-risk[J]. The Journal of Risk, 2000, 2(3): 21–41. DOI: 10.21314/JOR.2000.038.</w:t>
      </w:r>
    </w:p>
    <w:p w14:paraId="7CFD8C52" w14:textId="77777777">
      <w:pPr>
        <w:spacing w:after="80"/>
        <w:ind w:left="420" w:hanging="420"/>
      </w:pPr>
      <w:r>
        <w:rPr>
          <w:sz w:val="19"/>
        </w:rPr>
        <w:t>[4] Filippi C, Mansini R, Stevanato E. Mixed integer linear programming models for optimal crop selection[J]. Computers &amp; Operations Research, 2017, 81: 26–39. DOI: 10.1016/j.cor.2016.12.004.</w:t>
      </w:r>
    </w:p>
    <w:p w14:paraId="25FD0DB7" w14:textId="77777777">
      <w:pPr>
        <w:spacing w:after="80"/>
        <w:ind w:left="420" w:hanging="420"/>
      </w:pPr>
      <w:r>
        <w:rPr>
          <w:sz w:val="19"/>
        </w:rPr>
        <w:t>[5] Huangfu Q, Hall J A J. Parallelizing the dual revised simplex method[J]. Mathematical Programming Computation, 2018, 10(1): 119–142. DOI: 10.1007/s12532-017-0130-5.</w:t>
      </w:r>
    </w:p>
    <w:sectPr>
      <w:headerReference w:type="default" r:id="rId21"/>
      <w:footerReference w:type="default" r:id="rId22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5EF0" w14:textId="77777777">
      <w:pPr>
        <w:spacing w:after="0" w:line="240" w:lineRule="auto"/>
      </w:pPr>
      <w:r>
        <w:separator/>
      </w:r>
    </w:p>
  </w:endnote>
  <w:endnote w:type="continuationSeparator" w:id="0">
    <w:p w14:paraId="1ABE0C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AE22" w14:textId="77777777">
    <w:pPr>
      <w:pStyle w:val="a7"/>
      <w:jc w:val="center"/>
    </w:pPr>
    <w:r>
      <w:rPr>
        <w:color w:val="666666"/>
        <w:sz w:val="18"/>
      </w:rPr>
      <w:t xml:space="preserve">—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8E09" w14:textId="77777777">
      <w:pPr>
        <w:spacing w:after="0" w:line="240" w:lineRule="auto"/>
      </w:pPr>
      <w:r>
        <w:separator/>
      </w:r>
    </w:p>
  </w:footnote>
  <w:footnote w:type="continuationSeparator" w:id="0">
    <w:p w14:paraId="4CC6F8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3421E" w14:textId="77777777">
    <w:pPr>
      <w:pStyle w:val="a5"/>
      <w:pBdr>
        <w:bottom w:val="single" w:sz="6" w:space="2" w:color="D9E2F3"/>
      </w:pBdr>
      <w:jc w:val="right"/>
    </w:pPr>
    <w:r>
      <w:rPr>
        <w:color w:val="666666"/>
        <w:sz w:val="17"/>
      </w:rPr>
      <w:t>2024</w:t>
    </w:r>
    <w:r>
      <w:rPr>
        <w:color w:val="666666"/>
        <w:sz w:val="17"/>
      </w:rPr>
      <w:t>年全国大学生数学建模竞赛</w:t>
    </w:r>
    <w:r>
      <w:rPr>
        <w:color w:val="666666"/>
        <w:sz w:val="17"/>
      </w:rPr>
      <w:t xml:space="preserve"> · C</w:t>
    </w:r>
    <w:r>
      <w:rPr>
        <w:color w:val="666666"/>
        <w:sz w:val="17"/>
      </w:rPr>
      <w:t>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718115">
    <w:abstractNumId w:val="8"/>
  </w:num>
  <w:num w:numId="2" w16cid:durableId="798718477">
    <w:abstractNumId w:val="6"/>
  </w:num>
  <w:num w:numId="3" w16cid:durableId="1145201046">
    <w:abstractNumId w:val="5"/>
  </w:num>
  <w:num w:numId="4" w16cid:durableId="1403481220">
    <w:abstractNumId w:val="4"/>
  </w:num>
  <w:num w:numId="5" w16cid:durableId="32073115">
    <w:abstractNumId w:val="7"/>
  </w:num>
  <w:num w:numId="6" w16cid:durableId="672563131">
    <w:abstractNumId w:val="3"/>
  </w:num>
  <w:num w:numId="7" w16cid:durableId="580144003">
    <w:abstractNumId w:val="2"/>
  </w:num>
  <w:num w:numId="8" w16cid:durableId="2143190231">
    <w:abstractNumId w:val="1"/>
  </w:num>
  <w:num w:numId="9" w16cid:durableId="179779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DED"/>
    <w:rsid w:val="00326F90"/>
    <w:rsid w:val="00AA1D8D"/>
    <w:rsid w:val="00B47730"/>
    <w:rsid w:val="00C37F09"/>
    <w:rsid w:val="00C877A0"/>
    <w:rsid w:val="00CB0664"/>
    <w:rsid w:val="00EC6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F757AB"/>
  <w14:defaultImageDpi w14:val="300"/>
  <w15:docId w15:val="{07E8A74E-F9D2-4DA0-951F-FFAE987C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  <w:ind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90" w:lineRule="auto"/>
      <w:ind w:left="539" w:hanging="278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90" w:lineRule="auto"/>
      <w:ind w:left="539" w:hanging="278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2381</Words>
  <Characters>3096</Characters>
  <Application>Microsoft Office Word</Application>
  <DocSecurity>0</DocSecurity>
  <Lines>154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基于滚动随机混合整数规划的农作物种植策略</dc:title>
  <dc:subject>2024年全国大学生数学建模竞赛C题：农作物的种植策略</dc:subject>
  <dc:creator/>
  <cp:keywords>种植规划, 混合整数线性规划, 滚动优化, 情景分析, CVaR</cp:keywords>
  <dc:description>Generated from verified modeling artifacts.</dc:description>
  <cp:lastModifiedBy/>
  <cp:revision>2</cp:revision>
  <dcterms:created xsi:type="dcterms:W3CDTF">2013-12-23T23:15:00Z</dcterms:created>
  <dcterms:modified xsi:type="dcterms:W3CDTF">2026-09-02T17:21:00Z</dcterms:modified>
  <cp:category/>
</cp:coreProperties>
</file>