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27.png" ContentType="image/png"/>
  <Override PartName="/word/media/rId31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</w:t>
      </w:r>
    </w:p>
    <w:p>
      <w:pPr>
        <w:pStyle w:val="Subtitle"/>
      </w:pPr>
      <w:r>
        <w:t xml:space="preserve">Установка и конфигурация операционной системы на виртуальную машину</w:t>
      </w:r>
    </w:p>
    <w:p>
      <w:pPr>
        <w:pStyle w:val="Author"/>
      </w:pPr>
      <w:r>
        <w:t xml:space="preserve">Ко Антон 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рабочее пространство для лабораторных работ, приобрести практические навыки</w:t>
      </w:r>
      <w:r>
        <w:t xml:space="preserve"> </w:t>
      </w:r>
      <w:r>
        <w:t xml:space="preserve">установки операционной системы на виртуальную машину и настройки минимально необходимых для дальнейшей работы сервисов.</w:t>
      </w:r>
      <w:r>
        <w:t xml:space="preserve"> </w:t>
      </w:r>
      <w:r>
        <w:t xml:space="preserve">Изучить идеологию и применение средств контроля версий, освоить умения по работе с git.</w:t>
      </w:r>
      <w:r>
        <w:t xml:space="preserve"> </w:t>
      </w: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Oracle VM VirtualBox</w:t>
      </w:r>
      <w:r>
        <w:t xml:space="preserve"> </w:t>
      </w:r>
      <w:r>
        <w:t xml:space="preserve">— это мощная и бесплатная виртуализационная платформа, разработанная корпорацией Oracle, которая позволяет пользователям создавать и управлять виртуальными машинами на своих компьютерах. [1]</w:t>
      </w:r>
    </w:p>
    <w:p>
      <w:pPr>
        <w:pStyle w:val="BodyText"/>
      </w:pPr>
      <w:r>
        <w:rPr>
          <w:b/>
          <w:bCs/>
        </w:rPr>
        <w:t xml:space="preserve">Системы контроля версий (Version Control System, VCS)</w:t>
      </w:r>
      <w:r>
        <w:t xml:space="preserve"> </w:t>
      </w:r>
      <w:r>
        <w:t xml:space="preserve">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требуется. [2]</w:t>
      </w:r>
    </w:p>
    <w:p>
      <w:pPr>
        <w:pStyle w:val="BodyText"/>
      </w:pPr>
      <w:r>
        <w:t xml:space="preserve">В классических системах контроля версий используется централизованная модель,</w:t>
      </w:r>
      <w:r>
        <w:t xml:space="preserve"> </w:t>
      </w:r>
      <w:r>
        <w:t xml:space="preserve">предполагающая наличие единого репозитория для хранения файлов. Выполнение большинства функций по управлению версиями осуществляется специальным сервером.</w:t>
      </w:r>
      <w:r>
        <w:t xml:space="preserve"> </w:t>
      </w:r>
      <w:r>
        <w:t xml:space="preserve">Участник проекта (пользователь) перед началом работы посредством определённых</w:t>
      </w:r>
      <w:r>
        <w:t xml:space="preserve"> </w:t>
      </w:r>
      <w:r>
        <w:t xml:space="preserve">команд получает нужную ему версию файлов. После внесения изменений, пользователь</w:t>
      </w:r>
      <w:r>
        <w:t xml:space="preserve"> </w:t>
      </w:r>
      <w:r>
        <w:t xml:space="preserve">размещает новую версию в хранилище. При этом предыдущие версии не удаляются</w:t>
      </w:r>
      <w:r>
        <w:t xml:space="preserve"> </w:t>
      </w:r>
      <w:r>
        <w:t xml:space="preserve">из центрального хранилища и к ним можно вернуться в любой момент. Сервер может</w:t>
      </w:r>
      <w:r>
        <w:t xml:space="preserve"> </w:t>
      </w:r>
      <w:r>
        <w:t xml:space="preserve">сохранять не полную версию изменённых файлов, а производить так называемую дельта-компрессию — сохранять только изменения между последовательными версиями, что</w:t>
      </w:r>
      <w:r>
        <w:t xml:space="preserve"> </w:t>
      </w:r>
      <w:r>
        <w:t xml:space="preserve">позволяет уменьшить объём хранимых данных.</w:t>
      </w:r>
    </w:p>
    <w:p>
      <w:pPr>
        <w:pStyle w:val="BodyText"/>
      </w:pPr>
      <w:r>
        <w:t xml:space="preserve">Системы контроля версий поддерживают возможность отслеживания и разрешения</w:t>
      </w:r>
      <w:r>
        <w:t xml:space="preserve"> </w:t>
      </w:r>
      <w:r>
        <w:t xml:space="preserve">конфликтов, которые могут возникнуть при работе нескольких человек над одним</w:t>
      </w:r>
      <w:r>
        <w:t xml:space="preserve"> </w:t>
      </w:r>
      <w:r>
        <w:t xml:space="preserve">файлом. Можно объединить (слить) изменения, сделанные разными участниками (автоматически или вручную), вручную выбрать нужную версию, отменить изменения вовсе</w:t>
      </w:r>
      <w:r>
        <w:t xml:space="preserve"> </w:t>
      </w:r>
      <w:r>
        <w:t xml:space="preserve">или заблокировать файлы для изменения. В зависимости от настроек блокировка не</w:t>
      </w:r>
      <w:r>
        <w:t xml:space="preserve"> </w:t>
      </w:r>
      <w:r>
        <w:t xml:space="preserve">позволяет другим пользователям получить рабочую копию или препятствует изменению</w:t>
      </w:r>
      <w:r>
        <w:t xml:space="preserve"> </w:t>
      </w:r>
      <w:r>
        <w:t xml:space="preserve">рабочей копии файла средствами файловой системы ОС, обеспечивая таким образом,</w:t>
      </w:r>
      <w:r>
        <w:t xml:space="preserve"> </w:t>
      </w:r>
      <w:r>
        <w:t xml:space="preserve">привилегированный доступ только одному пользователю, работающему с файлом.</w:t>
      </w:r>
    </w:p>
    <w:p>
      <w:pPr>
        <w:pStyle w:val="BodyText"/>
      </w:pPr>
      <w:r>
        <w:t xml:space="preserve">Системы контроля версий также могут обеспечивать дополнительные, более гибкие</w:t>
      </w:r>
      <w:r>
        <w:t xml:space="preserve"> </w:t>
      </w:r>
      <w:r>
        <w:t xml:space="preserve">функциональные возможности. Например, они могут поддерживать работу с несколькими версиями одного файла, сохраняя общую историю изменений до точки ветвления</w:t>
      </w:r>
      <w:r>
        <w:t xml:space="preserve"> </w:t>
      </w:r>
      <w:r>
        <w:t xml:space="preserve">версий и собственные истории изменений каждой ветви. Кроме того, обычно доступна</w:t>
      </w:r>
      <w:r>
        <w:t xml:space="preserve"> </w:t>
      </w:r>
      <w:r>
        <w:t xml:space="preserve">информация о том, кто из участников, когда и какие изменения вносил. Обычно такого</w:t>
      </w:r>
      <w:r>
        <w:t xml:space="preserve"> </w:t>
      </w:r>
      <w:r>
        <w:t xml:space="preserve">рода информация хранится в журнале изменений, доступ к которому можно ограничить.</w:t>
      </w:r>
    </w:p>
    <w:p>
      <w:pPr>
        <w:pStyle w:val="BodyText"/>
      </w:pPr>
      <w:r>
        <w:t xml:space="preserve">В отличие от классических, в распределённых системах контроля версий центральный</w:t>
      </w:r>
      <w:r>
        <w:t xml:space="preserve"> </w:t>
      </w:r>
      <w:r>
        <w:t xml:space="preserve">репозиторий не является обязательным.</w:t>
      </w:r>
    </w:p>
    <w:p>
      <w:pPr>
        <w:pStyle w:val="BodyText"/>
      </w:pPr>
      <w:r>
        <w:t xml:space="preserve">Среди классических VCS наиболее известны CVS, Subversion, а среди распределённых — Git, Bazaar, Mercurial. Принципы их работы схожи, отличаются они в основном</w:t>
      </w:r>
      <w:r>
        <w:t xml:space="preserve"> </w:t>
      </w:r>
      <w:r>
        <w:t xml:space="preserve">синтаксисом используемых в работе команд.</w:t>
      </w:r>
    </w:p>
    <w:p>
      <w:pPr>
        <w:pStyle w:val="BodyText"/>
      </w:pPr>
      <w:r>
        <w:t xml:space="preserve">Примеры команд для Git: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Название команды</w:t>
            </w:r>
          </w:p>
        </w:tc>
        <w:tc>
          <w:tcPr/>
          <w:p>
            <w:pPr>
              <w:pStyle w:val="Compact"/>
            </w:pPr>
            <w:r>
              <w:t xml:space="preserve">Описание команды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git clone</w:t>
            </w:r>
          </w:p>
        </w:tc>
        <w:tc>
          <w:tcPr/>
          <w:p>
            <w:pPr>
              <w:pStyle w:val="Compact"/>
            </w:pPr>
            <w:r>
              <w:t xml:space="preserve">Клонирование репозитория на ПК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git commit -m "Initial Commit"</w:t>
            </w:r>
          </w:p>
        </w:tc>
        <w:tc>
          <w:tcPr/>
          <w:p>
            <w:pPr>
              <w:pStyle w:val="Compact"/>
            </w:pPr>
            <w:r>
              <w:t xml:space="preserve">Оставление коммита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git push</w:t>
            </w:r>
          </w:p>
        </w:tc>
        <w:tc>
          <w:tcPr/>
          <w:p>
            <w:pPr>
              <w:pStyle w:val="Compact"/>
            </w:pPr>
            <w:r>
              <w:t xml:space="preserve">Загрузка изменений на гит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make</w:t>
            </w:r>
          </w:p>
        </w:tc>
        <w:tc>
          <w:tcPr/>
          <w:p>
            <w:pPr>
              <w:pStyle w:val="Compact"/>
            </w:pPr>
            <w:r>
              <w:t xml:space="preserve">Конвертация файла .md</w:t>
            </w:r>
          </w:p>
        </w:tc>
      </w:tr>
    </w:tbl>
    <w:p>
      <w:pPr>
        <w:pStyle w:val="BodyText"/>
      </w:pPr>
      <w:r>
        <w:rPr>
          <w:b/>
          <w:bCs/>
        </w:rPr>
        <w:t xml:space="preserve">Markdown</w:t>
      </w:r>
      <w:r>
        <w:t xml:space="preserve"> </w:t>
      </w:r>
      <w:r>
        <w:t xml:space="preserve">- это легковесный язык разметки, который широко используется для создания форматированного текста в веб-среде. Его простота и читаемость делают его популярным среди разработчиков, писателей и блогеров. Синтаксис Markdown состоит из простых символов и правил форматирования, которые позволяют создавать заголовки, списки, ссылки, изображения и другие элементы веб-страниц без необходимости использовать сложные HTML-теги. Он также легко читается в исходном виде и может быть конвертирован в различные форматы, такие как HTML, PDF или документы Microsoft Word, делая Markdown удобным инструментом для создания содержательного и красочного контента в интернете. [3]</w:t>
      </w:r>
    </w:p>
    <w:bookmarkEnd w:id="21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настройка-рабочего-пространств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рабочего пространства</w:t>
      </w:r>
    </w:p>
    <w:bookmarkStart w:id="25" w:name="fig:001"/>
    <w:p>
      <w:pPr>
        <w:pStyle w:val="CaptionedFigure"/>
      </w:pPr>
      <w:r>
        <w:drawing>
          <wp:inline>
            <wp:extent cx="5334000" cy="2832113"/>
            <wp:effectExtent b="0" l="0" r="0" t="0"/>
            <wp:docPr descr="Рис. 1: (рис. Проверка рабочего пространства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2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(рис. Проверка рабочего пространства)</w:t>
      </w:r>
    </w:p>
    <w:bookmarkEnd w:id="25"/>
    <w:bookmarkEnd w:id="26"/>
    <w:bookmarkStart w:id="35" w:name="Xd300e101f035699741e428a402fa882e2bd8c60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и конфигурация операционной системы на виртуальную машину</w:t>
      </w:r>
    </w:p>
    <w:bookmarkStart w:id="30" w:name="fig:002"/>
    <w:p>
      <w:pPr>
        <w:pStyle w:val="CaptionedFigure"/>
      </w:pPr>
      <w:r>
        <w:drawing>
          <wp:inline>
            <wp:extent cx="5317351" cy="3665284"/>
            <wp:effectExtent b="0" l="0" r="0" t="0"/>
            <wp:docPr descr="Рис. 2: (рис. Общие настройки)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51" cy="366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(рис. Общие настройки)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1253862"/>
            <wp:effectExtent b="0" l="0" r="0" t="0"/>
            <wp:docPr descr="Рис. 3: (рис. Запуск системы)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(рис. Запуск системы)</w:t>
      </w:r>
    </w:p>
    <w:bookmarkEnd w:id="34"/>
    <w:bookmarkEnd w:id="35"/>
    <w:bookmarkStart w:id="64" w:name="домашнее-зада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Домашнее задание</w:t>
      </w:r>
    </w:p>
    <w:bookmarkStart w:id="39" w:name="fig:004"/>
    <w:p>
      <w:pPr>
        <w:pStyle w:val="CaptionedFigure"/>
      </w:pPr>
      <w:r>
        <w:drawing>
          <wp:inline>
            <wp:extent cx="5334000" cy="771501"/>
            <wp:effectExtent b="0" l="0" r="0" t="0"/>
            <wp:docPr descr="Рис. 4: (рис. Версия ядра Linux (Linux version).)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(рис. Версия ядра Linux (Linux version).)</w:t>
      </w:r>
    </w:p>
    <w:bookmarkEnd w:id="39"/>
    <w:bookmarkStart w:id="43" w:name="fig:005"/>
    <w:p>
      <w:pPr>
        <w:pStyle w:val="CaptionedFigure"/>
      </w:pPr>
      <w:r>
        <w:drawing>
          <wp:inline>
            <wp:extent cx="5334000" cy="1205947"/>
            <wp:effectExtent b="0" l="0" r="0" t="0"/>
            <wp:docPr descr="Рис. 5: (рис. Частота процессора (Detected Mhz processor).)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5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(рис. Частота процессора (Detected Mhz processor).)</w:t>
      </w:r>
    </w:p>
    <w:bookmarkEnd w:id="43"/>
    <w:bookmarkStart w:id="47" w:name="fig:006"/>
    <w:p>
      <w:pPr>
        <w:pStyle w:val="CaptionedFigure"/>
      </w:pPr>
      <w:r>
        <w:drawing>
          <wp:inline>
            <wp:extent cx="5334000" cy="471623"/>
            <wp:effectExtent b="0" l="0" r="0" t="0"/>
            <wp:docPr descr="Рис. 6: (рис. Модель процессора (CPU0).)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(рис. Модель процессора (CPU0).)</w:t>
      </w:r>
    </w:p>
    <w:bookmarkEnd w:id="47"/>
    <w:bookmarkStart w:id="51" w:name="fig:007"/>
    <w:p>
      <w:pPr>
        <w:pStyle w:val="CaptionedFigure"/>
      </w:pPr>
      <w:r>
        <w:drawing>
          <wp:inline>
            <wp:extent cx="5334000" cy="662608"/>
            <wp:effectExtent b="0" l="0" r="0" t="0"/>
            <wp:docPr descr="Рис. 7: (рис. Объем доступной оперативной памяти (Memory available).)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(рис. Объем доступной оперативной памяти (Memory available).)</w:t>
      </w:r>
    </w:p>
    <w:bookmarkEnd w:id="51"/>
    <w:bookmarkStart w:id="55" w:name="fig:008"/>
    <w:p>
      <w:pPr>
        <w:pStyle w:val="CaptionedFigure"/>
      </w:pPr>
      <w:r>
        <w:drawing>
          <wp:inline>
            <wp:extent cx="4548947" cy="430305"/>
            <wp:effectExtent b="0" l="0" r="0" t="0"/>
            <wp:docPr descr="Рис. 8: (рис. Тип обнаруженного гипервизора (Hypervisor detected).)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7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(рис. Тип обнаруженного гипервизора (Hypervisor detected).)</w:t>
      </w:r>
    </w:p>
    <w:bookmarkEnd w:id="55"/>
    <w:bookmarkStart w:id="59" w:name="fig:009"/>
    <w:p>
      <w:pPr>
        <w:pStyle w:val="CaptionedFigure"/>
      </w:pPr>
      <w:r>
        <w:drawing>
          <wp:inline>
            <wp:extent cx="5334000" cy="648368"/>
            <wp:effectExtent b="0" l="0" r="0" t="0"/>
            <wp:docPr descr="Рис. 9: (рис. Тип файловой системы корневого раздела.)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(рис. Тип файловой системы корневого раздела.)</w:t>
      </w:r>
    </w:p>
    <w:bookmarkEnd w:id="59"/>
    <w:bookmarkStart w:id="63" w:name="fig:010"/>
    <w:p>
      <w:pPr>
        <w:pStyle w:val="CaptionedFigure"/>
      </w:pPr>
      <w:r>
        <w:drawing>
          <wp:inline>
            <wp:extent cx="4933149" cy="3473183"/>
            <wp:effectExtent b="0" l="0" r="0" t="0"/>
            <wp:docPr descr="Рис. 10: (рис. Последовательность монтирования файловых систем.)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3473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(рис. Последовательность монтирования файловых систем.)</w:t>
      </w:r>
    </w:p>
    <w:bookmarkEnd w:id="63"/>
    <w:p>
      <w:r>
        <w:pict>
          <v:rect style="width:0;height:1.5pt" o:hralign="center" o:hrstd="t" o:hr="t"/>
        </w:pict>
      </w:r>
    </w:p>
    <w:bookmarkEnd w:id="64"/>
    <w:bookmarkStart w:id="70" w:name="ответы-на-контрольные-вопрос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Ответы на контрольные вопросы</w:t>
      </w:r>
    </w:p>
    <w:bookmarkStart w:id="65" w:name="X88660b76c0382acc88f70d81689703453882764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1. Что содержит информация об учетной записи пользователя?</w:t>
      </w:r>
    </w:p>
    <w:p>
      <w:pPr>
        <w:pStyle w:val="Compact"/>
        <w:numPr>
          <w:ilvl w:val="0"/>
          <w:numId w:val="1001"/>
        </w:numPr>
      </w:pPr>
      <w:r>
        <w:t xml:space="preserve">Идентификатор учетной записи пользователя и ее имя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Идентификатор основной группы пользователя и ее название</w:t>
      </w:r>
    </w:p>
    <w:bookmarkEnd w:id="65"/>
    <w:bookmarkStart w:id="66" w:name="основные-команды-linux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2. Основные команды Linux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Справка по команде:</w:t>
      </w:r>
      <w:r>
        <w:br/>
      </w:r>
      <w:r>
        <w:t xml:space="preserve">info</w:t>
      </w:r>
      <w:r>
        <w:t xml:space="preserve"> </w:t>
      </w:r>
      <w:r>
        <w:t xml:space="preserve">“название команды”</w:t>
      </w:r>
      <w:r>
        <w:br/>
      </w:r>
      <w:r>
        <w:t xml:space="preserve">“название команды”</w:t>
      </w:r>
      <w:r>
        <w:t xml:space="preserve"> </w:t>
      </w:r>
      <w:r>
        <w:t xml:space="preserve">–help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Перемещение по файловой системе:</w:t>
      </w:r>
      <w:r>
        <w:br/>
      </w:r>
      <w:r>
        <w:t xml:space="preserve">cd</w:t>
      </w:r>
      <w:r>
        <w:t xml:space="preserve"> </w:t>
      </w:r>
      <w:r>
        <w:t xml:space="preserve">“путь”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Просмотр содержимого каталога:</w:t>
      </w:r>
      <w:r>
        <w:br/>
      </w:r>
      <w:r>
        <w:t xml:space="preserve">ls или dir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Определение объема каталога:</w:t>
      </w:r>
      <w:r>
        <w:br/>
      </w:r>
      <w:r>
        <w:t xml:space="preserve">du -sh</w:t>
      </w:r>
      <w:r>
        <w:t xml:space="preserve"> </w:t>
      </w:r>
      <w:r>
        <w:t xml:space="preserve">“путь”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Создание каталога:</w:t>
      </w:r>
      <w:r>
        <w:br/>
      </w:r>
      <w:r>
        <w:t xml:space="preserve">mkdir</w:t>
      </w:r>
      <w:r>
        <w:t xml:space="preserve"> </w:t>
      </w:r>
      <w:r>
        <w:t xml:space="preserve">“название”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Удаление каталога:</w:t>
      </w:r>
      <w:r>
        <w:br/>
      </w:r>
      <w:r>
        <w:t xml:space="preserve">rmdir</w:t>
      </w:r>
      <w:r>
        <w:t xml:space="preserve"> </w:t>
      </w:r>
      <w:r>
        <w:t xml:space="preserve">“название”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Создание файла:</w:t>
      </w:r>
      <w:r>
        <w:br/>
      </w:r>
      <w:r>
        <w:t xml:space="preserve">touch</w:t>
      </w:r>
      <w:r>
        <w:t xml:space="preserve"> </w:t>
      </w:r>
      <w:r>
        <w:t xml:space="preserve">“название”</w:t>
      </w:r>
      <w:r>
        <w:br/>
      </w:r>
      <w:r>
        <w:t xml:space="preserve">cat &gt;</w:t>
      </w:r>
      <w:r>
        <w:t xml:space="preserve"> </w:t>
      </w:r>
      <w:r>
        <w:t xml:space="preserve">“название”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Удаление файла:</w:t>
      </w:r>
      <w:r>
        <w:br/>
      </w:r>
      <w:r>
        <w:t xml:space="preserve">rm</w:t>
      </w:r>
      <w:r>
        <w:t xml:space="preserve"> </w:t>
      </w:r>
      <w:r>
        <w:t xml:space="preserve">“название”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Изменение прав доступа:</w:t>
      </w:r>
      <w:r>
        <w:br/>
      </w:r>
      <w:r>
        <w:t xml:space="preserve">chmod</w:t>
      </w:r>
      <w:r>
        <w:t xml:space="preserve"> </w:t>
      </w:r>
      <w:r>
        <w:t xml:space="preserve">“права”</w:t>
      </w:r>
      <w:r>
        <w:t xml:space="preserve"> </w:t>
      </w:r>
      <w:r>
        <w:t xml:space="preserve">“файл”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Просмотр истории команд:</w:t>
      </w:r>
      <w:r>
        <w:br/>
      </w:r>
      <w:r>
        <w:t xml:space="preserve">history</w:t>
      </w:r>
    </w:p>
    <w:bookmarkEnd w:id="66"/>
    <w:bookmarkStart w:id="67" w:name="файловые-системы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3. Файловые системы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2376"/>
        <w:gridCol w:w="2376"/>
        <w:gridCol w:w="228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Название</w:t>
            </w:r>
          </w:p>
        </w:tc>
        <w:tc>
          <w:tcPr/>
          <w:p>
            <w:pPr>
              <w:pStyle w:val="Compact"/>
            </w:pPr>
            <w:r>
              <w:t xml:space="preserve">Максимальный размер файла</w:t>
            </w:r>
          </w:p>
        </w:tc>
        <w:tc>
          <w:tcPr/>
          <w:p>
            <w:pPr>
              <w:pStyle w:val="Compact"/>
            </w:pPr>
            <w:r>
              <w:t xml:space="preserve">Максимальное число файлов</w:t>
            </w:r>
          </w:p>
        </w:tc>
        <w:tc>
          <w:tcPr/>
          <w:p>
            <w:pPr>
              <w:pStyle w:val="Compact"/>
            </w:pPr>
            <w:r>
              <w:t xml:space="preserve">Максимальный размер тома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NTFS</w:t>
            </w:r>
          </w:p>
        </w:tc>
        <w:tc>
          <w:tcPr/>
          <w:p>
            <w:pPr>
              <w:pStyle w:val="Compact"/>
            </w:pPr>
            <w:r>
              <w:t xml:space="preserve">2⁶⁴ байт</w:t>
            </w:r>
          </w:p>
        </w:tc>
        <w:tc>
          <w:tcPr/>
          <w:p>
            <w:pPr>
              <w:pStyle w:val="Compact"/>
            </w:pPr>
            <w:r>
              <w:t xml:space="preserve">2³² - 1</w:t>
            </w:r>
          </w:p>
        </w:tc>
        <w:tc>
          <w:tcPr/>
          <w:p>
            <w:pPr>
              <w:pStyle w:val="Compact"/>
            </w:pPr>
            <w:r>
              <w:t xml:space="preserve">256 ТБ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EXT4</w:t>
            </w:r>
          </w:p>
        </w:tc>
        <w:tc>
          <w:tcPr/>
          <w:p>
            <w:pPr>
              <w:pStyle w:val="Compact"/>
            </w:pPr>
            <w:r>
              <w:t xml:space="preserve">2⁴⁴ байт</w:t>
            </w:r>
          </w:p>
        </w:tc>
        <w:tc>
          <w:tcPr/>
          <w:p>
            <w:pPr>
              <w:pStyle w:val="Compact"/>
            </w:pPr>
            <w:r>
              <w:t xml:space="preserve">2³² - 1</w:t>
            </w:r>
          </w:p>
        </w:tc>
        <w:tc>
          <w:tcPr/>
          <w:p>
            <w:pPr>
              <w:pStyle w:val="Compact"/>
            </w:pPr>
            <w:r>
              <w:t xml:space="preserve">1048576 ТБ</w:t>
            </w:r>
          </w:p>
        </w:tc>
      </w:tr>
    </w:tbl>
    <w:bookmarkEnd w:id="67"/>
    <w:bookmarkStart w:id="68" w:name="команда-для-проверки-файловой-системы"/>
    <w:p>
      <w:pPr>
        <w:pStyle w:val="Heading3"/>
      </w:pPr>
      <w:r>
        <w:rPr>
          <w:rStyle w:val="SectionNumber"/>
        </w:rPr>
        <w:t xml:space="preserve">3.4.4</w:t>
      </w:r>
      <w:r>
        <w:tab/>
      </w:r>
      <w:r>
        <w:t xml:space="preserve">4. Команда для проверки файловой системы</w:t>
      </w:r>
    </w:p>
    <w:p>
      <w:pPr>
        <w:pStyle w:val="FirstParagraph"/>
      </w:pPr>
      <w:r>
        <w:t xml:space="preserve">dmesg | grep</w:t>
      </w:r>
      <w:r>
        <w:t xml:space="preserve"> </w:t>
      </w:r>
      <w:r>
        <w:t xml:space="preserve">“filesystem”</w:t>
      </w:r>
    </w:p>
    <w:bookmarkEnd w:id="68"/>
    <w:bookmarkStart w:id="69" w:name="команда-для-завершения-процесса"/>
    <w:p>
      <w:pPr>
        <w:pStyle w:val="Heading3"/>
      </w:pPr>
      <w:r>
        <w:rPr>
          <w:rStyle w:val="SectionNumber"/>
        </w:rPr>
        <w:t xml:space="preserve">3.4.5</w:t>
      </w:r>
      <w:r>
        <w:tab/>
      </w:r>
      <w:r>
        <w:t xml:space="preserve">5. Команда для завершения процесса</w:t>
      </w:r>
    </w:p>
    <w:p>
      <w:pPr>
        <w:pStyle w:val="FirstParagraph"/>
      </w:pPr>
      <w:r>
        <w:t xml:space="preserve">pkill</w:t>
      </w:r>
      <w:r>
        <w:t xml:space="preserve"> </w:t>
      </w:r>
      <w:r>
        <w:t xml:space="preserve">“название процесса”</w:t>
      </w:r>
    </w:p>
    <w:p>
      <w:r>
        <w:pict>
          <v:rect style="width:0;height:1.5pt" o:hralign="center" o:hrstd="t" o:hr="t"/>
        </w:pict>
      </w:r>
    </w:p>
    <w:bookmarkEnd w:id="69"/>
    <w:bookmarkEnd w:id="70"/>
    <w:bookmarkEnd w:id="71"/>
    <w:bookmarkStart w:id="72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Было настроено рабочее пространство для лабораторных работ, приобретены практические навыки</w:t>
      </w:r>
      <w:r>
        <w:t xml:space="preserve"> </w:t>
      </w:r>
      <w:r>
        <w:t xml:space="preserve">установки операционной системы на виртуальную машину и настройки минимально необходимых для дальнейшей работы сервисов.</w:t>
      </w:r>
      <w:r>
        <w:t xml:space="preserve"> </w:t>
      </w:r>
      <w:r>
        <w:t xml:space="preserve">Были изучены идеология и применение средств контроля версий, освоены умения по работе с git.</w:t>
      </w:r>
      <w:r>
        <w:t xml:space="preserve"> </w:t>
      </w:r>
      <w:r>
        <w:t xml:space="preserve">Были приобретены практические навыки оформляения отчётов с помощью легковесного языка разметки Markdown.</w:t>
      </w:r>
    </w:p>
    <w:bookmarkEnd w:id="72"/>
    <w:bookmarkStart w:id="73" w:name="список-литературы.-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Virtual Box: https://www.virtualbox.org/wiki/Documentation</w:t>
      </w:r>
    </w:p>
    <w:p>
      <w:pPr>
        <w:pStyle w:val="BodyText"/>
      </w:pPr>
      <w:r>
        <w:t xml:space="preserve">[2] Документация по Git: https://git-scm.com/book/ru/v2</w:t>
      </w:r>
    </w:p>
    <w:p>
      <w:pPr>
        <w:pStyle w:val="BodyText"/>
      </w:pPr>
      <w:r>
        <w:t xml:space="preserve">[3] Документация по Markdown: https://learn.microsoft.com/ru-ru/contribute/markdown-reference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Ко Антон Геннадьевич</dc:creator>
  <dc:language>ru-RU</dc:language>
  <cp:keywords/>
  <dcterms:created xsi:type="dcterms:W3CDTF">2025-02-22T18:14:29Z</dcterms:created>
  <dcterms:modified xsi:type="dcterms:W3CDTF">2025-02-22T18:14:29Z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Arial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Arial</vt:lpwstr>
  </property>
  <property fmtid="{D5CDD505-2E9C-101B-9397-08002B2CF9AE}" pid="63" name="mathfontoptions">
    <vt:lpwstr/>
  </property>
  <property fmtid="{D5CDD505-2E9C-101B-9397-08002B2CF9AE}" pid="64" name="monofont">
    <vt:lpwstr>Arial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Arial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Arial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Установка и конфигурация операционной системы на виртуальную машину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