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Структуры данных</w:t>
      </w:r>
    </w:p>
    <w:p>
      <w:pPr>
        <w:pStyle w:val="Author"/>
      </w:pPr>
      <w:r>
        <w:t xml:space="preserve">Ко Антон Геннадьевич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Julia. Установка и настройка. Основные принципы. Описаны использованные методы, полученные экспериментальные данные и их анализ. 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1. 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p>
      <w:r>
        <w:pict>
          <v:rect style="width:0;height:1.5pt" o:hralign="center" o:hrstd="t" o:hr="t"/>
        </w:pict>
      </w:r>
    </w:p>
    <w:bookmarkEnd w:id="20"/>
    <w:bookmarkStart w:id="106" w:name="выполнение-лабораторной-работы"/>
    <w:p>
      <w:pPr>
        <w:pStyle w:val="Heading2"/>
      </w:pPr>
      <w:r>
        <w:t xml:space="preserve">2 2. 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4318426" cy="4395267"/>
            <wp:effectExtent b="0" l="0" r="0" t="0"/>
            <wp:docPr descr="Примеры кортеж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6" cy="439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кортежей</w:t>
      </w:r>
    </w:p>
    <w:bookmarkEnd w:id="24"/>
    <w:p>
      <w:pPr>
        <w:pStyle w:val="BodyText"/>
      </w:pPr>
      <w:r>
        <w:t xml:space="preserve">Примеры операций над кортежами (рис. #fig:002):</w:t>
      </w:r>
    </w:p>
    <w:bookmarkStart w:id="28" w:name="fig:002"/>
    <w:p>
      <w:pPr>
        <w:pStyle w:val="CaptionedFigure"/>
      </w:pPr>
      <w:r>
        <w:drawing>
          <wp:inline>
            <wp:extent cx="5334000" cy="2176414"/>
            <wp:effectExtent b="0" l="0" r="0" t="0"/>
            <wp:docPr descr="Примеры операций над кортежам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операций над кортежами</w:t>
      </w:r>
    </w:p>
    <w:bookmarkEnd w:id="28"/>
    <w:p>
      <w:pPr>
        <w:pStyle w:val="BodyText"/>
      </w:pPr>
      <w:r>
        <w:t xml:space="preserve">Примеры словарей и операций над ними (рис. #fig:003):</w:t>
      </w:r>
    </w:p>
    <w:bookmarkStart w:id="32" w:name="fig:003"/>
    <w:p>
      <w:pPr>
        <w:pStyle w:val="CaptionedFigure"/>
      </w:pPr>
      <w:r>
        <w:drawing>
          <wp:inline>
            <wp:extent cx="5334000" cy="3600994"/>
            <wp:effectExtent b="0" l="0" r="0" t="0"/>
            <wp:docPr descr="Примеры словарей и операций над ним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словарей и операций над ними</w:t>
      </w:r>
    </w:p>
    <w:bookmarkEnd w:id="32"/>
    <w:p>
      <w:pPr>
        <w:pStyle w:val="BodyText"/>
      </w:pPr>
      <w:r>
        <w:t xml:space="preserve">Примеры множеств и операций над ними (рис. #fig:004 – #fig:005):</w:t>
      </w:r>
    </w:p>
    <w:bookmarkStart w:id="36" w:name="fig:004"/>
    <w:p>
      <w:pPr>
        <w:pStyle w:val="CaptionedFigure"/>
      </w:pPr>
      <w:r>
        <w:drawing>
          <wp:inline>
            <wp:extent cx="5334000" cy="2622795"/>
            <wp:effectExtent b="0" l="0" r="0" t="0"/>
            <wp:docPr descr="Примеры множеств и операций над ним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множеств и операций над ними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3304806"/>
            <wp:effectExtent b="0" l="0" r="0" t="0"/>
            <wp:docPr descr="Примеры множеств и операций над ним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множеств и операций над ними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3611957"/>
            <wp:effectExtent b="0" l="0" r="0" t="0"/>
            <wp:docPr descr="Примеры массивов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массивов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2904506"/>
            <wp:effectExtent b="0" l="0" r="0" t="0"/>
            <wp:docPr descr="Примеры массивов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массивов</w:t>
      </w:r>
    </w:p>
    <w:bookmarkEnd w:id="48"/>
    <w:p>
      <w:pPr>
        <w:pStyle w:val="BodyText"/>
      </w:pPr>
      <w:r>
        <w:t xml:space="preserve">Примеры массивов, заданных некоторыми функциями через включение (рис. #fig:008):</w:t>
      </w:r>
    </w:p>
    <w:bookmarkStart w:id="52" w:name="fig:008"/>
    <w:p>
      <w:pPr>
        <w:pStyle w:val="CaptionedFigure"/>
      </w:pPr>
      <w:r>
        <w:drawing>
          <wp:inline>
            <wp:extent cx="5334000" cy="4398095"/>
            <wp:effectExtent b="0" l="0" r="0" t="0"/>
            <wp:docPr descr="Примеры массивов, заданных некоторыми функциями через включение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массивов, заданных некоторыми функциями через включение</w:t>
      </w:r>
    </w:p>
    <w:bookmarkEnd w:id="52"/>
    <w:p>
      <w:pPr>
        <w:pStyle w:val="BodyText"/>
      </w:pPr>
      <w:r>
        <w:t xml:space="preserve">Некоторые операции для работы с массивами (рис. #fig:009 – #fig:014):</w:t>
      </w:r>
    </w:p>
    <w:bookmarkStart w:id="56" w:name="fig:009"/>
    <w:p>
      <w:pPr>
        <w:pStyle w:val="CaptionedFigure"/>
      </w:pPr>
      <w:r>
        <w:drawing>
          <wp:inline>
            <wp:extent cx="5334000" cy="3741496"/>
            <wp:effectExtent b="0" l="0" r="0" t="0"/>
            <wp:docPr descr="Некоторые операции для работы с массивами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4811698"/>
            <wp:effectExtent b="0" l="0" r="0" t="0"/>
            <wp:docPr descr="Некоторые операции для работы с массивами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4151757"/>
            <wp:effectExtent b="0" l="0" r="0" t="0"/>
            <wp:docPr descr="Некоторые операции для работы с массивам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1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4697484"/>
            <wp:effectExtent b="0" l="0" r="0" t="0"/>
            <wp:docPr descr="Некоторые операции для работы с массивами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4614186"/>
            <wp:effectExtent b="0" l="0" r="0" t="0"/>
            <wp:docPr descr="Некоторые операции для работы с массивами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5693147"/>
            <wp:effectExtent b="0" l="0" r="0" t="0"/>
            <wp:docPr descr="Некоторые операции для работы с массивами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Некоторые операции для работы с массивами</w:t>
      </w:r>
    </w:p>
    <w:bookmarkEnd w:id="76"/>
    <w:bookmarkStart w:id="105" w:name="самостоятельная-работа"/>
    <w:p>
      <w:pPr>
        <w:pStyle w:val="Heading3"/>
      </w:pPr>
      <w:r>
        <w:t xml:space="preserve">2.1 2.5 Самостоятельная работа</w:t>
      </w:r>
    </w:p>
    <w:p>
      <w:pPr>
        <w:pStyle w:val="FirstParagraph"/>
      </w:pPr>
      <w:r>
        <w:rPr>
          <w:b/>
          <w:bCs/>
        </w:rPr>
        <w:t xml:space="preserve">Выполнение заданий №1 и №2</w:t>
      </w:r>
      <w:r>
        <w:t xml:space="preserve"> </w:t>
      </w:r>
      <w:r>
        <w:t xml:space="preserve">(рис. #fig:015):</w:t>
      </w:r>
    </w:p>
    <w:bookmarkStart w:id="80" w:name="fig:015"/>
    <w:p>
      <w:pPr>
        <w:pStyle w:val="CaptionedFigure"/>
      </w:pPr>
      <w:r>
        <w:drawing>
          <wp:inline>
            <wp:extent cx="5334000" cy="2884459"/>
            <wp:effectExtent b="0" l="0" r="0" t="0"/>
            <wp:docPr descr="Решение заданий №1 и №2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заданий №1 и №2</w:t>
      </w:r>
    </w:p>
    <w:bookmarkEnd w:id="80"/>
    <w:p>
      <w:pPr>
        <w:pStyle w:val="BodyText"/>
      </w:pPr>
      <w:r>
        <w:rPr>
          <w:b/>
          <w:bCs/>
        </w:rPr>
        <w:t xml:space="preserve">Выполнение задания №3 (всех подпунктов)</w:t>
      </w:r>
      <w:r>
        <w:t xml:space="preserve"> </w:t>
      </w:r>
      <w:r>
        <w:t xml:space="preserve">(рис. #fig:016 – #fig:020):</w:t>
      </w:r>
    </w:p>
    <w:bookmarkStart w:id="84" w:name="fig:016"/>
    <w:p>
      <w:pPr>
        <w:pStyle w:val="CaptionedFigure"/>
      </w:pPr>
      <w:r>
        <w:drawing>
          <wp:inline>
            <wp:extent cx="5334000" cy="2362412"/>
            <wp:effectExtent b="0" l="0" r="0" t="0"/>
            <wp:docPr descr="Выполнение подпунктов задания №3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подпунктов задания №3</w:t>
      </w:r>
    </w:p>
    <w:bookmarkEnd w:id="84"/>
    <w:bookmarkStart w:id="88" w:name="fig:017"/>
    <w:p>
      <w:pPr>
        <w:pStyle w:val="CaptionedFigure"/>
      </w:pPr>
      <w:r>
        <w:drawing>
          <wp:inline>
            <wp:extent cx="5334000" cy="1892941"/>
            <wp:effectExtent b="0" l="0" r="0" t="0"/>
            <wp:docPr descr="Выполнение подпунктов задания №3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подпунктов задания №3</w:t>
      </w:r>
    </w:p>
    <w:bookmarkEnd w:id="88"/>
    <w:bookmarkStart w:id="92" w:name="fig:018"/>
    <w:p>
      <w:pPr>
        <w:pStyle w:val="CaptionedFigure"/>
      </w:pPr>
      <w:r>
        <w:drawing>
          <wp:inline>
            <wp:extent cx="5334000" cy="2134334"/>
            <wp:effectExtent b="0" l="0" r="0" t="0"/>
            <wp:docPr descr="Выполнение подпунктов задания №3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подпунктов задания №3</w:t>
      </w:r>
    </w:p>
    <w:bookmarkEnd w:id="92"/>
    <w:bookmarkStart w:id="96" w:name="fig:019"/>
    <w:p>
      <w:pPr>
        <w:pStyle w:val="CaptionedFigure"/>
      </w:pPr>
      <w:r>
        <w:drawing>
          <wp:inline>
            <wp:extent cx="5334000" cy="2988476"/>
            <wp:effectExtent b="0" l="0" r="0" t="0"/>
            <wp:docPr descr="Выполнение подпунктов задания №3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подпунктов задания №3</w:t>
      </w:r>
    </w:p>
    <w:bookmarkEnd w:id="96"/>
    <w:bookmarkStart w:id="100" w:name="fig:020"/>
    <w:p>
      <w:pPr>
        <w:pStyle w:val="CaptionedFigure"/>
      </w:pPr>
      <w:r>
        <w:drawing>
          <wp:inline>
            <wp:extent cx="5334000" cy="3005323"/>
            <wp:effectExtent b="0" l="0" r="0" t="0"/>
            <wp:docPr descr="Выполнение подпунктов задания №3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подпунктов задания №3</w:t>
      </w:r>
    </w:p>
    <w:bookmarkEnd w:id="100"/>
    <w:p>
      <w:pPr>
        <w:pStyle w:val="BodyText"/>
      </w:pPr>
      <w:r>
        <w:rPr>
          <w:b/>
          <w:bCs/>
        </w:rPr>
        <w:t xml:space="preserve">Решение заданий №4 и №6</w:t>
      </w:r>
      <w:r>
        <w:t xml:space="preserve"> </w:t>
      </w:r>
      <w:r>
        <w:t xml:space="preserve">(рис. #fig:021):</w:t>
      </w:r>
    </w:p>
    <w:bookmarkStart w:id="104" w:name="fig:021"/>
    <w:p>
      <w:pPr>
        <w:pStyle w:val="CaptionedFigure"/>
      </w:pPr>
      <w:r>
        <w:drawing>
          <wp:inline>
            <wp:extent cx="5334000" cy="1992523"/>
            <wp:effectExtent b="0" l="0" r="0" t="0"/>
            <wp:docPr descr="Решение заданий №4 и №6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заданий №4 и №6</w:t>
      </w:r>
    </w:p>
    <w:bookmarkEnd w:id="104"/>
    <w:p>
      <w:r>
        <w:pict>
          <v:rect style="width:0;height:1.5pt" o:hralign="center" o:hrstd="t" o:hr="t"/>
        </w:pict>
      </w:r>
    </w:p>
    <w:bookmarkEnd w:id="105"/>
    <w:bookmarkEnd w:id="106"/>
    <w:bookmarkStart w:id="107" w:name="вывод"/>
    <w:p>
      <w:pPr>
        <w:pStyle w:val="Heading2"/>
      </w:pPr>
      <w:r>
        <w:t xml:space="preserve">3 3. Вывод</w:t>
      </w:r>
    </w:p>
    <w:p>
      <w:pPr>
        <w:pStyle w:val="FirstParagraph"/>
      </w:pPr>
      <w:r>
        <w:t xml:space="preserve">В ходе выполнения лабораторной работы были изучены несколько структур данных, реализованных в Julia, а также научились применять их и операции над ними для решения задач.</w:t>
      </w:r>
    </w:p>
    <w:p>
      <w:r>
        <w:pict>
          <v:rect style="width:0;height:1.5pt" o:hralign="center" o:hrstd="t" o:hr="t"/>
        </w:pict>
      </w:r>
    </w:p>
    <w:bookmarkEnd w:id="107"/>
    <w:bookmarkStart w:id="108" w:name="список-литературы.-библиография"/>
    <w:p>
      <w:pPr>
        <w:pStyle w:val="Heading2"/>
      </w:pPr>
      <w:r>
        <w:t xml:space="preserve">4 4. Список литературы. Библиография</w:t>
      </w:r>
    </w:p>
    <w:p>
      <w:pPr>
        <w:pStyle w:val="Compact"/>
        <w:numPr>
          <w:ilvl w:val="0"/>
          <w:numId w:val="1001"/>
        </w:numPr>
      </w:pPr>
      <w:r>
        <w:t xml:space="preserve">Julia Documentation: https://docs.julialang.org/en/v1/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 Антон Геннадьевич</dc:creator>
  <dc:language>ru-RU</dc:language>
  <cp:keywords>лабораторная работа, шаблон, Markdown, Julia</cp:keywords>
  <dcterms:created xsi:type="dcterms:W3CDTF">2026-09-26T20:23:11Z</dcterms:created>
  <dcterms:modified xsi:type="dcterms:W3CDTF">2026-09-26T20:23:11Z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Julia. Установка и настройка. Основные принципы. Описаны использованные методы, полученные экспериментальные данные и их анализ. 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Структуры данных</vt:lpwstr>
  </property>
  <property fmtid="{D5CDD505-2E9C-101B-9397-08002B2CF9AE}" pid="17" name="toc-title">
    <vt:lpwstr>Содержание</vt:lpwstr>
  </property>
</Properties>
</file>