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Julia. Установка и настройка. Основные принципы</w:t>
      </w:r>
    </w:p>
    <w:p>
      <w:pPr>
        <w:pStyle w:val="Author"/>
      </w:pPr>
      <w:r>
        <w:t xml:space="preserve">Ко Антон Геннадьевич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Julia. Установка и настройка. Основные принципы. Описаны использованные методы, полученные экспериментальные данные и их анализ. 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1. Цель работы</w:t>
      </w:r>
    </w:p>
    <w:p>
      <w:pPr>
        <w:pStyle w:val="FirstParagraph"/>
      </w:pPr>
      <w:r>
        <w:t xml:space="preserve">Основная цель работы — подготовить рабочее пространство и инструментарий для работы с языком программирования Julia, на простейших примерах познакомиться с основами синтаксиса Julia.</w:t>
      </w:r>
    </w:p>
    <w:p>
      <w:r>
        <w:pict>
          <v:rect style="width:0;height:1.5pt" o:hralign="center" o:hrstd="t" o:hr="t"/>
        </w:pict>
      </w:r>
    </w:p>
    <w:bookmarkEnd w:id="20"/>
    <w:bookmarkStart w:id="80" w:name="выполнение-лабораторной-работы"/>
    <w:p>
      <w:pPr>
        <w:pStyle w:val="Heading2"/>
      </w:pPr>
      <w:r>
        <w:t xml:space="preserve">2 2. Выполнение лабораторной работы</w:t>
      </w:r>
    </w:p>
    <w:bookmarkStart w:id="45" w:name="подготовка-инструментария-к-работе"/>
    <w:p>
      <w:pPr>
        <w:pStyle w:val="Heading3"/>
      </w:pPr>
      <w:r>
        <w:t xml:space="preserve">2.1 2.1 Подготовка инструментария к работе</w:t>
      </w:r>
    </w:p>
    <w:p>
      <w:pPr>
        <w:pStyle w:val="FirstParagraph"/>
      </w:pPr>
      <w:r>
        <w:t xml:space="preserve">Так как мы используем ОС типа Windows, для различных установок будем использовать менеджер пакетов Chocolatey (https://chocolatey.org/), который установим через Administrative Shell (рис. #fig:001):</w:t>
      </w:r>
    </w:p>
    <w:bookmarkStart w:id="24" w:name="fig:001"/>
    <w:p>
      <w:pPr>
        <w:pStyle w:val="CaptionedFigure"/>
      </w:pPr>
      <w:r>
        <w:drawing>
          <wp:inline>
            <wp:extent cx="5334000" cy="609026"/>
            <wp:effectExtent b="0" l="0" r="0" t="0"/>
            <wp:docPr descr="Установка менеджера пакетов Chocolatey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менеджера пакетов Chocolatey</w:t>
      </w:r>
    </w:p>
    <w:bookmarkEnd w:id="24"/>
    <w:p>
      <w:pPr>
        <w:pStyle w:val="BodyText"/>
      </w:pPr>
      <w:r>
        <w:t xml:space="preserve">Далее посредством установленного менеджера установим Far Manager, Notepad++, Julia, Anaconda Distribution (Python 3.x) (рис. #fig:002 – #fig:005):</w:t>
      </w:r>
    </w:p>
    <w:bookmarkStart w:id="28" w:name="fig:002"/>
    <w:p>
      <w:pPr>
        <w:pStyle w:val="CaptionedFigure"/>
      </w:pPr>
      <w:r>
        <w:drawing>
          <wp:inline>
            <wp:extent cx="5334000" cy="977614"/>
            <wp:effectExtent b="0" l="0" r="0" t="0"/>
            <wp:docPr descr="Установка Far Manager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7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Far Manager</w:t>
      </w:r>
    </w:p>
    <w:bookmarkEnd w:id="28"/>
    <w:bookmarkStart w:id="32" w:name="fig:003"/>
    <w:p>
      <w:pPr>
        <w:pStyle w:val="CaptionedFigure"/>
      </w:pPr>
      <w:r>
        <w:drawing>
          <wp:inline>
            <wp:extent cx="5334000" cy="1084193"/>
            <wp:effectExtent b="0" l="0" r="0" t="0"/>
            <wp:docPr descr="Установка Notepad++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Notepad++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130736"/>
            <wp:effectExtent b="0" l="0" r="0" t="0"/>
            <wp:docPr descr="Установка Julia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Julia</w:t>
      </w:r>
    </w:p>
    <w:bookmarkEnd w:id="36"/>
    <w:bookmarkStart w:id="40" w:name="fig:005"/>
    <w:p>
      <w:pPr>
        <w:pStyle w:val="CaptionedFigure"/>
      </w:pPr>
      <w:r>
        <w:drawing>
          <wp:inline>
            <wp:extent cx="4856309" cy="3811280"/>
            <wp:effectExtent b="0" l="0" r="0" t="0"/>
            <wp:docPr descr="Установка Anaconda Distribution (Python 3.x)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09" cy="381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Anaconda Distribution (Python 3.x)</w:t>
      </w:r>
    </w:p>
    <w:bookmarkEnd w:id="40"/>
    <w:p>
      <w:pPr>
        <w:pStyle w:val="BodyText"/>
      </w:pPr>
      <w:r>
        <w:t xml:space="preserve">Следующим шагом установим пакеты для работы с Jupyter. Для этого перейдём в пакетный режим Julia, нажав на клавиатуре знак закрывающейся квадратной скобки</w:t>
      </w:r>
      <w:r>
        <w:t xml:space="preserve"> </w:t>
      </w:r>
      <w:r>
        <w:rPr>
          <w:rStyle w:val="VerbatimChar"/>
        </w:rPr>
        <w:t xml:space="preserve">]</w:t>
      </w:r>
      <w:r>
        <w:t xml:space="preserve">, затем введём</w:t>
      </w:r>
      <w:r>
        <w:t xml:space="preserve"> </w:t>
      </w:r>
      <w:r>
        <w:rPr>
          <w:rStyle w:val="VerbatimChar"/>
        </w:rPr>
        <w:t xml:space="preserve">add IJulia</w:t>
      </w:r>
      <w:r>
        <w:t xml:space="preserve"> </w:t>
      </w:r>
      <w:r>
        <w:t xml:space="preserve">(рис. #fig:006):</w:t>
      </w:r>
    </w:p>
    <w:bookmarkStart w:id="44" w:name="fig:006"/>
    <w:p>
      <w:pPr>
        <w:pStyle w:val="CaptionedFigure"/>
      </w:pPr>
      <w:r>
        <w:drawing>
          <wp:inline>
            <wp:extent cx="5334000" cy="3852333"/>
            <wp:effectExtent b="0" l="0" r="0" t="0"/>
            <wp:docPr descr="Установка пакетов для работы с Jupyter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для работы с Jupyter</w:t>
      </w:r>
    </w:p>
    <w:bookmarkEnd w:id="44"/>
    <w:bookmarkEnd w:id="45"/>
    <w:bookmarkStart w:id="62" w:name="основы-синтаксиса-julia-на-примерах"/>
    <w:p>
      <w:pPr>
        <w:pStyle w:val="Heading3"/>
      </w:pPr>
      <w:r>
        <w:t xml:space="preserve">2.2 2.2 Основы синтаксиса Julia на примерах</w:t>
      </w:r>
    </w:p>
    <w:p>
      <w:pPr>
        <w:pStyle w:val="FirstParagraph"/>
      </w:pPr>
      <w:r>
        <w:t xml:space="preserve">Для начала потренируемся с определением типов числовых величин (рис. #fig:007):</w:t>
      </w:r>
    </w:p>
    <w:bookmarkStart w:id="49" w:name="fig:007"/>
    <w:p>
      <w:pPr>
        <w:pStyle w:val="CaptionedFigure"/>
      </w:pPr>
      <w:r>
        <w:drawing>
          <wp:inline>
            <wp:extent cx="5334000" cy="3600173"/>
            <wp:effectExtent b="0" l="0" r="0" t="0"/>
            <wp:docPr descr="Примеры определения типа числовых величин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определения типа числовых величин</w:t>
      </w:r>
    </w:p>
    <w:bookmarkEnd w:id="49"/>
    <w:p>
      <w:pPr>
        <w:pStyle w:val="BodyText"/>
      </w:pPr>
      <w:r>
        <w:t xml:space="preserve">После чего приступим к рассмотрению приведения аргументов к одному типу (рис. #fig:008):</w:t>
      </w:r>
    </w:p>
    <w:bookmarkStart w:id="53" w:name="fig:008"/>
    <w:p>
      <w:pPr>
        <w:pStyle w:val="CaptionedFigure"/>
      </w:pPr>
      <w:r>
        <w:drawing>
          <wp:inline>
            <wp:extent cx="4479791" cy="2597203"/>
            <wp:effectExtent b="0" l="0" r="0" t="0"/>
            <wp:docPr descr="Примеры приведения аргументов к одному типу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791" cy="2597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приведения аргументов к одному типу</w:t>
      </w:r>
    </w:p>
    <w:bookmarkEnd w:id="53"/>
    <w:p>
      <w:pPr>
        <w:pStyle w:val="BodyText"/>
      </w:pPr>
      <w:r>
        <w:t xml:space="preserve">И рассмотрим примеры определения функций (рис. #fig:009), а также работу с массивами (рис. #fig:010):</w:t>
      </w:r>
    </w:p>
    <w:bookmarkStart w:id="57" w:name="fig:009"/>
    <w:p>
      <w:pPr>
        <w:pStyle w:val="CaptionedFigure"/>
      </w:pPr>
      <w:r>
        <w:drawing>
          <wp:inline>
            <wp:extent cx="3972645" cy="3888121"/>
            <wp:effectExtent b="0" l="0" r="0" t="0"/>
            <wp:docPr descr="Примеры определения функций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645" cy="388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определения функций</w:t>
      </w:r>
    </w:p>
    <w:bookmarkEnd w:id="57"/>
    <w:bookmarkStart w:id="61" w:name="fig:010"/>
    <w:p>
      <w:pPr>
        <w:pStyle w:val="CaptionedFigure"/>
      </w:pPr>
      <w:r>
        <w:drawing>
          <wp:inline>
            <wp:extent cx="5334000" cy="5158875"/>
            <wp:effectExtent b="0" l="0" r="0" t="0"/>
            <wp:docPr descr="Примеры работы с массивами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работы с массивами</w:t>
      </w:r>
    </w:p>
    <w:bookmarkEnd w:id="61"/>
    <w:bookmarkEnd w:id="62"/>
    <w:bookmarkStart w:id="79" w:name="самостоятельная-работа"/>
    <w:p>
      <w:pPr>
        <w:pStyle w:val="Heading3"/>
      </w:pPr>
      <w:r>
        <w:t xml:space="preserve">2.3 2.3 Самостоятельная работа</w:t>
      </w:r>
    </w:p>
    <w:p>
      <w:pPr>
        <w:pStyle w:val="FirstParagraph"/>
      </w:pPr>
      <w:r>
        <w:t xml:space="preserve">В первом задании рассмотрим основные функции для чтения / записи / вывода информации на экран. Для этого составим свои примеры (рис. #fig:011):</w:t>
      </w:r>
    </w:p>
    <w:bookmarkStart w:id="66" w:name="fig:011"/>
    <w:p>
      <w:pPr>
        <w:pStyle w:val="CaptionedFigure"/>
      </w:pPr>
      <w:r>
        <w:drawing>
          <wp:inline>
            <wp:extent cx="5334000" cy="4887277"/>
            <wp:effectExtent b="0" l="0" r="0" t="0"/>
            <wp:docPr descr="Примеры работы с функциями для чтения/записи/вывода информации на экран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7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работы с функциями для чтения/записи/вывода информации на экран</w:t>
      </w:r>
    </w:p>
    <w:bookmarkEnd w:id="66"/>
    <w:p>
      <w:pPr>
        <w:pStyle w:val="BodyText"/>
      </w:pPr>
      <w:r>
        <w:t xml:space="preserve">Во втором задании составим пример для функции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(рис. #fig:012):</w:t>
      </w:r>
    </w:p>
    <w:bookmarkStart w:id="70" w:name="fig:012"/>
    <w:p>
      <w:pPr>
        <w:pStyle w:val="CaptionedFigure"/>
      </w:pPr>
      <w:r>
        <w:drawing>
          <wp:inline>
            <wp:extent cx="3534655" cy="1429230"/>
            <wp:effectExtent b="0" l="0" r="0" t="0"/>
            <wp:docPr descr="Пример работы с функцией parse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5" cy="142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работы с функцией parse</w:t>
      </w:r>
    </w:p>
    <w:bookmarkEnd w:id="70"/>
    <w:p>
      <w:pPr>
        <w:pStyle w:val="BodyText"/>
      </w:pPr>
      <w:r>
        <w:t xml:space="preserve">Далее изучим синтаксис Julia для базовых математических операций с разным типом переменных (рис. #fig:013):</w:t>
      </w:r>
    </w:p>
    <w:bookmarkStart w:id="74" w:name="fig:013"/>
    <w:p>
      <w:pPr>
        <w:pStyle w:val="CaptionedFigure"/>
      </w:pPr>
      <w:r>
        <w:drawing>
          <wp:inline>
            <wp:extent cx="5086830" cy="6162594"/>
            <wp:effectExtent b="0" l="0" r="0" t="0"/>
            <wp:docPr descr="Примеры работы базовых математических операций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30" cy="616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работы базовых математических операций</w:t>
      </w:r>
    </w:p>
    <w:bookmarkEnd w:id="74"/>
    <w:p>
      <w:pPr>
        <w:pStyle w:val="BodyText"/>
      </w:pPr>
      <w:r>
        <w:t xml:space="preserve">В конце работы приведём несколько примеров с операциями над матрицами (рис. #fig:015):</w:t>
      </w:r>
    </w:p>
    <w:bookmarkStart w:id="78" w:name="fig:015"/>
    <w:p>
      <w:pPr>
        <w:pStyle w:val="CaptionedFigure"/>
      </w:pPr>
      <w:r>
        <w:drawing>
          <wp:inline>
            <wp:extent cx="4625788" cy="6277855"/>
            <wp:effectExtent b="0" l="0" r="0" t="0"/>
            <wp:docPr descr="Примеры работы с операциями над матрицами" title="" id="76" name="Picture"/>
            <a:graphic>
              <a:graphicData uri="http://schemas.openxmlformats.org/drawingml/2006/picture">
                <pic:pic>
                  <pic:nvPicPr>
                    <pic:cNvPr descr="image/1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88" cy="6277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работы с операциями над матрицами</w:t>
      </w:r>
    </w:p>
    <w:bookmarkEnd w:id="78"/>
    <w:p>
      <w:r>
        <w:pict>
          <v:rect style="width:0;height:1.5pt" o:hralign="center" o:hrstd="t" o:hr="t"/>
        </w:pict>
      </w:r>
    </w:p>
    <w:bookmarkEnd w:id="79"/>
    <w:bookmarkEnd w:id="80"/>
    <w:bookmarkStart w:id="81" w:name="вывод"/>
    <w:p>
      <w:pPr>
        <w:pStyle w:val="Heading2"/>
      </w:pPr>
      <w:r>
        <w:t xml:space="preserve">3 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по подготовке рабочего пространства и инструментария для работы с языком программирования Julia, а также познакомились на простейших примерах с основами синтаксиса Julia.</w:t>
      </w:r>
    </w:p>
    <w:p>
      <w:r>
        <w:pict>
          <v:rect style="width:0;height:1.5pt" o:hralign="center" o:hrstd="t" o:hr="t"/>
        </w:pict>
      </w:r>
    </w:p>
    <w:bookmarkEnd w:id="81"/>
    <w:bookmarkStart w:id="82" w:name="список-литературы.-библиография"/>
    <w:p>
      <w:pPr>
        <w:pStyle w:val="Heading2"/>
      </w:pPr>
      <w:r>
        <w:t xml:space="preserve">4 4. Список литературы. Библиография</w:t>
      </w:r>
    </w:p>
    <w:p>
      <w:pPr>
        <w:pStyle w:val="Compact"/>
        <w:numPr>
          <w:ilvl w:val="0"/>
          <w:numId w:val="1001"/>
        </w:numPr>
      </w:pPr>
      <w:r>
        <w:t xml:space="preserve">Julia Documentation: https://docs.julialang.org/en/v1/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Ко Антон Геннадьевич</dc:creator>
  <dc:language>ru-RU</dc:language>
  <cp:keywords>лабораторная работа, шаблон, Markdown, Julia</cp:keywords>
  <dcterms:created xsi:type="dcterms:W3CDTF">2026-09-12T18:53:09Z</dcterms:created>
  <dcterms:modified xsi:type="dcterms:W3CDTF">2026-09-12T18:53:09Z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Julia. Установка и настройка. Основные принципы. Описаны использованные методы, полученные экспериментальные данные и их анализ. 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Julia. Установка и настройка. Основные принципы</vt:lpwstr>
  </property>
  <property fmtid="{D5CDD505-2E9C-101B-9397-08002B2CF9AE}" pid="17" name="toc-title">
    <vt:lpwstr>Содержание</vt:lpwstr>
  </property>
</Properties>
</file>