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4.png" ContentType="image/png"/>
  <Override PartName="/word/media/rId99.png" ContentType="image/png"/>
  <Override PartName="/word/media/rId25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Линейная алгебра</w:t>
      </w:r>
    </w:p>
    <w:p>
      <w:pPr>
        <w:pStyle w:val="Author"/>
      </w:pPr>
      <w:r>
        <w:t xml:space="preserve">Ко Антон Геннадьевич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Julia. Линейная алгебра.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1. Цель работы</w:t>
      </w:r>
    </w:p>
    <w:p>
      <w:pPr>
        <w:pStyle w:val="FirstParagraph"/>
      </w:pPr>
      <w:r>
        <w:t xml:space="preserve">Основной целью работы является изучение возможностей специализированных пакетов Julia для выполнения и оценки эффективности операций над объектами линейной алгебры.</w:t>
      </w:r>
    </w:p>
    <w:p>
      <w:r>
        <w:pict>
          <v:rect style="width:0;height:1.5pt" o:hralign="center" o:hrstd="t" o:hr="t"/>
        </w:pict>
      </w:r>
    </w:p>
    <w:bookmarkEnd w:id="20"/>
    <w:bookmarkStart w:id="136" w:name="выполнение-лабораторной-работы"/>
    <w:p>
      <w:pPr>
        <w:pStyle w:val="Heading2"/>
      </w:pPr>
      <w:r>
        <w:t xml:space="preserve">2 2. Выполнение лабораторной работы</w:t>
      </w:r>
    </w:p>
    <w:bookmarkStart w:id="29" w:name="Xc28563639bee130e298f75fd93151139a0dd5dc"/>
    <w:p>
      <w:pPr>
        <w:pStyle w:val="Heading3"/>
      </w:pPr>
      <w:r>
        <w:t xml:space="preserve">2.1 2.1 Поэлементные операции над многомерными массивами</w:t>
      </w:r>
    </w:p>
    <w:p>
      <w:pPr>
        <w:pStyle w:val="FirstParagraph"/>
      </w:pPr>
      <w:r>
        <w:t xml:space="preserve">Для матрицы 4 × 3 рассмотрим поэлементные операции сложения и произведения её элементов (рис. #fig:001):</w:t>
      </w:r>
    </w:p>
    <w:bookmarkStart w:id="24" w:name="fig:001"/>
    <w:p>
      <w:pPr>
        <w:pStyle w:val="CaptionedFigure"/>
      </w:pPr>
      <w:r>
        <w:drawing>
          <wp:inline>
            <wp:extent cx="5334000" cy="2701447"/>
            <wp:effectExtent b="0" l="0" r="0" t="0"/>
            <wp:docPr descr="Поэлементные операции сложения и произведения элементов матриц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1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Поэлементные операции сложения и произведения элементов матрицы</w:t>
      </w:r>
    </w:p>
    <w:bookmarkEnd w:id="24"/>
    <w:p>
      <w:pPr>
        <w:pStyle w:val="BodyText"/>
      </w:pPr>
      <w:r>
        <w:t xml:space="preserve">Для работы со средними значениями можно воспользоваться возможностями пакета Statistics (рис. #fig:002):</w:t>
      </w:r>
    </w:p>
    <w:bookmarkStart w:id="28" w:name="fig:002"/>
    <w:p>
      <w:pPr>
        <w:pStyle w:val="CaptionedFigure"/>
      </w:pPr>
      <w:r>
        <w:drawing>
          <wp:inline>
            <wp:extent cx="5334000" cy="2515778"/>
            <wp:effectExtent b="0" l="0" r="0" t="0"/>
            <wp:docPr descr="Использование возможностей пакета Statistics для работы со средними значениям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5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возможностей пакета Statistics для работы со средними значениями</w:t>
      </w:r>
    </w:p>
    <w:bookmarkEnd w:id="28"/>
    <w:bookmarkEnd w:id="29"/>
    <w:bookmarkStart w:id="38" w:name="Xe71a3b7cf23fde2857c4c69b12515f71438b9aa"/>
    <w:p>
      <w:pPr>
        <w:pStyle w:val="Heading3"/>
      </w:pPr>
      <w:r>
        <w:t xml:space="preserve">2.2 2.2 Транспонирование, след, ранг, определитель и инверсия матрицы</w:t>
      </w:r>
    </w:p>
    <w:p>
      <w:pPr>
        <w:pStyle w:val="FirstParagraph"/>
      </w:pPr>
      <w:r>
        <w:t xml:space="preserve">Для выполнения таких операций над матрицами, как транспонирование, диагонализация, определение следа, ранга, определителя матрицы и т.п. можно воспользоваться библиотекой (пакетом) LinearAlgebra (рис. #fig:003 – #fig:004):</w:t>
      </w:r>
    </w:p>
    <w:bookmarkStart w:id="33" w:name="fig:003"/>
    <w:p>
      <w:pPr>
        <w:pStyle w:val="CaptionedFigure"/>
      </w:pPr>
      <w:r>
        <w:drawing>
          <wp:inline>
            <wp:extent cx="5334000" cy="2799455"/>
            <wp:effectExtent b="0" l="0" r="0" t="0"/>
            <wp:docPr descr="Использование библиотеки LinearAlgebra для выполнения определённых операций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библиотеки LinearAlgebra для выполнения определённых операций</w:t>
      </w:r>
    </w:p>
    <w:bookmarkEnd w:id="33"/>
    <w:bookmarkStart w:id="37" w:name="fig:004"/>
    <w:p>
      <w:pPr>
        <w:pStyle w:val="CaptionedFigure"/>
      </w:pPr>
      <w:r>
        <w:drawing>
          <wp:inline>
            <wp:extent cx="5334000" cy="1525047"/>
            <wp:effectExtent b="0" l="0" r="0" t="0"/>
            <wp:docPr descr="Использование библиотеки LinearAlgebra для выполнения определённых операций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5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библиотеки LinearAlgebra для выполнения определённых операций</w:t>
      </w:r>
    </w:p>
    <w:bookmarkEnd w:id="37"/>
    <w:bookmarkEnd w:id="38"/>
    <w:bookmarkStart w:id="47" w:name="Xd91d5cc23a5b4c7dd0e00c3f37738f394a8e13e"/>
    <w:p>
      <w:pPr>
        <w:pStyle w:val="Heading3"/>
      </w:pPr>
      <w:r>
        <w:t xml:space="preserve">2.3 2.3 Вычисление нормы векторов и матриц, повороты, вращения</w:t>
      </w:r>
    </w:p>
    <w:p>
      <w:pPr>
        <w:pStyle w:val="FirstParagraph"/>
      </w:pPr>
      <w:r>
        <w:t xml:space="preserve">Для вычисления нормы используется LinearAlgebra.norm(x) (рис. #fig:005):</w:t>
      </w:r>
    </w:p>
    <w:bookmarkStart w:id="42" w:name="fig:005"/>
    <w:p>
      <w:pPr>
        <w:pStyle w:val="CaptionedFigure"/>
      </w:pPr>
      <w:r>
        <w:drawing>
          <wp:inline>
            <wp:extent cx="5334000" cy="2381057"/>
            <wp:effectExtent b="0" l="0" r="0" t="0"/>
            <wp:docPr descr="Использование LinearAlgebra.norm(x)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LinearAlgebra.norm(x)</w:t>
      </w:r>
    </w:p>
    <w:bookmarkEnd w:id="42"/>
    <w:p>
      <w:pPr>
        <w:pStyle w:val="BodyText"/>
      </w:pPr>
      <w:r>
        <w:t xml:space="preserve">Вычислим нормы для двумерной матрицы (рис. #fig:006):</w:t>
      </w:r>
    </w:p>
    <w:bookmarkStart w:id="46" w:name="fig:006"/>
    <w:p>
      <w:pPr>
        <w:pStyle w:val="CaptionedFigure"/>
      </w:pPr>
      <w:r>
        <w:drawing>
          <wp:inline>
            <wp:extent cx="5334000" cy="2795702"/>
            <wp:effectExtent b="0" l="0" r="0" t="0"/>
            <wp:docPr descr="Вычисление нормы для двумерной матрицы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5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Вычисление нормы для двумерной матрицы</w:t>
      </w:r>
    </w:p>
    <w:bookmarkEnd w:id="46"/>
    <w:bookmarkEnd w:id="47"/>
    <w:bookmarkStart w:id="52" w:name="X5c7ba8ea9205f78450384725fbd8ae04a8a0851"/>
    <w:p>
      <w:pPr>
        <w:pStyle w:val="Heading3"/>
      </w:pPr>
      <w:r>
        <w:t xml:space="preserve">2.4 2.4 Матричное умножение, единичная матрица, скалярное произведение</w:t>
      </w:r>
    </w:p>
    <w:p>
      <w:pPr>
        <w:pStyle w:val="FirstParagraph"/>
      </w:pPr>
      <w:r>
        <w:t xml:space="preserve">Выполним примеры матричного умножения, единичной матрицы и скалярного произведения (рис. #fig:007):</w:t>
      </w:r>
    </w:p>
    <w:bookmarkStart w:id="51" w:name="fig:007"/>
    <w:p>
      <w:pPr>
        <w:pStyle w:val="CaptionedFigure"/>
      </w:pPr>
      <w:r>
        <w:drawing>
          <wp:inline>
            <wp:extent cx="5334000" cy="2799173"/>
            <wp:effectExtent b="0" l="0" r="0" t="0"/>
            <wp:docPr descr="Примеры матричного умножения, единичной матрицы и скалярного произведения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матричного умножения, единичной матрицы и скалярного произведения</w:t>
      </w:r>
    </w:p>
    <w:bookmarkEnd w:id="51"/>
    <w:bookmarkEnd w:id="52"/>
    <w:bookmarkStart w:id="93" w:name="Xc1b05fa6b627f0a61977718129e6f3db9a4d06a"/>
    <w:p>
      <w:pPr>
        <w:pStyle w:val="Heading3"/>
      </w:pPr>
      <w:r>
        <w:t xml:space="preserve">2.5 2.5 Факторизация. Специальные матричные структуры</w:t>
      </w:r>
    </w:p>
    <w:p>
      <w:pPr>
        <w:pStyle w:val="FirstParagraph"/>
      </w:pPr>
      <w:r>
        <w:t xml:space="preserve">Рассмотрим несколько примеров. Для работы со специальными матричными структурами потребуется пакет LinearAlgebra.</w:t>
      </w:r>
    </w:p>
    <w:p>
      <w:pPr>
        <w:pStyle w:val="BodyText"/>
      </w:pPr>
      <w:r>
        <w:t xml:space="preserve">Решение систем линейных алгебраических уравнений (рис. #fig:008):</w:t>
      </w:r>
    </w:p>
    <w:bookmarkStart w:id="56" w:name="fig:008"/>
    <w:p>
      <w:pPr>
        <w:pStyle w:val="CaptionedFigure"/>
      </w:pPr>
      <w:r>
        <w:drawing>
          <wp:inline>
            <wp:extent cx="5334000" cy="2211931"/>
            <wp:effectExtent b="0" l="0" r="0" t="0"/>
            <wp:docPr descr="Решение систем линейных алгебраических уравнений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1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систем линейных алгебраических уравнений</w:t>
      </w:r>
    </w:p>
    <w:bookmarkEnd w:id="56"/>
    <w:p>
      <w:pPr>
        <w:pStyle w:val="BodyText"/>
      </w:pPr>
      <w:r>
        <w:t xml:space="preserve">Julia позволяет вычислять LU-факторизацию и определяет составной тип факторизации для его хранения (рис. #fig:009):</w:t>
      </w:r>
    </w:p>
    <w:bookmarkStart w:id="60" w:name="fig:009"/>
    <w:p>
      <w:pPr>
        <w:pStyle w:val="CaptionedFigure"/>
      </w:pPr>
      <w:r>
        <w:drawing>
          <wp:inline>
            <wp:extent cx="5334000" cy="2768633"/>
            <wp:effectExtent b="0" l="0" r="0" t="0"/>
            <wp:docPr descr="Пример вычисления LU-факторизации и определение составного типа факторизации для его хранения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8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вычисления LU-факторизации и определение составного типа факторизации для его хранения</w:t>
      </w:r>
    </w:p>
    <w:bookmarkEnd w:id="60"/>
    <w:p>
      <w:pPr>
        <w:pStyle w:val="BodyText"/>
      </w:pPr>
      <w:r>
        <w:t xml:space="preserve">Исходная система уравнений может быть решена или с использованием исходной матрицы, или с использованием объекта факторизации (рис. #fig:010):</w:t>
      </w:r>
    </w:p>
    <w:bookmarkStart w:id="64" w:name="fig:010"/>
    <w:p>
      <w:pPr>
        <w:pStyle w:val="CaptionedFigure"/>
      </w:pPr>
      <w:r>
        <w:drawing>
          <wp:inline>
            <wp:extent cx="5334000" cy="1695385"/>
            <wp:effectExtent b="0" l="0" r="0" t="0"/>
            <wp:docPr descr="Пример решения с использованием исходной матрицы и с использованием объекта факторизации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5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решения с использованием исходной матрицы и с использованием объекта факторизации</w:t>
      </w:r>
    </w:p>
    <w:bookmarkEnd w:id="64"/>
    <w:p>
      <w:pPr>
        <w:pStyle w:val="BodyText"/>
      </w:pPr>
      <w:r>
        <w:t xml:space="preserve">Julia позволяет вычислять QR-факторизацию и определяет составной тип факторизации для его хранения (рис. #fig:011):</w:t>
      </w:r>
    </w:p>
    <w:bookmarkStart w:id="68" w:name="fig:011"/>
    <w:p>
      <w:pPr>
        <w:pStyle w:val="CaptionedFigure"/>
      </w:pPr>
      <w:r>
        <w:drawing>
          <wp:inline>
            <wp:extent cx="5334000" cy="2145195"/>
            <wp:effectExtent b="0" l="0" r="0" t="0"/>
            <wp:docPr descr="Пример вычисления QR-факторизации и определение составного типа факторизации для его хранения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5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вычисления QR-факторизации и определение составного типа факторизации для его хранения</w:t>
      </w:r>
    </w:p>
    <w:bookmarkEnd w:id="68"/>
    <w:p>
      <w:pPr>
        <w:pStyle w:val="BodyText"/>
      </w:pPr>
      <w:r>
        <w:t xml:space="preserve">Примеры собственной декомпозиции матрицы (рис. #fig:012):</w:t>
      </w:r>
    </w:p>
    <w:bookmarkStart w:id="72" w:name="fig:012"/>
    <w:p>
      <w:pPr>
        <w:pStyle w:val="CaptionedFigure"/>
      </w:pPr>
      <w:r>
        <w:drawing>
          <wp:inline>
            <wp:extent cx="5334000" cy="2820483"/>
            <wp:effectExtent b="0" l="0" r="0" t="0"/>
            <wp:docPr descr="Примеры собственной декомпозиции матрицы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0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собственной декомпозиции матрицы</w:t>
      </w:r>
    </w:p>
    <w:bookmarkEnd w:id="72"/>
    <w:p>
      <w:pPr>
        <w:pStyle w:val="BodyText"/>
      </w:pPr>
      <w:r>
        <w:t xml:space="preserve">Далее рассмотрим примеры работы с матрицами большой размерности и специальной структуры (рис. #fig:013):</w:t>
      </w:r>
    </w:p>
    <w:bookmarkStart w:id="76" w:name="fig:013"/>
    <w:p>
      <w:pPr>
        <w:pStyle w:val="CaptionedFigure"/>
      </w:pPr>
      <w:r>
        <w:drawing>
          <wp:inline>
            <wp:extent cx="5334000" cy="2668795"/>
            <wp:effectExtent b="0" l="0" r="0" t="0"/>
            <wp:docPr descr="Примеры работы с матрицами большой размерности и специальной структуры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8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работы с матрицами большой размерности и специальной структуры</w:t>
      </w:r>
    </w:p>
    <w:bookmarkEnd w:id="76"/>
    <w:p>
      <w:pPr>
        <w:pStyle w:val="BodyText"/>
      </w:pPr>
      <w:r>
        <w:t xml:space="preserve">Пример добавления шума в симметричную матрицу (матрица уже не будет симметричной) (рис. #fig:014):</w:t>
      </w:r>
    </w:p>
    <w:bookmarkStart w:id="80" w:name="fig:014"/>
    <w:p>
      <w:pPr>
        <w:pStyle w:val="CaptionedFigure"/>
      </w:pPr>
      <w:r>
        <w:drawing>
          <wp:inline>
            <wp:extent cx="5334000" cy="751896"/>
            <wp:effectExtent b="0" l="0" r="0" t="0"/>
            <wp:docPr descr="Пример добавления шума в симметричную матрицу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1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добавления шума в симметричную матрицу</w:t>
      </w:r>
    </w:p>
    <w:bookmarkEnd w:id="80"/>
    <w:p>
      <w:pPr>
        <w:pStyle w:val="BodyText"/>
      </w:pPr>
      <w:r>
        <w:t xml:space="preserve">В Julia можно объявить структуру матрицы явно, например, используя Diagonal, Triangular, Symmetric, Hermitian, Tridiagonal и SymTridiagonal (рис. #fig:015):</w:t>
      </w:r>
    </w:p>
    <w:bookmarkStart w:id="84" w:name="fig:015"/>
    <w:p>
      <w:pPr>
        <w:pStyle w:val="CaptionedFigure"/>
      </w:pPr>
      <w:r>
        <w:drawing>
          <wp:inline>
            <wp:extent cx="5334000" cy="2517961"/>
            <wp:effectExtent b="0" l="0" r="0" t="0"/>
            <wp:docPr descr="Пример явного объявления структуры матрицы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явного объявления структуры матрицы</w:t>
      </w:r>
    </w:p>
    <w:bookmarkEnd w:id="84"/>
    <w:p>
      <w:pPr>
        <w:pStyle w:val="BodyText"/>
      </w:pPr>
      <w:r>
        <w:t xml:space="preserve">Далее для оценки эффективности выполнения операций над матрицами большой размерности и специальной структуры воспользуемся пакетом BenchmarkTools (рис. #fig:016):</w:t>
      </w:r>
    </w:p>
    <w:bookmarkStart w:id="88" w:name="fig:016"/>
    <w:p>
      <w:pPr>
        <w:pStyle w:val="CaptionedFigure"/>
      </w:pPr>
      <w:r>
        <w:drawing>
          <wp:inline>
            <wp:extent cx="5334000" cy="1030013"/>
            <wp:effectExtent b="0" l="0" r="0" t="0"/>
            <wp:docPr descr="Использование пакета BenchmarkTools" title="" id="86" name="Picture"/>
            <a:graphic>
              <a:graphicData uri="http://schemas.openxmlformats.org/drawingml/2006/picture">
                <pic:pic>
                  <pic:nvPicPr>
                    <pic:cNvPr descr="image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0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пакета BenchmarkTools</w:t>
      </w:r>
    </w:p>
    <w:bookmarkEnd w:id="88"/>
    <w:p>
      <w:pPr>
        <w:pStyle w:val="BodyText"/>
      </w:pPr>
      <w:r>
        <w:t xml:space="preserve">Далее рассмотрим примеры работы с разреженными матрицами большой размерности. Использование типов Tridiagonal и SymTridiagonal для хранения трёхдиагональных матриц позволяет работать с потенциально очень большими трёхдиагональными матрицами (рис. #fig:017):</w:t>
      </w:r>
    </w:p>
    <w:bookmarkStart w:id="92" w:name="fig:017"/>
    <w:p>
      <w:pPr>
        <w:pStyle w:val="CaptionedFigure"/>
      </w:pPr>
      <w:r>
        <w:drawing>
          <wp:inline>
            <wp:extent cx="5334000" cy="2722081"/>
            <wp:effectExtent b="0" l="0" r="0" t="0"/>
            <wp:docPr descr="Примеры работы с разреженными матрицами большой размерности" title="" id="90" name="Picture"/>
            <a:graphic>
              <a:graphicData uri="http://schemas.openxmlformats.org/drawingml/2006/picture">
                <pic:pic>
                  <pic:nvPicPr>
                    <pic:cNvPr descr="image/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2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Примеры работы с разреженными матрицами большой размерности</w:t>
      </w:r>
    </w:p>
    <w:bookmarkEnd w:id="92"/>
    <w:bookmarkEnd w:id="93"/>
    <w:bookmarkStart w:id="98" w:name="общая-линейная-алгебра"/>
    <w:p>
      <w:pPr>
        <w:pStyle w:val="Heading3"/>
      </w:pPr>
      <w:r>
        <w:t xml:space="preserve">2.6 2.6 Общая линейная алгебра</w:t>
      </w:r>
    </w:p>
    <w:p>
      <w:pPr>
        <w:pStyle w:val="FirstParagraph"/>
      </w:pPr>
      <w:r>
        <w:t xml:space="preserve">В примере показано, как можно решить систему линейных уравнений с рациональными элементами без преобразования в типы элементов с плавающей запятой (для избежания проблемы с переполнением используем BigInt) (рис. #fig:018):</w:t>
      </w:r>
    </w:p>
    <w:bookmarkStart w:id="97" w:name="fig:018"/>
    <w:p>
      <w:pPr>
        <w:pStyle w:val="CaptionedFigure"/>
      </w:pPr>
      <w:r>
        <w:drawing>
          <wp:inline>
            <wp:extent cx="5334000" cy="2798459"/>
            <wp:effectExtent b="0" l="0" r="0" t="0"/>
            <wp:docPr descr="Решение системы линейных уравнений с рациональными элементами без преобразования в типы элементов с плавающей запятой" title="" id="95" name="Picture"/>
            <a:graphic>
              <a:graphicData uri="http://schemas.openxmlformats.org/drawingml/2006/picture">
                <pic:pic>
                  <pic:nvPicPr>
                    <pic:cNvPr descr="image/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8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системы линейных уравнений с рациональными элементами без преобразования в типы элементов с плавающей запятой</w:t>
      </w:r>
    </w:p>
    <w:bookmarkEnd w:id="97"/>
    <w:bookmarkEnd w:id="98"/>
    <w:bookmarkStart w:id="135" w:name="самостоятельная-работа"/>
    <w:p>
      <w:pPr>
        <w:pStyle w:val="Heading3"/>
      </w:pPr>
      <w:r>
        <w:t xml:space="preserve">2.7 2.7 Самостоятельная работа</w:t>
      </w:r>
    </w:p>
    <w:p>
      <w:pPr>
        <w:pStyle w:val="FirstParagraph"/>
      </w:pPr>
      <w:r>
        <w:rPr>
          <w:b/>
          <w:bCs/>
        </w:rPr>
        <w:t xml:space="preserve">Выполнение задания «Произведение векторов»</w:t>
      </w:r>
      <w:r>
        <w:t xml:space="preserve"> </w:t>
      </w:r>
      <w:r>
        <w:t xml:space="preserve">(рис. #fig:019):</w:t>
      </w:r>
    </w:p>
    <w:bookmarkStart w:id="102" w:name="fig:019"/>
    <w:p>
      <w:pPr>
        <w:pStyle w:val="CaptionedFigure"/>
      </w:pPr>
      <w:r>
        <w:drawing>
          <wp:inline>
            <wp:extent cx="5334000" cy="1297164"/>
            <wp:effectExtent b="0" l="0" r="0" t="0"/>
            <wp:docPr descr="Решение задания «Произведение векторов»" title="" id="100" name="Picture"/>
            <a:graphic>
              <a:graphicData uri="http://schemas.openxmlformats.org/drawingml/2006/picture">
                <pic:pic>
                  <pic:nvPicPr>
                    <pic:cNvPr descr="image/19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7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«Произведение векторов»</w:t>
      </w:r>
    </w:p>
    <w:bookmarkEnd w:id="102"/>
    <w:p>
      <w:pPr>
        <w:pStyle w:val="BodyText"/>
      </w:pPr>
      <w:r>
        <w:rPr>
          <w:b/>
          <w:bCs/>
        </w:rPr>
        <w:t xml:space="preserve">Выполнение задания «Системы линейных уравнений»</w:t>
      </w:r>
      <w:r>
        <w:t xml:space="preserve"> </w:t>
      </w:r>
      <w:r>
        <w:t xml:space="preserve">(рис. #fig:020 – #fig:021):</w:t>
      </w:r>
    </w:p>
    <w:bookmarkStart w:id="106" w:name="fig:020"/>
    <w:p>
      <w:pPr>
        <w:pStyle w:val="CaptionedFigure"/>
      </w:pPr>
      <w:r>
        <w:drawing>
          <wp:inline>
            <wp:extent cx="5334000" cy="3936164"/>
            <wp:effectExtent b="0" l="0" r="0" t="0"/>
            <wp:docPr descr="Решение задания «Системы линейных уравнений»" title="" id="104" name="Picture"/>
            <a:graphic>
              <a:graphicData uri="http://schemas.openxmlformats.org/drawingml/2006/picture">
                <pic:pic>
                  <pic:nvPicPr>
                    <pic:cNvPr descr="image/20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6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«Системы линейных уравнений»</w:t>
      </w:r>
    </w:p>
    <w:bookmarkEnd w:id="106"/>
    <w:bookmarkStart w:id="110" w:name="fig:021"/>
    <w:p>
      <w:pPr>
        <w:pStyle w:val="CaptionedFigure"/>
      </w:pPr>
      <w:r>
        <w:drawing>
          <wp:inline>
            <wp:extent cx="5334000" cy="2551877"/>
            <wp:effectExtent b="0" l="0" r="0" t="0"/>
            <wp:docPr descr="Решение задания «Системы линейных уравнений»" title="" id="108" name="Picture"/>
            <a:graphic>
              <a:graphicData uri="http://schemas.openxmlformats.org/drawingml/2006/picture">
                <pic:pic>
                  <pic:nvPicPr>
                    <pic:cNvPr descr="image/2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«Системы линейных уравнений»</w:t>
      </w:r>
    </w:p>
    <w:bookmarkEnd w:id="110"/>
    <w:p>
      <w:pPr>
        <w:pStyle w:val="BodyText"/>
      </w:pPr>
      <w:r>
        <w:rPr>
          <w:b/>
          <w:bCs/>
        </w:rPr>
        <w:t xml:space="preserve">Выполнение задания «Операции с матрицами»</w:t>
      </w:r>
      <w:r>
        <w:t xml:space="preserve"> </w:t>
      </w:r>
      <w:r>
        <w:t xml:space="preserve">(рис. #fig:022 – #fig:026):</w:t>
      </w:r>
    </w:p>
    <w:bookmarkStart w:id="114" w:name="fig:022"/>
    <w:p>
      <w:pPr>
        <w:pStyle w:val="CaptionedFigure"/>
      </w:pPr>
      <w:r>
        <w:drawing>
          <wp:inline>
            <wp:extent cx="5334000" cy="2434422"/>
            <wp:effectExtent b="0" l="0" r="0" t="0"/>
            <wp:docPr descr="Решение задания «Операции с матрицами»" title="" id="112" name="Picture"/>
            <a:graphic>
              <a:graphicData uri="http://schemas.openxmlformats.org/drawingml/2006/picture">
                <pic:pic>
                  <pic:nvPicPr>
                    <pic:cNvPr descr="image/2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4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«Операции с матрицами»</w:t>
      </w:r>
    </w:p>
    <w:bookmarkEnd w:id="114"/>
    <w:bookmarkStart w:id="118" w:name="fig:023"/>
    <w:p>
      <w:pPr>
        <w:pStyle w:val="CaptionedFigure"/>
      </w:pPr>
      <w:r>
        <w:drawing>
          <wp:inline>
            <wp:extent cx="5334000" cy="1408896"/>
            <wp:effectExtent b="0" l="0" r="0" t="0"/>
            <wp:docPr descr="Решение задания «Операции с матрицами»" title="" id="116" name="Picture"/>
            <a:graphic>
              <a:graphicData uri="http://schemas.openxmlformats.org/drawingml/2006/picture">
                <pic:pic>
                  <pic:nvPicPr>
                    <pic:cNvPr descr="image/23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8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«Операции с матрицами»</w:t>
      </w:r>
    </w:p>
    <w:bookmarkEnd w:id="118"/>
    <w:bookmarkStart w:id="122" w:name="fig:024"/>
    <w:p>
      <w:pPr>
        <w:pStyle w:val="CaptionedFigure"/>
      </w:pPr>
      <w:r>
        <w:drawing>
          <wp:inline>
            <wp:extent cx="5334000" cy="1287059"/>
            <wp:effectExtent b="0" l="0" r="0" t="0"/>
            <wp:docPr descr="Решение задания «Операции с матрицами»" title="" id="120" name="Picture"/>
            <a:graphic>
              <a:graphicData uri="http://schemas.openxmlformats.org/drawingml/2006/picture">
                <pic:pic>
                  <pic:nvPicPr>
                    <pic:cNvPr descr="image/24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7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«Операции с матрицами»</w:t>
      </w:r>
    </w:p>
    <w:bookmarkEnd w:id="122"/>
    <w:bookmarkStart w:id="126" w:name="fig:025"/>
    <w:p>
      <w:pPr>
        <w:pStyle w:val="CaptionedFigure"/>
      </w:pPr>
      <w:r>
        <w:drawing>
          <wp:inline>
            <wp:extent cx="5334000" cy="1457039"/>
            <wp:effectExtent b="0" l="0" r="0" t="0"/>
            <wp:docPr descr="Решение задания «Операции с матрицами»" title="" id="124" name="Picture"/>
            <a:graphic>
              <a:graphicData uri="http://schemas.openxmlformats.org/drawingml/2006/picture">
                <pic:pic>
                  <pic:nvPicPr>
                    <pic:cNvPr descr="image/2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7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«Операции с матрицами»</w:t>
      </w:r>
    </w:p>
    <w:bookmarkEnd w:id="126"/>
    <w:bookmarkStart w:id="130" w:name="fig:026"/>
    <w:p>
      <w:pPr>
        <w:pStyle w:val="CaptionedFigure"/>
      </w:pPr>
      <w:r>
        <w:drawing>
          <wp:inline>
            <wp:extent cx="5334000" cy="2485852"/>
            <wp:effectExtent b="0" l="0" r="0" t="0"/>
            <wp:docPr descr="Решение задания «Операции с матрицами»" title="" id="128" name="Picture"/>
            <a:graphic>
              <a:graphicData uri="http://schemas.openxmlformats.org/drawingml/2006/picture">
                <pic:pic>
                  <pic:nvPicPr>
                    <pic:cNvPr descr="image/2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5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«Операции с матрицами»</w:t>
      </w:r>
    </w:p>
    <w:bookmarkEnd w:id="130"/>
    <w:p>
      <w:pPr>
        <w:pStyle w:val="BodyText"/>
      </w:pPr>
      <w:r>
        <w:rPr>
          <w:b/>
          <w:bCs/>
        </w:rPr>
        <w:t xml:space="preserve">Выполнение задания «Линейные модели экономики»</w:t>
      </w:r>
      <w:r>
        <w:t xml:space="preserve"> </w:t>
      </w:r>
      <w:r>
        <w:t xml:space="preserve">(рис. #fig:027):</w:t>
      </w:r>
    </w:p>
    <w:p>
      <w:pPr>
        <w:pStyle w:val="Compact"/>
        <w:numPr>
          <w:ilvl w:val="0"/>
          <w:numId w:val="1001"/>
        </w:numPr>
      </w:pPr>
      <w:r>
        <w:t xml:space="preserve">Матрица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называется продуктивной, если решение системы</w:t>
      </w:r>
      <w:r>
        <w:t xml:space="preserve"> </w:t>
      </w:r>
      <w:r>
        <w:rPr>
          <w:rStyle w:val="VerbatimChar"/>
        </w:rPr>
        <w:t xml:space="preserve">x = A x + b</w:t>
      </w:r>
      <w:r>
        <w:t xml:space="preserve"> </w:t>
      </w:r>
      <w:r>
        <w:t xml:space="preserve">при любой неотрицательной правой части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имеет только неотрицательные элементы</w:t>
      </w:r>
      <w:r>
        <w:t xml:space="preserve"> </w:t>
      </w:r>
      <w:r>
        <w:rPr>
          <w:rStyle w:val="VerbatimChar"/>
        </w:rPr>
        <w:t xml:space="preserve">x</w:t>
      </w:r>
      <w:r>
        <w:t xml:space="preserve">. Используя итерации, проверьте, являются ли матрицы продуктивными.</w:t>
      </w:r>
    </w:p>
    <w:p>
      <w:pPr>
        <w:pStyle w:val="Compact"/>
        <w:numPr>
          <w:ilvl w:val="0"/>
          <w:numId w:val="1001"/>
        </w:numPr>
      </w:pPr>
      <w:r>
        <w:t xml:space="preserve">Критерий продуктивности: матрица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является продуктивной тогда и только тогда, когда все элементы матрицы</w:t>
      </w:r>
      <w:r>
        <w:t xml:space="preserve"> </w:t>
      </w:r>
      <w:r>
        <w:rPr>
          <w:rStyle w:val="VerbatimChar"/>
        </w:rPr>
        <w:t xml:space="preserve">(I - A)^{-1}</w:t>
      </w:r>
      <w:r>
        <w:t xml:space="preserve"> </w:t>
      </w:r>
      <w:r>
        <w:t xml:space="preserve">являются неотрицательными числами. Используя этот критерий, проверьте, являются ли матрицы продуктивными.</w:t>
      </w:r>
    </w:p>
    <w:p>
      <w:pPr>
        <w:pStyle w:val="Compact"/>
        <w:numPr>
          <w:ilvl w:val="0"/>
          <w:numId w:val="1001"/>
        </w:numPr>
      </w:pPr>
      <w:r>
        <w:t xml:space="preserve">Сопутствующий критерий продуктивности: матрица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является продуктивной тогда и только тогда, когда все её собственные значения по модулю меньше 1. Используя этот критерий, проверьте, являются ли матрицы продуктивными.</w:t>
      </w:r>
    </w:p>
    <w:bookmarkStart w:id="134" w:name="fig:027"/>
    <w:p>
      <w:pPr>
        <w:pStyle w:val="CaptionedFigure"/>
      </w:pPr>
      <w:r>
        <w:drawing>
          <wp:inline>
            <wp:extent cx="5334000" cy="2798572"/>
            <wp:effectExtent b="0" l="0" r="0" t="0"/>
            <wp:docPr descr="Решение задания «Линейные модели экономики»" title="" id="132" name="Picture"/>
            <a:graphic>
              <a:graphicData uri="http://schemas.openxmlformats.org/drawingml/2006/picture">
                <pic:pic>
                  <pic:nvPicPr>
                    <pic:cNvPr descr="image/27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8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Решение задания «Линейные модели экономики»</w:t>
      </w:r>
    </w:p>
    <w:bookmarkEnd w:id="134"/>
    <w:p>
      <w:r>
        <w:pict>
          <v:rect style="width:0;height:1.5pt" o:hralign="center" o:hrstd="t" o:hr="t"/>
        </w:pict>
      </w:r>
    </w:p>
    <w:bookmarkEnd w:id="135"/>
    <w:bookmarkEnd w:id="136"/>
    <w:bookmarkStart w:id="137" w:name="вывод"/>
    <w:p>
      <w:pPr>
        <w:pStyle w:val="Heading2"/>
      </w:pPr>
      <w:r>
        <w:t xml:space="preserve">3 3. Вывод</w:t>
      </w:r>
    </w:p>
    <w:p>
      <w:pPr>
        <w:pStyle w:val="FirstParagraph"/>
      </w:pPr>
      <w:r>
        <w:t xml:space="preserve">В ходе выполнения лабораторной работы были изучены возможности специализированных пакетов Julia для выполнения и оценки эффективности операций над объектами линейной алгебры.</w:t>
      </w:r>
    </w:p>
    <w:p>
      <w:r>
        <w:pict>
          <v:rect style="width:0;height:1.5pt" o:hralign="center" o:hrstd="t" o:hr="t"/>
        </w:pict>
      </w:r>
    </w:p>
    <w:bookmarkEnd w:id="137"/>
    <w:bookmarkStart w:id="138" w:name="список-литературы.-библиография"/>
    <w:p>
      <w:pPr>
        <w:pStyle w:val="Heading2"/>
      </w:pPr>
      <w:r>
        <w:t xml:space="preserve">4 4. Список литературы. Библиография</w:t>
      </w:r>
    </w:p>
    <w:p>
      <w:pPr>
        <w:pStyle w:val="Compact"/>
        <w:numPr>
          <w:ilvl w:val="0"/>
          <w:numId w:val="1002"/>
        </w:numPr>
      </w:pPr>
      <w:r>
        <w:t xml:space="preserve">Julia Documentation: https://docs.julialang.org/en/v1/</w:t>
      </w:r>
    </w:p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25" Target="media/rId25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Ко Антон Геннадьевич</dc:creator>
  <dc:language>ru-RU</dc:language>
  <cp:keywords>лабораторная работа, алгебра, Markdown, Julia</cp:keywords>
  <dcterms:created xsi:type="dcterms:W3CDTF">2026-10-24T19:46:43Z</dcterms:created>
  <dcterms:modified xsi:type="dcterms:W3CDTF">2026-10-24T19:46:43Z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Julia. Линейная алгебра.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Линейная алгебра</vt:lpwstr>
  </property>
  <property fmtid="{D5CDD505-2E9C-101B-9397-08002B2CF9AE}" pid="17" name="toc-title">
    <vt:lpwstr>Содержание</vt:lpwstr>
  </property>
</Properties>
</file>