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2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</w:t>
      </w:r>
    </w:p>
    <w:p>
      <w:pPr>
        <w:pStyle w:val="Subtitle"/>
      </w:pPr>
      <w:r>
        <w:t xml:space="preserve">Лабораторная работа № 3. Анализ трафика в Wireshark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MAC-адресация</w:t>
      </w:r>
    </w:p>
    <w:p>
      <w:pPr>
        <w:pStyle w:val="Compact"/>
        <w:numPr>
          <w:ilvl w:val="1"/>
          <w:numId w:val="1002"/>
        </w:numPr>
      </w:pPr>
      <w:r>
        <w:t xml:space="preserve">Изучение возможностей команды ipconfig для ОС типа Windows (ipconfig для систем типа Linux).</w:t>
      </w:r>
    </w:p>
    <w:p>
      <w:pPr>
        <w:pStyle w:val="Compact"/>
        <w:numPr>
          <w:ilvl w:val="1"/>
          <w:numId w:val="1002"/>
        </w:numPr>
      </w:pPr>
      <w:r>
        <w:t xml:space="preserve">Определение MAC-адреса устройства и его типа.</w:t>
      </w:r>
    </w:p>
    <w:p>
      <w:pPr>
        <w:pStyle w:val="Compact"/>
        <w:numPr>
          <w:ilvl w:val="0"/>
          <w:numId w:val="1001"/>
        </w:numPr>
      </w:pPr>
      <w:r>
        <w:t xml:space="preserve">Анализ кадров канального уровня в Wireshark</w:t>
      </w:r>
    </w:p>
    <w:p>
      <w:pPr>
        <w:pStyle w:val="Compact"/>
        <w:numPr>
          <w:ilvl w:val="1"/>
          <w:numId w:val="1003"/>
        </w:numPr>
      </w:pPr>
      <w:r>
        <w:t xml:space="preserve">Установить на домашнем устройстве Wireshark.</w:t>
      </w:r>
    </w:p>
    <w:p>
      <w:pPr>
        <w:pStyle w:val="Compact"/>
        <w:numPr>
          <w:ilvl w:val="1"/>
          <w:numId w:val="1003"/>
        </w:numPr>
      </w:pPr>
      <w:r>
        <w:t xml:space="preserve">С помощью Wireshark захватить и проанализировать пакеты ARP и ICMP в части кадров канального уровня</w:t>
      </w:r>
    </w:p>
    <w:p>
      <w:pPr>
        <w:pStyle w:val="Compact"/>
        <w:numPr>
          <w:ilvl w:val="0"/>
          <w:numId w:val="1001"/>
        </w:numPr>
      </w:pPr>
      <w:r>
        <w:t xml:space="preserve">Анализ протоколов транспортного уровня в Wireshark. С помощью Wireshark захватить и проанализировать пакеты HTTP, DNS в части заголовков и информации протоколов TCP, UDP, QUIC.</w:t>
      </w:r>
    </w:p>
    <w:p>
      <w:pPr>
        <w:pStyle w:val="Compact"/>
        <w:numPr>
          <w:ilvl w:val="0"/>
          <w:numId w:val="1001"/>
        </w:numPr>
      </w:pPr>
      <w:r>
        <w:t xml:space="preserve">Анализ handshake протокола TCP в Wireshark.С помощью Wireshark проанализировать handshake протокола TCP.</w:t>
      </w:r>
    </w:p>
    <w:bookmarkEnd w:id="21"/>
    <w:bookmarkStart w:id="11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8" w:name="mac-адресация"/>
    <w:p>
      <w:pPr>
        <w:pStyle w:val="Heading2"/>
      </w:pPr>
      <w:r>
        <w:t xml:space="preserve">3.1 MAC-адресация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выведем информацию о текущем сетевом соединении (рис. #fig:001, #fig:002).</w:t>
      </w:r>
    </w:p>
    <w:bookmarkStart w:id="25" w:name="fig:001"/>
    <w:p>
      <w:pPr>
        <w:pStyle w:val="CaptionedFigure"/>
      </w:pPr>
      <w:r>
        <w:drawing>
          <wp:inline>
            <wp:extent cx="2166897" cy="614722"/>
            <wp:effectExtent b="0" l="0" r="0" t="0"/>
            <wp:docPr descr="Вывод команды ipconfig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897" cy="61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</w:t>
      </w:r>
      <w:r>
        <w:t xml:space="preserve"> </w:t>
      </w:r>
      <w:r>
        <w:rPr>
          <w:rStyle w:val="VerbatimChar"/>
        </w:rPr>
        <w:t xml:space="preserve">ipconfig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638248"/>
            <wp:effectExtent b="0" l="0" r="0" t="0"/>
            <wp:docPr descr="Вывод команды ipconfig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8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</w:t>
      </w:r>
      <w:r>
        <w:t xml:space="preserve"> </w:t>
      </w:r>
      <w:r>
        <w:rPr>
          <w:rStyle w:val="VerbatimChar"/>
        </w:rPr>
        <w:t xml:space="preserve">ipconfig</w:t>
      </w:r>
    </w:p>
    <w:bookmarkEnd w:id="29"/>
    <w:p>
      <w:pPr>
        <w:pStyle w:val="BodyText"/>
      </w:pPr>
      <w:r>
        <w:t xml:space="preserve">Также можно использовать опцию</w:t>
      </w:r>
      <w:r>
        <w:t xml:space="preserve"> </w:t>
      </w:r>
      <w:r>
        <w:rPr>
          <w:rStyle w:val="VerbatimChar"/>
        </w:rPr>
        <w:t xml:space="preserve">-all</w:t>
      </w:r>
      <w:r>
        <w:t xml:space="preserve">, с помощью которой выводится полный список интерфейсов(рис. #fig:005). При таком выводе можно увидеть информацию только о следующих параметрах:</w:t>
      </w:r>
    </w:p>
    <w:p>
      <w:pPr>
        <w:pStyle w:val="BodyText"/>
      </w:pPr>
      <w:r>
        <w:t xml:space="preserve">/? Вывод справки по использованию</w:t>
      </w:r>
      <w:r>
        <w:t xml:space="preserve"> </w:t>
      </w:r>
      <w:r>
        <w:t xml:space="preserve">/all Отображение полных сведений о конфигурации.</w:t>
      </w:r>
      <w:r>
        <w:t xml:space="preserve"> </w:t>
      </w:r>
      <w:r>
        <w:t xml:space="preserve">/release Освобождение IPv4-адреса для указанного адаптера.</w:t>
      </w:r>
      <w:r>
        <w:t xml:space="preserve"> </w:t>
      </w:r>
      <w:r>
        <w:t xml:space="preserve">/release6 Освобождение IPv6-адреса для указанного адаптера.</w:t>
      </w:r>
      <w:r>
        <w:t xml:space="preserve"> </w:t>
      </w:r>
      <w:r>
        <w:t xml:space="preserve">/renew Освобождение IPv4-адреса для указанного адаптера.</w:t>
      </w:r>
      <w:r>
        <w:t xml:space="preserve"> </w:t>
      </w:r>
      <w:r>
        <w:t xml:space="preserve">/renew6 Освобождение IPv6-адреса для указанного адаптера.</w:t>
      </w:r>
      <w:r>
        <w:t xml:space="preserve"> </w:t>
      </w:r>
      <w:r>
        <w:t xml:space="preserve">/flushdns Очищает кэш сопоставителя DNS.</w:t>
      </w:r>
      <w:r>
        <w:t xml:space="preserve"> </w:t>
      </w:r>
      <w:r>
        <w:t xml:space="preserve">/registerdns Обновляет все аренды DHCP и повторно регистрирует DNS-имена</w:t>
      </w:r>
      <w:r>
        <w:t xml:space="preserve"> </w:t>
      </w:r>
      <w:r>
        <w:t xml:space="preserve">/displaydns Отображение содержимого кэша сопоставителя DNS.</w:t>
      </w:r>
      <w:r>
        <w:t xml:space="preserve"> </w:t>
      </w:r>
      <w:r>
        <w:t xml:space="preserve">/showclassid Отображает все ИД класса DHCP, разрешенные для адаптеров.</w:t>
      </w:r>
      <w:r>
        <w:t xml:space="preserve"> </w:t>
      </w:r>
      <w:r>
        <w:t xml:space="preserve">/setclassid Изменяет ИД класса DHCP.</w:t>
      </w:r>
      <w:r>
        <w:t xml:space="preserve"> </w:t>
      </w:r>
      <w:r>
        <w:t xml:space="preserve">/showclassid6 Отображает все ИД класса DHCP IPv6, разрешенные для адаптеров.</w:t>
      </w:r>
      <w:r>
        <w:t xml:space="preserve"> </w:t>
      </w:r>
      <w:r>
        <w:t xml:space="preserve">/setclassid6 Изменяет ИД класса DHCP IPv6.</w:t>
      </w:r>
    </w:p>
    <w:bookmarkStart w:id="33" w:name="fig:005"/>
    <w:p>
      <w:pPr>
        <w:pStyle w:val="CaptionedFigure"/>
      </w:pPr>
      <w:r>
        <w:drawing>
          <wp:inline>
            <wp:extent cx="3733800" cy="3460932"/>
            <wp:effectExtent b="0" l="0" r="0" t="0"/>
            <wp:docPr descr="Использование опции /all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0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опции</w:t>
      </w:r>
      <w:r>
        <w:t xml:space="preserve"> </w:t>
      </w:r>
      <w:r>
        <w:rPr>
          <w:rStyle w:val="VerbatimChar"/>
        </w:rPr>
        <w:t xml:space="preserve">/all</w:t>
      </w:r>
    </w:p>
    <w:bookmarkEnd w:id="33"/>
    <w:p>
      <w:pPr>
        <w:pStyle w:val="BodyText"/>
      </w:pPr>
      <w:r>
        <w:t xml:space="preserve">Первые три байта E4:FD:45 в этом адресе соответствуют индентификатору производителя, в Интернете можно найти, какой компании соответствует этот индентификатор(рис. #fig:006). Последние три байта 25:D6:F9 индентифицируют сетевой интерфейс.</w:t>
      </w:r>
    </w:p>
    <w:bookmarkStart w:id="37" w:name="fig:006"/>
    <w:p>
      <w:pPr>
        <w:pStyle w:val="CaptionedFigure"/>
      </w:pPr>
      <w:r>
        <w:drawing>
          <wp:inline>
            <wp:extent cx="3733800" cy="2326671"/>
            <wp:effectExtent b="0" l="0" r="0" t="0"/>
            <wp:docPr descr="Демонстрация производителя сетевого оборудования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производителя сетевого оборудования</w:t>
      </w:r>
    </w:p>
    <w:bookmarkEnd w:id="37"/>
    <w:p>
      <w:pPr>
        <w:pStyle w:val="BodyText"/>
      </w:pPr>
      <w:r>
        <w:t xml:space="preserve">Возьмем первый байт E4 и переведём его в двоичную систему. Получим 11100100. Так как последний бит ноль, то адрес является индивидуальным. А так как предпоследний бит ноль, то адрес глобально администрируемый.</w:t>
      </w:r>
    </w:p>
    <w:bookmarkEnd w:id="38"/>
    <w:bookmarkStart w:id="75" w:name="X6c76421fbd19cc984e76814c23119fc66625a76"/>
    <w:p>
      <w:pPr>
        <w:pStyle w:val="Heading2"/>
      </w:pPr>
      <w:r>
        <w:t xml:space="preserve">3.2 Анализ кадров канального уровня в Wireshark</w:t>
      </w:r>
    </w:p>
    <w:p>
      <w:pPr>
        <w:pStyle w:val="FirstParagraph"/>
      </w:pPr>
      <w:r>
        <w:t xml:space="preserve">Запустим wireshark и начнем захват трафика (рис. #fig:007).</w:t>
      </w:r>
    </w:p>
    <w:bookmarkStart w:id="42" w:name="fig:007"/>
    <w:p>
      <w:pPr>
        <w:pStyle w:val="CaptionedFigure"/>
      </w:pPr>
      <w:r>
        <w:drawing>
          <wp:inline>
            <wp:extent cx="3733800" cy="2171372"/>
            <wp:effectExtent b="0" l="0" r="0" t="0"/>
            <wp:docPr descr="Захват трафика в wireshark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1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Захват трафика в wireshark</w:t>
      </w:r>
    </w:p>
    <w:bookmarkEnd w:id="42"/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определим IP-адрес устройства – 192.168.1.82. (рис. #fig:008).</w:t>
      </w:r>
    </w:p>
    <w:bookmarkStart w:id="46" w:name="fig:008"/>
    <w:p>
      <w:pPr>
        <w:pStyle w:val="CaptionedFigure"/>
      </w:pPr>
      <w:r>
        <w:drawing>
          <wp:inline>
            <wp:extent cx="3733800" cy="683106"/>
            <wp:effectExtent b="0" l="0" r="0" t="0"/>
            <wp:docPr descr="Определение IP-адреса устройства и шлюза по умолчанию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3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IP-адреса устройства и шлюза по умолчанию</w:t>
      </w:r>
    </w:p>
    <w:bookmarkEnd w:id="46"/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 </w:t>
      </w:r>
      <w:r>
        <w:t xml:space="preserve">пропингуем шлюз по умолчанию (рис. #fig:009).</w:t>
      </w:r>
    </w:p>
    <w:bookmarkStart w:id="50" w:name="fig:009"/>
    <w:p>
      <w:pPr>
        <w:pStyle w:val="CaptionedFigure"/>
      </w:pPr>
      <w:r>
        <w:drawing>
          <wp:inline>
            <wp:extent cx="3733800" cy="1258584"/>
            <wp:effectExtent b="0" l="0" r="0" t="0"/>
            <wp:docPr descr="Пингование шлюза по умолчанию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 шлюза по умолчанию</w:t>
      </w:r>
    </w:p>
    <w:bookmarkEnd w:id="50"/>
    <w:p>
      <w:pPr>
        <w:pStyle w:val="BodyText"/>
      </w:pPr>
      <w:r>
        <w:t xml:space="preserve">Затем остановим захват трафика wireshark и пропишем фильтр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. В списке пакетов отобразились только пакеты ARP и ICMP, в частности пакеты, которые были сгенерированы с помощью команды ping (рис. #fig:010).</w:t>
      </w:r>
    </w:p>
    <w:bookmarkStart w:id="54" w:name="fig:010"/>
    <w:p>
      <w:pPr>
        <w:pStyle w:val="CaptionedFigure"/>
      </w:pPr>
      <w:r>
        <w:drawing>
          <wp:inline>
            <wp:extent cx="3733800" cy="216341"/>
            <wp:effectExtent b="0" l="0" r="0" t="0"/>
            <wp:docPr descr="Кадр ICMP - эхо-запрос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ICMP - эхо-запрос</w:t>
      </w:r>
    </w:p>
    <w:bookmarkEnd w:id="54"/>
    <w:p>
      <w:pPr>
        <w:pStyle w:val="BodyText"/>
      </w:pPr>
      <w:r>
        <w:t xml:space="preserve">На панели списка пакетов (верхний раздел) выберем второй указанный кадр ICMP — эхо-ответ (#fig:011).</w:t>
      </w:r>
    </w:p>
    <w:bookmarkStart w:id="58" w:name="fig:011"/>
    <w:p>
      <w:pPr>
        <w:pStyle w:val="CaptionedFigure"/>
      </w:pPr>
      <w:r>
        <w:drawing>
          <wp:inline>
            <wp:extent cx="3733800" cy="280654"/>
            <wp:effectExtent b="0" l="0" r="0" t="0"/>
            <wp:docPr descr="Кадр ICMP - эхо-ответ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ICMP - эхо-ответ</w:t>
      </w:r>
    </w:p>
    <w:bookmarkEnd w:id="58"/>
    <w:p>
      <w:pPr>
        <w:pStyle w:val="BodyText"/>
      </w:pPr>
      <w:r>
        <w:t xml:space="preserve">На панели списка пакетов (верхний раздел) выберем второй указанный кадр ARP (#fig:012). Изучим информацию на панели сведений о пакете в средней части экрана. Длинf кадра равняется 42 байтf, заголовок Ethernet первые 14 байт кадра, кадр относится к типу Ethernet II. MAC-адрес пункта назначения – это первые 6 байт заголовка Ethernet, а MAC-адрес источника - следующие 6 байт заголовка Ethernet, оба MAC-адреса являются индивидуальными и глобально администрируемыми. Также в заголовке Ethernet последние два байта обозначают вложенным пакет типа ARP.</w:t>
      </w:r>
    </w:p>
    <w:bookmarkStart w:id="62" w:name="fig:012"/>
    <w:p>
      <w:pPr>
        <w:pStyle w:val="CaptionedFigure"/>
      </w:pPr>
      <w:r>
        <w:drawing>
          <wp:inline>
            <wp:extent cx="3733800" cy="108520"/>
            <wp:effectExtent b="0" l="0" r="0" t="0"/>
            <wp:docPr descr="Кадр ARP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ARP</w:t>
      </w:r>
    </w:p>
    <w:bookmarkEnd w:id="62"/>
    <w:p>
      <w:pPr>
        <w:pStyle w:val="BodyText"/>
      </w:pPr>
      <w:r>
        <w:t xml:space="preserve">Теперь начнём новый процесс захвата трафика и пропингуем сайт vk.com (#fig:013).</w:t>
      </w:r>
    </w:p>
    <w:bookmarkStart w:id="66" w:name="fig:013"/>
    <w:p>
      <w:pPr>
        <w:pStyle w:val="CaptionedFigure"/>
      </w:pPr>
      <w:r>
        <w:drawing>
          <wp:inline>
            <wp:extent cx="3733800" cy="1397495"/>
            <wp:effectExtent b="0" l="0" r="0" t="0"/>
            <wp:docPr descr="Пингование сайта vk.com" title="" id="64" name="Picture"/>
            <a:graphic>
              <a:graphicData uri="http://schemas.openxmlformats.org/drawingml/2006/picture">
                <pic:pic>
                  <pic:nvPicPr>
                    <pic:cNvPr descr="image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7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 сайта vk.com</w:t>
      </w:r>
    </w:p>
    <w:bookmarkEnd w:id="66"/>
    <w:p>
      <w:pPr>
        <w:pStyle w:val="BodyText"/>
      </w:pPr>
      <w:r>
        <w:t xml:space="preserve">Изучим эхо-запрос и эхо-ответ ICMP в программе Wireshark (#fig:014). Изучим информацию на панели сведений о пакете в средней части экрана. В обоих случаях длина кадра равняется 118 байт, заголовок Ethernet первые 14 байт кадра и кадр относится к типу Ethernet II. В случае эхо-запроса точка назначения – сайт, а источник – сетевой интерфейс моего устройства, в случае же эхо-ответа – наоборот. MAC-адрес точки назначения – это первые 6 байт заголовка Ethernet, а MAC-адрес источника – следующие 6 байт заголовка Ethernet, оба MAC-адреса являются индивидуальными и глобально администрируемыми.</w:t>
      </w:r>
    </w:p>
    <w:bookmarkStart w:id="70" w:name="fig:014"/>
    <w:p>
      <w:pPr>
        <w:pStyle w:val="CaptionedFigure"/>
      </w:pPr>
      <w:r>
        <w:drawing>
          <wp:inline>
            <wp:extent cx="3733800" cy="662139"/>
            <wp:effectExtent b="0" l="0" r="0" t="0"/>
            <wp:docPr descr="Пингование сайта vk.com. Кадр ICMP - эхо-запрос" title="" id="68" name="Picture"/>
            <a:graphic>
              <a:graphicData uri="http://schemas.openxmlformats.org/drawingml/2006/picture">
                <pic:pic>
                  <pic:nvPicPr>
                    <pic:cNvPr descr="image/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2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 сайта vk.com. Кадр ICMP - эхо-запрос</w:t>
      </w:r>
    </w:p>
    <w:bookmarkEnd w:id="70"/>
    <w:p>
      <w:pPr>
        <w:pStyle w:val="BodyText"/>
      </w:pPr>
      <w:r>
        <w:t xml:space="preserve">Изучим запрос и ответ ARP в программе Wireshark(#fig:015). Изучим информацию на панели сведений о пакете в средней части экрана. В обоих случаях длина кадра равняется 42 байтf, заголовок Ethernet первые 14 байт кадра и кадр относится к типу Ethernet II. В случае запроса точка назначения – сетевой интерфейс оборудования, а источник – шлюз по умолчанию, в случае же эхо-ответа – наоборот, эхо-ответ сообщает шлюзу по умолчанию MAC-адрес сетевого интерфейса. MAC-адрес точки назначения – это первые 6 байт заголовка Ethernet, а MAC-адрес источника – следующие 6 байт заголовка Ethernet, оба MAC-адреса являются индивидуальными и глобально администрируемыми.</w:t>
      </w:r>
    </w:p>
    <w:bookmarkStart w:id="74" w:name="fig:015"/>
    <w:p>
      <w:pPr>
        <w:pStyle w:val="CaptionedFigure"/>
      </w:pPr>
      <w:r>
        <w:drawing>
          <wp:inline>
            <wp:extent cx="3733800" cy="310928"/>
            <wp:effectExtent b="0" l="0" r="0" t="0"/>
            <wp:docPr descr="Пингование сайта vk.com. Кадр ARP - ответ" title="" id="72" name="Picture"/>
            <a:graphic>
              <a:graphicData uri="http://schemas.openxmlformats.org/drawingml/2006/picture">
                <pic:pic>
                  <pic:nvPicPr>
                    <pic:cNvPr descr="image/1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Пингование сайта vk.com. Кадр ARP - ответ</w:t>
      </w:r>
    </w:p>
    <w:bookmarkEnd w:id="74"/>
    <w:bookmarkEnd w:id="75"/>
    <w:bookmarkStart w:id="96" w:name="X2966bb2fc3c9a92445bae0f6a1e0c47d9574f17"/>
    <w:p>
      <w:pPr>
        <w:pStyle w:val="Heading2"/>
      </w:pPr>
      <w:r>
        <w:t xml:space="preserve">3.3 Анализ протоколов транспортного уровня в Wireshark</w:t>
      </w:r>
    </w:p>
    <w:p>
      <w:pPr>
        <w:pStyle w:val="FirstParagraph"/>
      </w:pPr>
      <w:r>
        <w:t xml:space="preserve">В браузере перейдем на сайт, работающий по протоколу</w:t>
      </w:r>
      <w:r>
        <w:t xml:space="preserve"> </w:t>
      </w:r>
      <w:r>
        <w:t xml:space="preserve">HTTP, а именно на сайт Правительства России, т.к. у меня на CERN не работало http://government.ru/. Поперемещаемся по ссылкам и разделам сайта.</w:t>
      </w:r>
      <w:r>
        <w:t xml:space="preserve"> </w:t>
      </w:r>
      <w:r>
        <w:t xml:space="preserve">В Wireshark в строке фильтра укажим http и проанализируем информацию по протоколу TCP в случае запросов и ответов.</w:t>
      </w:r>
    </w:p>
    <w:p>
      <w:pPr>
        <w:pStyle w:val="BodyText"/>
      </w:pPr>
      <w:r>
        <w:t xml:space="preserve">Порт источника задан случайно, выбором из непривелигированных и незанятых портов, и равен 56439, порт назначения равен 80 - это стандартный порт HTTP(#fig:018).</w:t>
      </w:r>
    </w:p>
    <w:bookmarkStart w:id="79" w:name="fig:018"/>
    <w:p>
      <w:pPr>
        <w:pStyle w:val="CaptionedFigure"/>
      </w:pPr>
      <w:r>
        <w:drawing>
          <wp:inline>
            <wp:extent cx="3733800" cy="1329535"/>
            <wp:effectExtent b="0" l="0" r="0" t="0"/>
            <wp:docPr descr="Запрос HTTP по протоколу TCP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9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Запрос HTTP по протоколу TCP</w:t>
      </w:r>
    </w:p>
    <w:bookmarkEnd w:id="79"/>
    <w:p>
      <w:pPr>
        <w:pStyle w:val="BodyText"/>
      </w:pPr>
      <w:r>
        <w:t xml:space="preserve">В случае ответа порты заданы наоборот, то есть источник - 80 порт, назначение - 56439.</w:t>
      </w:r>
    </w:p>
    <w:p>
      <w:pPr>
        <w:pStyle w:val="BodyText"/>
      </w:pPr>
      <w:r>
        <w:t xml:space="preserve">Wireshark в строке фильтра укажем dns и проанализируем информацию по протоколу UDP в случае запросов и ответов. Протокол UDP добавляет номера портов, то есть вводит адрес транспортного уровня. Порт источника задан случайно, выбором из непривелигированных и незанятых портов, и равен 55091, порт назначения равен 53 - это стандартный порт DNS(#fig:022).</w:t>
      </w:r>
    </w:p>
    <w:bookmarkStart w:id="83" w:name="fig:022"/>
    <w:p>
      <w:pPr>
        <w:pStyle w:val="CaptionedFigure"/>
      </w:pPr>
      <w:r>
        <w:drawing>
          <wp:inline>
            <wp:extent cx="3733800" cy="1237278"/>
            <wp:effectExtent b="0" l="0" r="0" t="0"/>
            <wp:docPr descr="Запрос dns по протоколу UDP" title="" id="81" name="Picture"/>
            <a:graphic>
              <a:graphicData uri="http://schemas.openxmlformats.org/drawingml/2006/picture">
                <pic:pic>
                  <pic:nvPicPr>
                    <pic:cNvPr descr="image/2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Запрос dns по протоколу UDP</w:t>
      </w:r>
    </w:p>
    <w:bookmarkEnd w:id="83"/>
    <w:p>
      <w:pPr>
        <w:pStyle w:val="BodyText"/>
      </w:pPr>
      <w:r>
        <w:t xml:space="preserve">В случае ответа порты заданы наоборот, то есть источник - 53 порт, назначение - 59084 (#fig:023).</w:t>
      </w:r>
    </w:p>
    <w:bookmarkStart w:id="87" w:name="fig:023"/>
    <w:p>
      <w:pPr>
        <w:pStyle w:val="CaptionedFigure"/>
      </w:pPr>
      <w:r>
        <w:drawing>
          <wp:inline>
            <wp:extent cx="3733800" cy="1040041"/>
            <wp:effectExtent b="0" l="0" r="0" t="0"/>
            <wp:docPr descr="Ответ DNS по протоколу UDP" title="" id="85" name="Picture"/>
            <a:graphic>
              <a:graphicData uri="http://schemas.openxmlformats.org/drawingml/2006/picture">
                <pic:pic>
                  <pic:nvPicPr>
                    <pic:cNvPr descr="image/2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0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 DNS по протоколу UDP</w:t>
      </w:r>
    </w:p>
    <w:bookmarkEnd w:id="87"/>
    <w:p>
      <w:pPr>
        <w:pStyle w:val="BodyText"/>
      </w:pPr>
      <w:r>
        <w:t xml:space="preserve">В Wireshark в строке фильтра укажем quic и проанализируем информацию по протоколу quic в случае запросов и ответов. Как и в случае dns можем посмотреть информацию транспортного уровня по протоколу UDP. Порт источника задан случайно, выбором из непривелигированных и незанятых портов, и равен 61208, порт назначения равен 443 - это стандартный порт HTTPS, то есть quic сразу криптуется(#fig:024).</w:t>
      </w:r>
    </w:p>
    <w:bookmarkStart w:id="91" w:name="fig:024"/>
    <w:p>
      <w:pPr>
        <w:pStyle w:val="CaptionedFigure"/>
      </w:pPr>
      <w:r>
        <w:drawing>
          <wp:inline>
            <wp:extent cx="3733800" cy="1369651"/>
            <wp:effectExtent b="0" l="0" r="0" t="0"/>
            <wp:docPr descr="Запрос QUIC по протоколу UDP" title="" id="89" name="Picture"/>
            <a:graphic>
              <a:graphicData uri="http://schemas.openxmlformats.org/drawingml/2006/picture">
                <pic:pic>
                  <pic:nvPicPr>
                    <pic:cNvPr descr="image/2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9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Запрос QUIC по протоколу UDP</w:t>
      </w:r>
    </w:p>
    <w:bookmarkEnd w:id="91"/>
    <w:p>
      <w:pPr>
        <w:pStyle w:val="BodyText"/>
      </w:pPr>
      <w:r>
        <w:t xml:space="preserve">В случае ответа порты заданы наоборот, то есть источник - 443 порт, назначение - 61208.</w:t>
      </w:r>
    </w:p>
    <w:p>
      <w:pPr>
        <w:pStyle w:val="BodyText"/>
      </w:pPr>
      <w:r>
        <w:t xml:space="preserve">Для создания альтернативы TCP поверх UDP строятся протоколы прикладного уровня QUIC IETF, которые управляют трафиком, управляют качеством обслуживания, устанавливают и разрывают соединение (#fig:026).</w:t>
      </w:r>
    </w:p>
    <w:bookmarkStart w:id="95" w:name="fig:026"/>
    <w:p>
      <w:pPr>
        <w:pStyle w:val="CaptionedFigure"/>
      </w:pPr>
      <w:r>
        <w:drawing>
          <wp:inline>
            <wp:extent cx="3733800" cy="1094135"/>
            <wp:effectExtent b="0" l="0" r="0" t="0"/>
            <wp:docPr descr="Вкладка QUIK IETF в случае запроса quik" title="" id="93" name="Picture"/>
            <a:graphic>
              <a:graphicData uri="http://schemas.openxmlformats.org/drawingml/2006/picture">
                <pic:pic>
                  <pic:nvPicPr>
                    <pic:cNvPr descr="image/2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4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Вкладка QUIK IETF в случае запроса quik</w:t>
      </w:r>
    </w:p>
    <w:bookmarkEnd w:id="95"/>
    <w:bookmarkEnd w:id="96"/>
    <w:bookmarkStart w:id="113" w:name="X05456eae27a32c8a8b6775570a47414c2cfb90d"/>
    <w:p>
      <w:pPr>
        <w:pStyle w:val="Heading2"/>
      </w:pPr>
      <w:r>
        <w:t xml:space="preserve">3.4 Анализ handshake протокола TCP в Wireshark</w:t>
      </w:r>
    </w:p>
    <w:p>
      <w:pPr>
        <w:pStyle w:val="FirstParagraph"/>
      </w:pPr>
      <w:r>
        <w:t xml:space="preserve">Используем соединение по HTTP с сайтом http://government.ru для захвата в Wireshark пакетов TCP.</w:t>
      </w:r>
    </w:p>
    <w:p>
      <w:pPr>
        <w:pStyle w:val="BodyText"/>
      </w:pPr>
      <w:r>
        <w:t xml:space="preserve">Проанализируем handshake протокола TCP. Установление связи клиент-сервер в TCP осуществляется в три этапа (трёхступенчатый handshake). Опишем эти этапы на примере.</w:t>
      </w:r>
    </w:p>
    <w:p>
      <w:pPr>
        <w:pStyle w:val="Compact"/>
        <w:numPr>
          <w:ilvl w:val="0"/>
          <w:numId w:val="1004"/>
        </w:numPr>
      </w:pPr>
      <w:r>
        <w:t xml:space="preserve">Режим активного доступа. Клиент посылает сообщение SYN, ISSa, т.е. в передаваемом сообщении установлен бит SYN (Synchronize Sequence Number), а в поле Порядковый номер (Sequence Number) — начальное 32-битное значение ISSa (Initial Sequence Number).</w:t>
      </w:r>
    </w:p>
    <w:p>
      <w:pPr>
        <w:pStyle w:val="FirstParagraph"/>
      </w:pPr>
      <w:r>
        <w:t xml:space="preserve">Во вкладке с флагами видно, что установлен бит SYN(Syn: set). Порядковый номер равен 3980370530(#fig:028).</w:t>
      </w:r>
    </w:p>
    <w:bookmarkStart w:id="100" w:name="fig:028"/>
    <w:p>
      <w:pPr>
        <w:pStyle w:val="CaptionedFigure"/>
      </w:pPr>
      <w:r>
        <w:drawing>
          <wp:inline>
            <wp:extent cx="3733800" cy="965323"/>
            <wp:effectExtent b="0" l="0" r="0" t="0"/>
            <wp:docPr descr="Первая ступень handshake протокола TCP" title="" id="98" name="Picture"/>
            <a:graphic>
              <a:graphicData uri="http://schemas.openxmlformats.org/drawingml/2006/picture">
                <pic:pic>
                  <pic:nvPicPr>
                    <pic:cNvPr descr="image/28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5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ступень handshake протокола TCP</w:t>
      </w:r>
    </w:p>
    <w:bookmarkEnd w:id="100"/>
    <w:p>
      <w:pPr>
        <w:pStyle w:val="Compact"/>
        <w:numPr>
          <w:ilvl w:val="0"/>
          <w:numId w:val="1005"/>
        </w:numPr>
      </w:pPr>
      <w:r>
        <w:t xml:space="preserve">Режим пассивного доступа. Сервер откликается, посылая сообщение SYN, ACK, ISSb, ACK(ISSa+1), т.е. установлены биты SYN и ACK; в поле Порядковый номер (Sequence Number) хостом B устанавливается начальное значение счётчика — ISSb; поле Номер подтверждения (Acknowledgment Number) содержит значение ISSa, полученное в первом пакете от хоста A и увеличенное на единицу.</w:t>
      </w:r>
    </w:p>
    <w:p>
      <w:pPr>
        <w:pStyle w:val="FirstParagraph"/>
      </w:pPr>
      <w:r>
        <w:t xml:space="preserve">Во вкладке с флагами видно, что установлены биты SYN и ACK(Syn: set, Acknowldgment: set). Порядковый номер содержит значение ISSb и равен 452625189. Поле номер подтверждения равен значению ISSa, которое получил в предыдущем пакете, плюс 1, то есть 3980370531(#fig:029).</w:t>
      </w:r>
    </w:p>
    <w:bookmarkStart w:id="104" w:name="fig:029"/>
    <w:p>
      <w:pPr>
        <w:pStyle w:val="CaptionedFigure"/>
      </w:pPr>
      <w:r>
        <w:drawing>
          <wp:inline>
            <wp:extent cx="3733800" cy="941447"/>
            <wp:effectExtent b="0" l="0" r="0" t="0"/>
            <wp:docPr descr="Вторая ступень handshake протокола TCP" title="" id="102" name="Picture"/>
            <a:graphic>
              <a:graphicData uri="http://schemas.openxmlformats.org/drawingml/2006/picture">
                <pic:pic>
                  <pic:nvPicPr>
                    <pic:cNvPr descr="image/29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1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ступень handshake протокола TCP</w:t>
      </w:r>
    </w:p>
    <w:bookmarkEnd w:id="104"/>
    <w:p>
      <w:pPr>
        <w:pStyle w:val="Compact"/>
        <w:numPr>
          <w:ilvl w:val="0"/>
          <w:numId w:val="1006"/>
        </w:numPr>
      </w:pPr>
      <w:r>
        <w:t xml:space="preserve">Завершение рукопожатия. Клиент отправляет подтверждение получения SYN-сегмента от сервера с идентификатором, равным ISN (сервера)+1: ACK, ISSa+1, ACK(ISSb+1). В этом пакете установлен бит ACK, поле Порядковый номер (Sequence Number) содержит ISSa+1, поле Номер подтверждения (Acknowledgment Number) содержит значение ISSb+1. Посылкой этого пакета заканчивается трёхступен-чатый handshake, и TCP-соединение считается установленным.</w:t>
      </w:r>
    </w:p>
    <w:p>
      <w:pPr>
        <w:pStyle w:val="FirstParagraph"/>
      </w:pPr>
      <w:r>
        <w:t xml:space="preserve">Во вкладке с флагами видно, что установлен бит ACK(Acknowldgment: set). Порядковый номер равен ISSa+1 и равен 3980370531. Поле номер подтверждения равен значению ISSb, которое получил в предыдущем пакете, плюс 1, то есть 452625190.(#fig:030).</w:t>
      </w:r>
    </w:p>
    <w:bookmarkStart w:id="108" w:name="fig:030"/>
    <w:p>
      <w:pPr>
        <w:pStyle w:val="CaptionedFigure"/>
      </w:pPr>
      <w:r>
        <w:drawing>
          <wp:inline>
            <wp:extent cx="3733800" cy="792856"/>
            <wp:effectExtent b="0" l="0" r="0" t="0"/>
            <wp:docPr descr="Третья ступень handshake протокола TCP" title="" id="106" name="Picture"/>
            <a:graphic>
              <a:graphicData uri="http://schemas.openxmlformats.org/drawingml/2006/picture">
                <pic:pic>
                  <pic:nvPicPr>
                    <pic:cNvPr descr="image/30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2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ступень handshake протокола TCP</w:t>
      </w:r>
    </w:p>
    <w:bookmarkEnd w:id="108"/>
    <w:p>
      <w:pPr>
        <w:pStyle w:val="BodyText"/>
      </w:pPr>
      <w:r>
        <w:t xml:space="preserve">Теперь клиент может посылать пакеты с данными на сервер по только что созданному виртуальному TCP-каналу: ACK, ISSa+1, ACK(ISSb+1).</w:t>
      </w:r>
    </w:p>
    <w:p>
      <w:pPr>
        <w:pStyle w:val="BodyText"/>
      </w:pPr>
      <w:r>
        <w:t xml:space="preserve">В Wireshark в меню «Статистика» выберем «График Потока». В отчёте приведите пояснения по изменениям значений соответствующих сообщений при</w:t>
      </w:r>
      <w:r>
        <w:t xml:space="preserve"> </w:t>
      </w:r>
      <w:r>
        <w:t xml:space="preserve">установлении соединения по TCP.</w:t>
      </w:r>
    </w:p>
    <w:p>
      <w:pPr>
        <w:pStyle w:val="BodyText"/>
      </w:pPr>
      <w:r>
        <w:t xml:space="preserve">На графике видно, что сначала клиент послал сообщение на сервер(стрелка вправо), а значение seq = 0. Затем сервер откликнулся(стрелка влево), значение seq = 0, а значение ack = 1. И в третьем пакете клиент оправил подтверждение получение SYN-сегмента(стрелка влево), оба значения syn и ack стали равны 1 (#fig:031).</w:t>
      </w:r>
    </w:p>
    <w:bookmarkStart w:id="112" w:name="fig:031"/>
    <w:p>
      <w:pPr>
        <w:pStyle w:val="CaptionedFigure"/>
      </w:pPr>
      <w:r>
        <w:drawing>
          <wp:inline>
            <wp:extent cx="3733800" cy="1283954"/>
            <wp:effectExtent b="0" l="0" r="0" t="0"/>
            <wp:docPr descr="График потока" title="" id="110" name="Picture"/>
            <a:graphic>
              <a:graphicData uri="http://schemas.openxmlformats.org/drawingml/2006/picture">
                <pic:pic>
                  <pic:nvPicPr>
                    <pic:cNvPr descr="image/3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3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потока</w:t>
      </w:r>
    </w:p>
    <w:bookmarkEnd w:id="112"/>
    <w:bookmarkEnd w:id="113"/>
    <w:bookmarkEnd w:id="114"/>
    <w:bookmarkStart w:id="11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лабораторной работы посредством Wireshark были изучены кадры Ethernet, а также проанализированы PDU протоколы транспортного и прикладного уровней стека TCP/IP.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</dc:title>
  <dc:creator>Ко Антон Геннадьевич</dc:creator>
  <dc:language>ru-RU</dc:language>
  <cp:keywords/>
  <dcterms:created xsi:type="dcterms:W3CDTF">2026-03-17T20:23:57Z</dcterms:created>
  <dcterms:modified xsi:type="dcterms:W3CDTF">2026-03-17T20:23:57Z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/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Latin Modern Roman</vt:lpwstr>
  </property>
  <property fmtid="{D5CDD505-2E9C-101B-9397-08002B2CF9AE}" pid="29" name="mainfontoptions">
    <vt:lpwstr>Ligatures=TeX</vt:lpwstr>
  </property>
  <property fmtid="{D5CDD505-2E9C-101B-9397-08002B2CF9AE}" pid="30" name="monofont">
    <vt:lpwstr>Latin Modern Sans</vt:lpwstr>
  </property>
  <property fmtid="{D5CDD505-2E9C-101B-9397-08002B2CF9AE}" pid="31" name="monofontoptions">
    <vt:lpwstr>Scale=MatchLowercase,Scale=0.9</vt:lpwstr>
  </property>
  <property fmtid="{D5CDD505-2E9C-101B-9397-08002B2CF9AE}" pid="32" name="papersize">
    <vt:lpwstr>a4</vt:lpwstr>
  </property>
  <property fmtid="{D5CDD505-2E9C-101B-9397-08002B2CF9AE}" pid="33" name="polyglossia-lang">
    <vt:lpwstr/>
  </property>
  <property fmtid="{D5CDD505-2E9C-101B-9397-08002B2CF9AE}" pid="34" name="polyglossia-otherlangs">
    <vt:lpwstr/>
  </property>
  <property fmtid="{D5CDD505-2E9C-101B-9397-08002B2CF9AE}" pid="35" name="romanfont">
    <vt:lpwstr>Latin Modern Sans</vt:lpwstr>
  </property>
  <property fmtid="{D5CDD505-2E9C-101B-9397-08002B2CF9AE}" pid="36" name="romanfontoptions">
    <vt:lpwstr>Ligatures=TeX</vt:lpwstr>
  </property>
  <property fmtid="{D5CDD505-2E9C-101B-9397-08002B2CF9AE}" pid="37" name="sansfont">
    <vt:lpwstr>Latin Modern Roman</vt:lpwstr>
  </property>
  <property fmtid="{D5CDD505-2E9C-101B-9397-08002B2CF9AE}" pid="38" name="sansfontoptions">
    <vt:lpwstr>Ligatures=TeX,Scale=MatchLowercase</vt:lpwstr>
  </property>
  <property fmtid="{D5CDD505-2E9C-101B-9397-08002B2CF9AE}" pid="39" name="subtitle">
    <vt:lpwstr>Лабораторная работа № 3. Анализ трафика в Wireshark</vt:lpwstr>
  </property>
  <property fmtid="{D5CDD505-2E9C-101B-9397-08002B2CF9AE}" pid="40" name="tableTitle">
    <vt:lpwstr>Таблица</vt:lpwstr>
  </property>
  <property fmtid="{D5CDD505-2E9C-101B-9397-08002B2CF9AE}" pid="41" name="toc-title">
    <vt:lpwstr>Содержание</vt:lpwstr>
  </property>
</Properties>
</file>