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Разбиение сети на подсети</w:t>
      </w:r>
    </w:p>
    <w:p>
      <w:pPr>
        <w:pStyle w:val="Compact"/>
        <w:numPr>
          <w:ilvl w:val="0"/>
          <w:numId w:val="1002"/>
        </w:numPr>
      </w:pPr>
      <w:r>
        <w:t xml:space="preserve">Разбиение IPv4-сети на подсети</w:t>
      </w:r>
    </w:p>
    <w:p>
      <w:pPr>
        <w:pStyle w:val="Compact"/>
        <w:numPr>
          <w:ilvl w:val="0"/>
          <w:numId w:val="1002"/>
        </w:numPr>
      </w:pPr>
      <w:r>
        <w:t xml:space="preserve">Разбиение IPv6-сети на подсети</w:t>
      </w:r>
    </w:p>
    <w:p>
      <w:pPr>
        <w:pStyle w:val="Compact"/>
        <w:numPr>
          <w:ilvl w:val="0"/>
          <w:numId w:val="1003"/>
        </w:numPr>
      </w:pPr>
      <w:r>
        <w:t xml:space="preserve">Настройка двойного стека адресации IPv4 и IPv6 в локальной сет</w:t>
      </w:r>
    </w:p>
    <w:p>
      <w:pPr>
        <w:pStyle w:val="Compact"/>
        <w:numPr>
          <w:ilvl w:val="0"/>
          <w:numId w:val="1003"/>
        </w:numPr>
      </w:pPr>
      <w:r>
        <w:t xml:space="preserve">Выполнить задание для самостоятельной работы</w:t>
      </w:r>
    </w:p>
    <w:bookmarkEnd w:id="21"/>
    <w:bookmarkStart w:id="9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4" w:name="разбиение-сети-на-подсети"/>
    <w:p>
      <w:pPr>
        <w:pStyle w:val="Heading2"/>
      </w:pPr>
      <w:r>
        <w:t xml:space="preserve">3.1 Разбиение сети на подсети</w:t>
      </w:r>
    </w:p>
    <w:bookmarkStart w:id="22" w:name="разбиение-ipv4-сети-на-подсети"/>
    <w:p>
      <w:pPr>
        <w:pStyle w:val="Heading3"/>
      </w:pPr>
      <w:r>
        <w:t xml:space="preserve">3.1.1 Разбиение IPv4-сети на подсети</w:t>
      </w:r>
    </w:p>
    <w:p>
      <w:pPr>
        <w:pStyle w:val="FirstParagraph"/>
      </w:pPr>
      <w:r>
        <w:t xml:space="preserve">Задание:</w:t>
      </w:r>
    </w:p>
    <w:p>
      <w:pPr>
        <w:numPr>
          <w:ilvl w:val="0"/>
          <w:numId w:val="1004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numPr>
          <w:ilvl w:val="0"/>
          <w:numId w:val="1004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Выделим в этой сети подсеть на 30 узлов. Запишите характеристики для выделенной подсети.</w:t>
      </w:r>
    </w:p>
    <w:p>
      <w:pPr>
        <w:numPr>
          <w:ilvl w:val="0"/>
          <w:numId w:val="1004"/>
        </w:numPr>
      </w:pPr>
      <w:r>
        <w:t xml:space="preserve">Задана сеть 10.10.1.0/26. Для этой сети определите префикс, маску, broadcast- адрес, число возможных подсетей, диапазон адресов узлов. Выделите в этой сети подсеть на 14 узлов. Запишите характеристики для выделенной подсети</w:t>
      </w:r>
    </w:p>
    <w:p>
      <w:pPr>
        <w:numPr>
          <w:ilvl w:val="0"/>
          <w:numId w:val="1004"/>
        </w:numPr>
      </w:pPr>
      <w:r>
        <w:t xml:space="preserve">Префикс IPv4-сети 172.16.20.0/24 - длины 24, то есть 176.16.20. Маска - 255.255.255.0, broadcast-адрес - 172.16.20.255, число возможных подсетей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. Разобьем эту сеть на три подсети. Сначала выделим подсеть с наибольшим количеством хостов - 126(+2 для идентификатора подсети и широкофещательного адреса), для этого нам нужно 128 адресов, то есть маска подсети будет 255.255.255.128. Первый IP в этой подсети будет 172.16.20.1/25, последний - 172.16.20.126/25. Номер подсети равен 172.16.20.0/25. Затем выделим две подсети с количеством хостов - 62. В первой их них: маска подсети будет 255.255.255.192, первый IP в этой подсети будет 172.16.20.129/26, последний - 172.16.20.191/26. Номер подсети равен 172.16.20.128/26. Во второй: маска подсети будет 255.255.255.192, первый IP в этой подсети будет 172.16.20.193/26, последний - 172.16.20.254/26. Номер подсети равен 172.16.20.192/26.</w:t>
      </w:r>
    </w:p>
    <w:p>
      <w:pPr>
        <w:numPr>
          <w:ilvl w:val="0"/>
          <w:numId w:val="1004"/>
        </w:numPr>
      </w:pPr>
      <w:r>
        <w:t xml:space="preserve">Префикс IPv4-сети 10.10.1.64/26 - длины 26, то есть 10.10.1.64 Маска - 255.255.255.192, broadcast-адрес - 10.10.1.127/26, число возможных подсетей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. Выделим в этой сети подсеть на 30 узлов. Нам необходимо хостов - 30(+2 для идентификатора подсети и широкофещательного адреса), для этого нам нужно 32 адреса, то есть маска подсети будет 255.255.255.224. Первый IP в этой подсети будет 10.10.1.65/27, последний - 10.10.1.94/27. Номер подсети равен 10.10.1.64/27. широкофещательный адрес - 10.10.1.95.</w:t>
      </w:r>
    </w:p>
    <w:p>
      <w:pPr>
        <w:numPr>
          <w:ilvl w:val="0"/>
          <w:numId w:val="1004"/>
        </w:numPr>
      </w:pPr>
      <w:r>
        <w:t xml:space="preserve">Префикс IPv4-сети 10.10.1.0/26 - длины 26, то есть 10.10.1. Маска - 255.255.255.192, broadcast-адрес - 10.10.1.127/26, число возможных подсетей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. Выделим в этой сети подсеть на 30 узлов. Нам необходимо хостов - 14(+2 для идентификатора подсети и широкофещательного адреса), для этого нам нужно 16 адреса, то есть маска подсети будет 255.255.255.240. Первый IP в этой подсети будет 10.10.1.1/28, последний - 10.10.1.44/28. Номер подсети равен 10.10.1.0/28. широкофещательный адрес - 10.10.1.15.</w:t>
      </w:r>
    </w:p>
    <w:bookmarkEnd w:id="22"/>
    <w:bookmarkStart w:id="23" w:name="разбиение-ipv6-сети-на-подсети"/>
    <w:p>
      <w:pPr>
        <w:pStyle w:val="Heading3"/>
      </w:pPr>
      <w:r>
        <w:t xml:space="preserve">3.1.2 Разбиение IPv6-сети на подсети</w:t>
      </w:r>
    </w:p>
    <w:p>
      <w:pPr>
        <w:pStyle w:val="FirstParagraph"/>
      </w:pPr>
      <w:r>
        <w:t xml:space="preserve">Задание:</w:t>
      </w:r>
    </w:p>
    <w:p>
      <w:pPr>
        <w:numPr>
          <w:ilvl w:val="0"/>
          <w:numId w:val="1005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с использованием идентификатора подсети.</w:t>
      </w:r>
    </w:p>
    <w:p>
      <w:pPr>
        <w:numPr>
          <w:ilvl w:val="0"/>
          <w:numId w:val="1005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с использованием идентификатора интерфейса. Поясните предложенные вами варианты разбиения.</w:t>
      </w:r>
    </w:p>
    <w:p>
      <w:pPr>
        <w:numPr>
          <w:ilvl w:val="0"/>
          <w:numId w:val="1005"/>
        </w:numPr>
      </w:pPr>
      <w:r>
        <w:t xml:space="preserve">Маска сети 2001:db8:c0de::/48 - ffff:ffff:ffff:0:0:0:0:0. Префикс имеет длину 48 и равен 2001:db8:c0de. Диапазон для узлов сети от 2001:0db8:c0de:0000:0000:0000:0000:0000 до 2001:0db8:c0de:ffff:ffff:ffff:ffff:ffff.</w:t>
      </w:r>
      <w:r>
        <w:t xml:space="preserve"> </w:t>
      </w:r>
      <w:r>
        <w:t xml:space="preserve">Рассчитаем шестнадцатеричное число (идентификатор подсети), следующее за префик-</w:t>
      </w:r>
      <w:r>
        <w:t xml:space="preserve"> </w:t>
      </w:r>
      <w:r>
        <w:t xml:space="preserve">сом глобальной маршрутизации(48 бит). Последние 64 бита идентифицируют</w:t>
      </w:r>
      <w:r>
        <w:t xml:space="preserve"> </w:t>
      </w:r>
      <w:r>
        <w:t xml:space="preserve">конкретный узел сети. Для сети 2001:db8:c0de::/48 можно выделить следующие подсети:</w:t>
      </w:r>
    </w:p>
    <w:p>
      <w:pPr>
        <w:pStyle w:val="FirstParagraph"/>
      </w:pPr>
      <w:r>
        <w:t xml:space="preserve">2001:db8:c0de:0002::/64</w:t>
      </w:r>
    </w:p>
    <w:p>
      <w:pPr>
        <w:pStyle w:val="BodyText"/>
      </w:pPr>
      <w:r>
        <w:t xml:space="preserve">2001:db8:c0de:0003::/64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2001:db8:c0de:ffff::/64</w:t>
      </w:r>
    </w:p>
    <w:p>
      <w:pPr>
        <w:pStyle w:val="BodyText"/>
      </w:pPr>
      <w:r>
        <w:t xml:space="preserve">Из этих подсетей мы можем взять любые две, например, подсеть с адресом 2001:db8:c0de:0002::/64 и с адресом 2001:db8:c0de:0003::/64.</w:t>
      </w:r>
    </w:p>
    <w:p>
      <w:pPr>
        <w:pStyle w:val="Compact"/>
        <w:numPr>
          <w:ilvl w:val="0"/>
          <w:numId w:val="1006"/>
        </w:numPr>
      </w:pPr>
      <w:r>
        <w:t xml:space="preserve">Маска сети 2a02:6b8::/64 - ffff:ffff:ffff:ffff:0:0:0:0. Префикс имеет длину 64 и равен 2a02:6b8:0:0. Диапазон для узлов сети от 2001:0db8:0000:0000:0000:0000:0000:0000 до 2001:0db8:0000:0000:ffff:ffff:ffff:ffff.</w:t>
      </w:r>
      <w:r>
        <w:t xml:space="preserve"> </w:t>
      </w:r>
      <w:r>
        <w:t xml:space="preserve">Создадим подсеть на границе полубайта (4 бита или одна шестнадцатеричная цифра).Тогда префикс подсети /64 расширяется на четыре бита (или один полубайт) до подсети /68, что позволяет уменьшить размер идентификатора интерфейса на 4 бита (с 64 до 60). Для сети 2001:db8:c0de::/64 можно выделить следующие подсети:</w:t>
      </w:r>
    </w:p>
    <w:p>
      <w:pPr>
        <w:pStyle w:val="FirstParagraph"/>
      </w:pPr>
      <w:r>
        <w:t xml:space="preserve">2001:db8:0000:0000:0000::/68</w:t>
      </w:r>
    </w:p>
    <w:p>
      <w:pPr>
        <w:pStyle w:val="BodyText"/>
      </w:pPr>
      <w:r>
        <w:t xml:space="preserve">2001:db8:0000:0000:1000::/68</w:t>
      </w:r>
    </w:p>
    <w:p>
      <w:pPr>
        <w:pStyle w:val="BodyText"/>
      </w:pPr>
      <w:r>
        <w:t xml:space="preserve">2001:db8:0000:0000:2000::/68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2001:db8:0000:ffff:e000::/68</w:t>
      </w:r>
    </w:p>
    <w:p>
      <w:pPr>
        <w:pStyle w:val="BodyText"/>
      </w:pPr>
      <w:r>
        <w:t xml:space="preserve">2001:db8:0000:ffff:f000::/68</w:t>
      </w:r>
    </w:p>
    <w:p>
      <w:pPr>
        <w:pStyle w:val="BodyText"/>
      </w:pPr>
      <w:r>
        <w:t xml:space="preserve">Из этих подсетей мы можем взять любые две, например, подсеть с адресом 2001:db8:0000:0000:0000::/68 и с адресом 2001:db8:0000:0000:1000::/68.</w:t>
      </w:r>
    </w:p>
    <w:bookmarkEnd w:id="23"/>
    <w:bookmarkEnd w:id="24"/>
    <w:bookmarkStart w:id="93" w:name="Xaa98339a1bc9a01348fb7b4bcd912a06bb3c57d"/>
    <w:p>
      <w:pPr>
        <w:pStyle w:val="Heading2"/>
      </w:pPr>
      <w:r>
        <w:t xml:space="preserve">3.2 Настройка двойного стека адресации IPv4 и IPv6 в локальной сети</w:t>
      </w:r>
    </w:p>
    <w:p>
      <w:pPr>
        <w:pStyle w:val="FirstParagraph"/>
      </w:pPr>
      <w:r>
        <w:t xml:space="preserve">Запустим GNS3 VM и GNS3 и создадим новый проект.</w:t>
      </w:r>
      <w:r>
        <w:t xml:space="preserve"> </w:t>
      </w:r>
      <w:r>
        <w:t xml:space="preserve">В рабочем пространстве разместим и соединим устройства в соответствии с топологией, приведённой в лабораторной работе. Для подсети IPv4 используем маршрутизатор FRR, а для подсети с IPv6 — нужен маршрутизатор VyOS, но так как на моем устройстве VyOS и FRR при одновременной работе завершают с ошибкой работу GNS3 VM, я использую так же маршрутизатор FRR(рис. #fig:001). Изменим отображаемые названия устройств. Коммутаторам присвоим названия по принципу msk-agko-sw-0x, маршрутизаторам — по принципу msk-eademidova-gw-0x, VPCS — по принципу PCx-eademidova, где вместо x — порядковый номер устройства. Также включим захват трафика на соединении между сервером двойного стека адресации и ближайшим к нему коммутатором.</w:t>
      </w:r>
    </w:p>
    <w:bookmarkStart w:id="28" w:name="fig:001"/>
    <w:p>
      <w:pPr>
        <w:pStyle w:val="CaptionedFigure"/>
      </w:pPr>
      <w:r>
        <w:drawing>
          <wp:inline>
            <wp:extent cx="3733800" cy="2884311"/>
            <wp:effectExtent b="0" l="0" r="0" t="0"/>
            <wp:docPr descr="Создание топологии сети, задание имен устройств и включение захвата трафика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топологии сети, задание имен устройств и включение захвата трафика</w:t>
      </w:r>
    </w:p>
    <w:bookmarkEnd w:id="28"/>
    <w:p>
      <w:pPr>
        <w:pStyle w:val="BodyText"/>
      </w:pPr>
      <w:r>
        <w:t xml:space="preserve">Руководствуясь таблицей в лабораторной работе, настроим IPv4-адресацию для интерфейсов узлов PC1, PC2, Server(рис. #fig:002-#fig:004).</w:t>
      </w:r>
    </w:p>
    <w:bookmarkStart w:id="32" w:name="fig:002"/>
    <w:p>
      <w:pPr>
        <w:pStyle w:val="CaptionedFigure"/>
      </w:pPr>
      <w:r>
        <w:drawing>
          <wp:inline>
            <wp:extent cx="3733800" cy="2388704"/>
            <wp:effectExtent b="0" l="0" r="0" t="0"/>
            <wp:docPr descr="Настройка IPv4-адресации для интерфейса узла PC1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для интерфейса узла PC1</w:t>
      </w:r>
    </w:p>
    <w:bookmarkEnd w:id="32"/>
    <w:bookmarkStart w:id="36" w:name="fig:003"/>
    <w:p>
      <w:pPr>
        <w:pStyle w:val="CaptionedFigure"/>
      </w:pPr>
      <w:r>
        <w:drawing>
          <wp:inline>
            <wp:extent cx="3733800" cy="2373530"/>
            <wp:effectExtent b="0" l="0" r="0" t="0"/>
            <wp:docPr descr="Настройка IPv4-адресации для интерфейса узла PC2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для интерфейса узла PC2</w:t>
      </w:r>
    </w:p>
    <w:bookmarkEnd w:id="36"/>
    <w:bookmarkStart w:id="40" w:name="fig:004"/>
    <w:p>
      <w:pPr>
        <w:pStyle w:val="CaptionedFigure"/>
      </w:pPr>
      <w:r>
        <w:drawing>
          <wp:inline>
            <wp:extent cx="3733800" cy="1530441"/>
            <wp:effectExtent b="0" l="0" r="0" t="0"/>
            <wp:docPr descr="Настройка IPv4-адресации для интерфейса узла Server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для интерфейса узла Server</w:t>
      </w:r>
    </w:p>
    <w:bookmarkEnd w:id="40"/>
    <w:p>
      <w:pPr>
        <w:pStyle w:val="BodyText"/>
      </w:pPr>
      <w:r>
        <w:t xml:space="preserve">Руководствуясь таблицей в лабораторной работе, настроим IPv4-адресацию для интерфейсов локальной сети маршрутизатора FRR msk-eademidova-gw-01(рис. #fig:005):</w:t>
      </w:r>
    </w:p>
    <w:bookmarkStart w:id="44" w:name="fig:005"/>
    <w:p>
      <w:pPr>
        <w:pStyle w:val="CaptionedFigure"/>
      </w:pPr>
      <w:r>
        <w:drawing>
          <wp:inline>
            <wp:extent cx="3733800" cy="2461439"/>
            <wp:effectExtent b="0" l="0" r="0" t="0"/>
            <wp:docPr descr="Настройка IPv4-адресации для интерфейсов локальной сети маршрутизатора FRR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для интерфейсов локальной сети маршрутизатора FRR</w:t>
      </w:r>
    </w:p>
    <w:bookmarkEnd w:id="44"/>
    <w:p>
      <w:pPr>
        <w:pStyle w:val="BodyText"/>
      </w:pPr>
      <w:r>
        <w:t xml:space="preserve">Проверим конфигурацию маршрутизатора и настройки IPv4-адресаци(рис. #fig:006).</w:t>
      </w:r>
    </w:p>
    <w:bookmarkStart w:id="48" w:name="fig:006"/>
    <w:p>
      <w:pPr>
        <w:pStyle w:val="CaptionedFigure"/>
      </w:pPr>
      <w:r>
        <w:drawing>
          <wp:inline>
            <wp:extent cx="3733800" cy="2885209"/>
            <wp:effectExtent b="0" l="0" r="0" t="0"/>
            <wp:docPr descr="Проверка конфигурации и настройки IPv4-адресации для маршрутизатора FRR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настройки IPv4-адресации для маршрутизатора FRR</w:t>
      </w:r>
    </w:p>
    <w:bookmarkEnd w:id="48"/>
    <w:p>
      <w:pPr>
        <w:pStyle w:val="BodyText"/>
      </w:pPr>
      <w:r>
        <w:t xml:space="preserve">Проверим подключение с помощью команд ping и trace. Узлы PC1 и PC2 успешно отправляют эхо-запросы друг другу и на сервер с двойным стеком(рис. #fig:007).</w:t>
      </w:r>
    </w:p>
    <w:bookmarkStart w:id="52" w:name="fig:007"/>
    <w:p>
      <w:pPr>
        <w:pStyle w:val="CaptionedFigure"/>
      </w:pPr>
      <w:r>
        <w:drawing>
          <wp:inline>
            <wp:extent cx="3733800" cy="2685028"/>
            <wp:effectExtent b="0" l="0" r="0" t="0"/>
            <wp:docPr descr="Проверка подключения с помощью команд ping и trace состороны PC1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помощью команд ping и trace состороны PC1</w:t>
      </w:r>
    </w:p>
    <w:bookmarkEnd w:id="52"/>
    <w:bookmarkStart w:id="56" w:name="fig:008"/>
    <w:p>
      <w:pPr>
        <w:pStyle w:val="CaptionedFigure"/>
      </w:pPr>
      <w:r>
        <w:drawing>
          <wp:inline>
            <wp:extent cx="3733800" cy="3025429"/>
            <wp:effectExtent b="0" l="0" r="0" t="0"/>
            <wp:docPr descr="Проверка подключения с помощью команд ping и trace состороны PC2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помощью команд ping и trace состороны PC2</w:t>
      </w:r>
    </w:p>
    <w:bookmarkEnd w:id="56"/>
    <w:p>
      <w:pPr>
        <w:pStyle w:val="BodyText"/>
      </w:pPr>
      <w:r>
        <w:t xml:space="preserve">Руководствуясь таблицей в лабораторной работе, настроим IPv6-адресацию для интерфейсов узлов PC4, PC3, Server(рис. #fig:009-#fig:011).</w:t>
      </w:r>
    </w:p>
    <w:bookmarkStart w:id="60" w:name="fig:009"/>
    <w:p>
      <w:pPr>
        <w:pStyle w:val="CaptionedFigure"/>
      </w:pPr>
      <w:r>
        <w:drawing>
          <wp:inline>
            <wp:extent cx="3733800" cy="3814556"/>
            <wp:effectExtent b="0" l="0" r="0" t="0"/>
            <wp:docPr descr="Настройка IPv6-адресации для интерфейса узла PC3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для интерфейса узла PC3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3733800"/>
            <wp:effectExtent b="0" l="0" r="0" t="0"/>
            <wp:docPr descr="Настройка IPv6-адресации для интерфейса узла PC4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для интерфейса узла PC4</w:t>
      </w:r>
    </w:p>
    <w:bookmarkEnd w:id="64"/>
    <w:bookmarkStart w:id="68" w:name="fig:011"/>
    <w:p>
      <w:pPr>
        <w:pStyle w:val="CaptionedFigure"/>
      </w:pPr>
      <w:r>
        <w:drawing>
          <wp:inline>
            <wp:extent cx="3733800" cy="3627120"/>
            <wp:effectExtent b="0" l="0" r="0" t="0"/>
            <wp:docPr descr="Настройка IPv6-адресации для интерфейса узла Server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для интерфейса узла Server</w:t>
      </w:r>
    </w:p>
    <w:bookmarkEnd w:id="68"/>
    <w:p>
      <w:pPr>
        <w:pStyle w:val="BodyText"/>
      </w:pPr>
      <w:r>
        <w:t xml:space="preserve">Проверим подключение с помощью команд ping и trace. Узлы PC3 и PC4 успешно отправляют эхо-запросы друг другу и на сервер с двойным стеком(рис. #fig:0013,#fig:014).</w:t>
      </w:r>
    </w:p>
    <w:bookmarkStart w:id="72" w:name="fig:013"/>
    <w:p>
      <w:pPr>
        <w:pStyle w:val="CaptionedFigure"/>
      </w:pPr>
      <w:r>
        <w:drawing>
          <wp:inline>
            <wp:extent cx="3733800" cy="3233178"/>
            <wp:effectExtent b="0" l="0" r="0" t="0"/>
            <wp:docPr descr="Проверка подключения с помощью команд ping и trace состороны PC3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помощью команд ping и trace состороны PC3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3137762"/>
            <wp:effectExtent b="0" l="0" r="0" t="0"/>
            <wp:docPr descr="Проверка подключения с помощью команд ping и trace состороны PC4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помощью команд ping и trace состороны PC4</w:t>
      </w:r>
    </w:p>
    <w:bookmarkEnd w:id="76"/>
    <w:p>
      <w:pPr>
        <w:pStyle w:val="BodyText"/>
      </w:pPr>
      <w:r>
        <w:t xml:space="preserve">Убедимся с помощью команды ping, что устройства из подсети IPv4 не доступны для устройств из подсети IPv6 и наоборот и что олько сервер двойного стека может обращаться к устройствам обеих подсетей (рис. #fig:015-#fig:017).</w:t>
      </w:r>
    </w:p>
    <w:bookmarkStart w:id="80" w:name="fig:015"/>
    <w:p>
      <w:pPr>
        <w:pStyle w:val="CaptionedFigure"/>
      </w:pPr>
      <w:r>
        <w:drawing>
          <wp:inline>
            <wp:extent cx="3657600" cy="1121868"/>
            <wp:effectExtent b="0" l="0" r="0" t="0"/>
            <wp:docPr descr="Пингование из сети IPv4 сети IPv6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2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из сети IPv4 сети IPv6</w:t>
      </w:r>
    </w:p>
    <w:bookmarkEnd w:id="80"/>
    <w:bookmarkStart w:id="84" w:name="fig:016"/>
    <w:p>
      <w:pPr>
        <w:pStyle w:val="CaptionedFigure"/>
      </w:pPr>
      <w:r>
        <w:drawing>
          <wp:inline>
            <wp:extent cx="3311818" cy="1167973"/>
            <wp:effectExtent b="0" l="0" r="0" t="0"/>
            <wp:docPr descr="Пингование из сети IPv6 сети IPv4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18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из сети IPv6 сети IPv4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41231"/>
            <wp:effectExtent b="0" l="0" r="0" t="0"/>
            <wp:docPr descr="Пингование из сервера двойного стека сетей IPv4 и IPv6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из сервера двойного стека сетей IPv4 и IPv6</w:t>
      </w:r>
    </w:p>
    <w:bookmarkEnd w:id="88"/>
    <w:p>
      <w:pPr>
        <w:pStyle w:val="BodyText"/>
      </w:pPr>
      <w:r>
        <w:t xml:space="preserve">Посмотрим захваченный на соединении сервера двойного стека адресации</w:t>
      </w:r>
      <w:r>
        <w:t xml:space="preserve"> </w:t>
      </w:r>
      <w:r>
        <w:t xml:space="preserve">с коммутатором трафик ARP, ICMP, ICMPv6(рис. #fig:018). В начале формируются ARP пакеты сообщаюшие IP-адрес сервера. При пинговании в сети IPv4 для эхо-запросов и ответов формируются ICMP-пакеты, в сети IPv6 формируются ICMPv6 пакеты(рис. #fig:019), так как пингование идёт на адрес IPv6. Также в версии 6 периодически посылаются пакеты с широковещательного адреса.</w:t>
      </w:r>
    </w:p>
    <w:bookmarkStart w:id="92" w:name="fig:018"/>
    <w:p>
      <w:pPr>
        <w:pStyle w:val="CaptionedFigure"/>
      </w:pPr>
      <w:r>
        <w:drawing>
          <wp:inline>
            <wp:extent cx="3733800" cy="1429251"/>
            <wp:effectExtent b="0" l="0" r="0" t="0"/>
            <wp:docPr descr="Пингование в сети IPv4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в сети IPv4</w:t>
      </w:r>
    </w:p>
    <w:bookmarkEnd w:id="92"/>
    <w:bookmarkEnd w:id="93"/>
    <w:bookmarkStart w:id="94" w:name="задание-для-самостоятельного-выполнения"/>
    <w:p>
      <w:pPr>
        <w:pStyle w:val="Heading2"/>
      </w:pPr>
      <w:r>
        <w:t xml:space="preserve">3.3 Задание для самостоятельного выполнения</w:t>
      </w:r>
    </w:p>
    <w:p>
      <w:pPr>
        <w:pStyle w:val="FirstParagraph"/>
      </w:pPr>
      <w:r>
        <w:t xml:space="preserve">Предполагается, что маршрутизатор разбивает сеть на две подсети с адресами</w:t>
      </w:r>
      <w:r>
        <w:t xml:space="preserve"> </w:t>
      </w:r>
      <w:r>
        <w:t xml:space="preserve">IPv4 и IPv6:</w:t>
      </w:r>
      <w:r>
        <w:t xml:space="preserve"> </w:t>
      </w:r>
      <w:r>
        <w:t xml:space="preserve">- подсеть 1: 10.10.1.96/27; 2001:DB8:1:1::/64;</w:t>
      </w:r>
      <w:r>
        <w:t xml:space="preserve"> </w:t>
      </w:r>
      <w:r>
        <w:t xml:space="preserve">- подсеть 2: 10.10.1.16/28; 2001:DB8:1:4::/64.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1. Охарактеризовать подсети, указать, какие адреса в них входят.</w:t>
      </w:r>
      <w:r>
        <w:t xml:space="preserve"> </w:t>
      </w:r>
      <w:r>
        <w:t xml:space="preserve">2. Предложить вариант таблицы адресации для заданной топологии и адресного</w:t>
      </w:r>
      <w:r>
        <w:t xml:space="preserve"> </w:t>
      </w:r>
      <w:r>
        <w:t xml:space="preserve">пространства, причём для интерфейсов маршрутизатора выбрать наимень-</w:t>
      </w:r>
      <w:r>
        <w:t xml:space="preserve"> </w:t>
      </w:r>
      <w:r>
        <w:t xml:space="preserve">ший адрес в подсети.</w:t>
      </w:r>
      <w:r>
        <w:t xml:space="preserve"> </w:t>
      </w:r>
      <w:r>
        <w:t xml:space="preserve">3. Настроить IP-адресацию на маршрутизаторе VyOS и оконечных устройствах,</w:t>
      </w:r>
      <w:r>
        <w:t xml:space="preserve"> </w:t>
      </w:r>
      <w:r>
        <w:t xml:space="preserve">причём на интерфейсах маршрутизатора установить наименьший адрес</w:t>
      </w:r>
      <w:r>
        <w:t xml:space="preserve"> </w:t>
      </w:r>
      <w:r>
        <w:t xml:space="preserve">в подсети.</w:t>
      </w:r>
      <w:r>
        <w:t xml:space="preserve"> </w:t>
      </w:r>
      <w:r>
        <w:t xml:space="preserve">4. Проверить подключение между устройствами подсети с помощью команд</w:t>
      </w:r>
      <w:r>
        <w:t xml:space="preserve"> </w:t>
      </w:r>
      <w:r>
        <w:t xml:space="preserve">ping и trace.</w:t>
      </w:r>
    </w:p>
    <w:p>
      <w:pPr>
        <w:pStyle w:val="Compact"/>
        <w:numPr>
          <w:ilvl w:val="0"/>
          <w:numId w:val="1007"/>
        </w:numPr>
      </w:pPr>
      <w:r>
        <w:t xml:space="preserve">В первой подсети в IPv4-адресе длина расширенного префикса 27, маска имеет значение 255.255.255.224, адрес подсети имеет значение 10.10.1.96, broadcast-адрес 10.10.1.127, число хостов вычисляется выражением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минус два адреса(сети и broadcast) и равняется 30. Первый адрес – 10.10.1.97, последний - 10.10.1.126.</w:t>
      </w:r>
    </w:p>
    <w:p>
      <w:pPr>
        <w:pStyle w:val="FirstParagraph"/>
      </w:pPr>
      <w:r>
        <w:t xml:space="preserve">В IPv6-адресе длина префикса 64, Первый хост - 2001:db8:1:1::1, последний - 2001:0db8:1:1:ffff:ffff:ffff:fffe. Число адресов –</w:t>
      </w:r>
      <w:r>
        <w:t xml:space="preserve"> </w:t>
      </w:r>
      <m:oMath>
        <m:sSup>
          <m:e>
            <m:r>
              <m:t>2</m:t>
            </m:r>
          </m:e>
          <m:sup>
            <m:r>
              <m:t>64</m:t>
            </m:r>
          </m:sup>
        </m:sSup>
        <m:r>
          <m:rPr>
            <m:sty m:val="p"/>
          </m:rPr>
          <m:t>=</m:t>
        </m:r>
        <m:r>
          <m:t>1.8446744</m:t>
        </m:r>
        <m:r>
          <m:t>e</m:t>
        </m:r>
        <m:r>
          <m:rPr>
            <m:sty m:val="p"/>
          </m:rPr>
          <m:t>+</m:t>
        </m:r>
        <m:r>
          <m:t>19</m:t>
        </m:r>
      </m:oMath>
    </w:p>
    <w:p>
      <w:pPr>
        <w:pStyle w:val="BodyText"/>
      </w:pPr>
      <w:r>
        <w:t xml:space="preserve">Во второй подсети в IPv4-адресе длина расширенного префикса 28, маска имеет значение 255.255.255.240, адрес подсети имеет значение 10.10.1.16, broadcast-адрес 10.10.1.31, число хостов вычисляется выражением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минус два адреса(сети и broadcast) и равняется 16. Первый адрес – 10.10.1.17, последний - 10.10.1.30.</w:t>
      </w:r>
    </w:p>
    <w:p>
      <w:pPr>
        <w:pStyle w:val="BodyText"/>
      </w:pPr>
      <w:r>
        <w:t xml:space="preserve">В IPv6-адресе длина префикса 64, Первый хост - 2001:db8:1:4::1, последний - 2001:db8:1:4:ffff:ffff:ffff:fffe. Число адресов –</w:t>
      </w:r>
      <w:r>
        <w:t xml:space="preserve"> </w:t>
      </w:r>
      <m:oMath>
        <m:sSup>
          <m:e>
            <m:r>
              <m:t>2</m:t>
            </m:r>
          </m:e>
          <m:sup>
            <m:r>
              <m:t>64</m:t>
            </m:r>
          </m:sup>
        </m:sSup>
        <m:r>
          <m:rPr>
            <m:sty m:val="p"/>
          </m:rPr>
          <m:t>=</m:t>
        </m:r>
        <m:r>
          <m:t>1.8446744</m:t>
        </m:r>
        <m:r>
          <m:t>e</m:t>
        </m:r>
        <m:r>
          <m:rPr>
            <m:sty m:val="p"/>
          </m:rPr>
          <m:t>+</m:t>
        </m:r>
        <m:r>
          <m:t>19</m:t>
        </m:r>
      </m:oMath>
    </w:p>
    <w:p>
      <w:pPr>
        <w:pStyle w:val="Compact"/>
        <w:numPr>
          <w:ilvl w:val="0"/>
          <w:numId w:val="1008"/>
        </w:numPr>
      </w:pPr>
      <w:r>
        <w:t xml:space="preserve">Предложим таблицу адресации для топологии приведённой в лабораторной работе.</w:t>
      </w:r>
    </w:p>
    <w:bookmarkEnd w:id="94"/>
    <w:bookmarkEnd w:id="95"/>
    <w:bookmarkStart w:id="9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были изучены принципы распределения и настройки адресного пространства на устройствах сети.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 Антон Геннадьевич</dc:creator>
  <dc:language>ru-RU</dc:language>
  <cp:keywords/>
  <dcterms:created xsi:type="dcterms:W3CDTF">2026-03-16T10:23:11Z</dcterms:created>
  <dcterms:modified xsi:type="dcterms:W3CDTF">2026-03-16T10:23:11Z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Адресация IPv4 и IPv6. Двойной стек</vt:lpwstr>
  </property>
  <property fmtid="{D5CDD505-2E9C-101B-9397-08002B2CF9AE}" pid="16" name="toc-title">
    <vt:lpwstr>Содержание</vt:lpwstr>
  </property>
</Properties>
</file>