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</w:t>
      </w:r>
    </w:p>
    <w:p>
      <w:pPr>
        <w:pStyle w:val="Subtitle"/>
      </w:pPr>
      <w:r>
        <w:t xml:space="preserve">Лабораторная работа № 8.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</w:t>
      </w:r>
    </w:p>
    <w:bookmarkEnd w:id="20"/>
    <w:bookmarkStart w:id="69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Создадим новый проект в GNS3 с именем «lab8» (рис. [#fig:001]).</w:t>
      </w:r>
    </w:p>
    <w:bookmarkStart w:id="24" w:name="fig:001"/>
    <w:p>
      <w:pPr>
        <w:pStyle w:val="CaptionedFigure"/>
      </w:pPr>
      <w:r>
        <w:drawing>
          <wp:inline>
            <wp:extent cx="5334000" cy="2552427"/>
            <wp:effectExtent b="0" l="0" r="0" t="0"/>
            <wp:docPr descr="Создание проекта 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 в GNS3</w:t>
      </w:r>
    </w:p>
    <w:bookmarkEnd w:id="24"/>
    <w:p>
      <w:pPr>
        <w:pStyle w:val="BodyText"/>
      </w:pPr>
      <w:r>
        <w:t xml:space="preserve">Соберём топологию сети согласно заданию, разместив коммутаторы, маршрутизаторы FRR и оконечные устройства (рис. [#fig:002]).</w:t>
      </w:r>
    </w:p>
    <w:bookmarkStart w:id="28" w:name="fig:002"/>
    <w:p>
      <w:pPr>
        <w:pStyle w:val="CaptionedFigure"/>
      </w:pPr>
      <w:r>
        <w:drawing>
          <wp:inline>
            <wp:extent cx="4456496" cy="1886551"/>
            <wp:effectExtent b="0" l="0" r="0" t="0"/>
            <wp:docPr descr="Топология сети в GNS3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188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в GNS3</w:t>
      </w:r>
    </w:p>
    <w:bookmarkEnd w:id="28"/>
    <w:p>
      <w:pPr>
        <w:pStyle w:val="BodyText"/>
      </w:pPr>
      <w:r>
        <w:t xml:space="preserve">Настроим IP-адрес и шлюз по умолчанию на PC1 (рис. [#fig:003]).</w:t>
      </w:r>
    </w:p>
    <w:bookmarkStart w:id="32" w:name="fig:003"/>
    <w:p>
      <w:pPr>
        <w:pStyle w:val="CaptionedFigure"/>
      </w:pPr>
      <w:r>
        <w:drawing>
          <wp:inline>
            <wp:extent cx="5197642" cy="4639376"/>
            <wp:effectExtent b="0" l="0" r="0" t="0"/>
            <wp:docPr descr="Настройка IPv4 на PC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42" cy="4639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на PC1</w:t>
      </w:r>
    </w:p>
    <w:bookmarkEnd w:id="32"/>
    <w:p>
      <w:pPr>
        <w:pStyle w:val="BodyText"/>
      </w:pPr>
      <w:r>
        <w:t xml:space="preserve">Настроим IP-адрес и шлюз по умолчанию на PC2 (рис. [#fig:004]).</w:t>
      </w:r>
    </w:p>
    <w:bookmarkStart w:id="36" w:name="fig:004"/>
    <w:p>
      <w:pPr>
        <w:pStyle w:val="CaptionedFigure"/>
      </w:pPr>
      <w:r>
        <w:drawing>
          <wp:inline>
            <wp:extent cx="5334000" cy="4446540"/>
            <wp:effectExtent b="0" l="0" r="0" t="0"/>
            <wp:docPr descr="Настройка IPv4 на PC2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 на PC2</w:t>
      </w:r>
    </w:p>
    <w:bookmarkEnd w:id="36"/>
    <w:p>
      <w:pPr>
        <w:pStyle w:val="BodyText"/>
      </w:pPr>
      <w:r>
        <w:t xml:space="preserve">На маршрутизаторе gw-01 зададим имя хоста и настроим IPv4-адреса на интерфейсах eth0, eth1 и eth2 (рис. [#fig:005]).</w:t>
      </w:r>
    </w:p>
    <w:bookmarkStart w:id="40" w:name="fig:005"/>
    <w:p>
      <w:pPr>
        <w:pStyle w:val="CaptionedFigure"/>
      </w:pPr>
      <w:r>
        <w:drawing>
          <wp:inline>
            <wp:extent cx="3898231" cy="4918509"/>
            <wp:effectExtent b="0" l="0" r="0" t="0"/>
            <wp:docPr descr="Базовая настройка gw-01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31" cy="49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gw-01</w:t>
      </w:r>
    </w:p>
    <w:bookmarkEnd w:id="40"/>
    <w:p>
      <w:pPr>
        <w:pStyle w:val="BodyText"/>
      </w:pPr>
      <w:r>
        <w:t xml:space="preserve">На маршрутизаторе gw-02 зададим имя хоста и настроим IPv4-адреса на интерфейсах eth0 и eth1 (рис. [#fig:006]).</w:t>
      </w:r>
    </w:p>
    <w:bookmarkStart w:id="44" w:name="fig:006"/>
    <w:p>
      <w:pPr>
        <w:pStyle w:val="CaptionedFigure"/>
      </w:pPr>
      <w:r>
        <w:drawing>
          <wp:inline>
            <wp:extent cx="5334000" cy="4589501"/>
            <wp:effectExtent b="0" l="0" r="0" t="0"/>
            <wp:docPr descr="Базовая настройка gw-02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gw-02</w:t>
      </w:r>
    </w:p>
    <w:bookmarkEnd w:id="44"/>
    <w:p>
      <w:pPr>
        <w:pStyle w:val="BodyText"/>
      </w:pPr>
      <w:r>
        <w:t xml:space="preserve">На маршрутизаторе gw-03 зададим имя хоста и настроим IPv4-адреса на интерфейсах eth0, eth1 и eth2 (рис. [#fig:007]).</w:t>
      </w:r>
    </w:p>
    <w:bookmarkStart w:id="48" w:name="fig:007"/>
    <w:p>
      <w:pPr>
        <w:pStyle w:val="CaptionedFigure"/>
      </w:pPr>
      <w:r>
        <w:drawing>
          <wp:inline>
            <wp:extent cx="3128210" cy="4677877"/>
            <wp:effectExtent b="0" l="0" r="0" t="0"/>
            <wp:docPr descr="Базовая настройка gw-03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467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gw-03</w:t>
      </w:r>
    </w:p>
    <w:bookmarkEnd w:id="48"/>
    <w:p>
      <w:pPr>
        <w:pStyle w:val="BodyText"/>
      </w:pPr>
      <w:r>
        <w:t xml:space="preserve">На маршрутизаторе gw-04 зададим имя хоста и настроим IPv4-адреса на интерфейсах eth0 и eth1 (рис. [#fig:008]).</w:t>
      </w:r>
    </w:p>
    <w:bookmarkStart w:id="52" w:name="fig:008"/>
    <w:p>
      <w:pPr>
        <w:pStyle w:val="CaptionedFigure"/>
      </w:pPr>
      <w:r>
        <w:drawing>
          <wp:inline>
            <wp:extent cx="4831882" cy="4697128"/>
            <wp:effectExtent b="0" l="0" r="0" t="0"/>
            <wp:docPr descr="Базовая настройка gw-04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469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gw-04</w:t>
      </w:r>
    </w:p>
    <w:bookmarkEnd w:id="52"/>
    <w:p>
      <w:pPr>
        <w:pStyle w:val="BodyText"/>
      </w:pPr>
      <w:r>
        <w:t xml:space="preserve">Настроим IPv6-адрес на PC1 (рис. [#fig:009]).</w:t>
      </w:r>
    </w:p>
    <w:bookmarkStart w:id="56" w:name="fig:009"/>
    <w:p>
      <w:pPr>
        <w:pStyle w:val="CaptionedFigure"/>
      </w:pPr>
      <w:r>
        <w:drawing>
          <wp:inline>
            <wp:extent cx="4620126" cy="4976261"/>
            <wp:effectExtent b="0" l="0" r="0" t="0"/>
            <wp:docPr descr="Настройка IPv6 на PC1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97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PC1</w:t>
      </w:r>
    </w:p>
    <w:bookmarkEnd w:id="56"/>
    <w:p>
      <w:pPr>
        <w:pStyle w:val="BodyText"/>
      </w:pPr>
      <w:r>
        <w:t xml:space="preserve">Настроим IPv6-адрес на PC2 (рис. [#fig:010]).</w:t>
      </w:r>
    </w:p>
    <w:bookmarkStart w:id="60" w:name="fig:010"/>
    <w:p>
      <w:pPr>
        <w:pStyle w:val="CaptionedFigure"/>
      </w:pPr>
      <w:r>
        <w:drawing>
          <wp:inline>
            <wp:extent cx="5139890" cy="4985886"/>
            <wp:effectExtent b="0" l="0" r="0" t="0"/>
            <wp:docPr descr="Настройка IPv6 на PC2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890" cy="4985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PC2</w:t>
      </w:r>
    </w:p>
    <w:bookmarkEnd w:id="60"/>
    <w:p>
      <w:pPr>
        <w:pStyle w:val="BodyText"/>
      </w:pPr>
      <w:r>
        <w:t xml:space="preserve">На маршрутизаторе gw-01 включим маршрутизацию IPv6 (forwarding) и настроим IPv6-адреса на интерфейсах (рис. [#fig:011]).</w:t>
      </w:r>
    </w:p>
    <w:bookmarkStart w:id="64" w:name="fig:011"/>
    <w:p>
      <w:pPr>
        <w:pStyle w:val="CaptionedFigure"/>
      </w:pPr>
      <w:r>
        <w:drawing>
          <wp:inline>
            <wp:extent cx="3185962" cy="4947385"/>
            <wp:effectExtent b="0" l="0" r="0" t="0"/>
            <wp:docPr descr="Настройка IPv6 на gw-01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494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gw-01</w:t>
      </w:r>
    </w:p>
    <w:bookmarkEnd w:id="64"/>
    <w:p>
      <w:pPr>
        <w:pStyle w:val="BodyText"/>
      </w:pPr>
      <w:r>
        <w:t xml:space="preserve">На маршрутизаторе gw-02 включим маршрутизацию IPv6 и настроим адреса на интерфейсах (рис. [#fig:012]).</w:t>
      </w:r>
    </w:p>
    <w:bookmarkStart w:id="68" w:name="fig:012"/>
    <w:p>
      <w:pPr>
        <w:pStyle w:val="CaptionedFigure"/>
      </w:pPr>
      <w:r>
        <w:drawing>
          <wp:inline>
            <wp:extent cx="3349591" cy="4639376"/>
            <wp:effectExtent b="0" l="0" r="0" t="0"/>
            <wp:docPr descr="Настройка IPv6 на gw-02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4639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gw-02</w:t>
      </w:r>
    </w:p>
    <w:bookmarkEnd w:id="68"/>
    <w:p>
      <w:pPr>
        <w:pStyle w:val="BodyText"/>
      </w:pPr>
      <w:r>
        <w:t xml:space="preserve">Дальше всё есть в видео. Как можно понять у меня не работает RIP, OSPF протоколы т.к. они ничего не видят. А VyOS снова вылетает, как и в 7 лаб. работе. К сожалению, продолжать работу не предоставляется возможным.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</dc:title>
  <dc:creator>Ко Антон Геннадьевич</dc:creator>
  <dc:language>ru-RU</dc:language>
  <cp:keywords/>
  <dcterms:created xsi:type="dcterms:W3CDTF">2026-03-04T07:36:02Z</dcterms:created>
  <dcterms:modified xsi:type="dcterms:W3CDTF">2026-03-04T07:36:02Z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/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Latin Modern Roman</vt:lpwstr>
  </property>
  <property fmtid="{D5CDD505-2E9C-101B-9397-08002B2CF9AE}" pid="29" name="mainfontoptions">
    <vt:lpwstr>Ligatures=TeX</vt:lpwstr>
  </property>
  <property fmtid="{D5CDD505-2E9C-101B-9397-08002B2CF9AE}" pid="30" name="monofont">
    <vt:lpwstr>Latin Modern Sans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Latin Modern Sans</vt:lpwstr>
  </property>
  <property fmtid="{D5CDD505-2E9C-101B-9397-08002B2CF9AE}" pid="36" name="romanfontoptions">
    <vt:lpwstr>Ligatures=TeX</vt:lpwstr>
  </property>
  <property fmtid="{D5CDD505-2E9C-101B-9397-08002B2CF9AE}" pid="37" name="sansfont">
    <vt:lpwstr>Latin Modern Roman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Лабораторная работа № 8.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