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Учёт физических параметров сети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p>
      <w:r>
        <w:pict>
          <v:rect style="width:0;height:1.5pt" o:hralign="center" o:hrstd="t" o:hr="t"/>
        </w:pict>
      </w:r>
    </w:p>
    <w:bookmarkEnd w:id="20"/>
    <w:bookmarkStart w:id="77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Перейдём в физическую рабочую область Packet Tracer и присвоим название городу — Moscow (рис. #fig:002):</w:t>
      </w:r>
    </w:p>
    <w:bookmarkStart w:id="24" w:name="fig:002"/>
    <w:p>
      <w:pPr>
        <w:pStyle w:val="CaptionedFigure"/>
      </w:pPr>
      <w:r>
        <w:drawing>
          <wp:inline>
            <wp:extent cx="3442447" cy="2043952"/>
            <wp:effectExtent b="0" l="0" r="0" t="0"/>
            <wp:docPr descr="Открытие физической рабочей области Packet Tracer и присвоение названия городу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47" cy="204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физической рабочей области Packet Tracer и присвоение названия городу</w:t>
      </w:r>
    </w:p>
    <w:bookmarkEnd w:id="24"/>
    <w:p>
      <w:pPr>
        <w:pStyle w:val="BodyText"/>
      </w:pPr>
      <w:r>
        <w:t xml:space="preserve">Щёлкнув на изображение города, мы видим изображение здания. Присвоим ему название Donskaya и добавим здание для территории Pavlovskaya (рис. #fig:003):</w:t>
      </w:r>
    </w:p>
    <w:bookmarkStart w:id="28" w:name="fig:003"/>
    <w:p>
      <w:pPr>
        <w:pStyle w:val="CaptionedFigure"/>
      </w:pPr>
      <w:r>
        <w:drawing>
          <wp:inline>
            <wp:extent cx="5109882" cy="1590594"/>
            <wp:effectExtent b="0" l="0" r="0" t="0"/>
            <wp:docPr descr="Присвоение зданию названия Donskaya и добавление здания для территории Pavlovskaya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1590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зданию названия Donskaya и добавление здания для территории Pavlovskaya</w:t>
      </w:r>
    </w:p>
    <w:bookmarkEnd w:id="28"/>
    <w:p>
      <w:pPr>
        <w:pStyle w:val="BodyText"/>
      </w:pPr>
      <w:r>
        <w:t xml:space="preserve">Щёлкнув на изображение здания Donskaya, переместим изображение, обозначающее серверное помещение, в него (рис. #fig:004):</w:t>
      </w:r>
    </w:p>
    <w:bookmarkStart w:id="32" w:name="fig:004"/>
    <w:p>
      <w:pPr>
        <w:pStyle w:val="CaptionedFigure"/>
      </w:pPr>
      <w:r>
        <w:drawing>
          <wp:inline>
            <wp:extent cx="5334000" cy="2392505"/>
            <wp:effectExtent b="0" l="0" r="0" t="0"/>
            <wp:docPr descr="Перемещение изображения, обозначающего серверное помещение, внутрь здания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изображения, обозначающего серверное помещение, внутрь здания</w:t>
      </w:r>
    </w:p>
    <w:bookmarkEnd w:id="32"/>
    <w:p>
      <w:pPr>
        <w:pStyle w:val="BodyText"/>
      </w:pPr>
      <w:r>
        <w:t xml:space="preserve">Затем, щёлкнув на изображение серверной, мы видим отображение серверных стоек. Переместим коммутатор</w:t>
      </w:r>
      <w:r>
        <w:t xml:space="preserve"> </w:t>
      </w:r>
      <w:r>
        <w:rPr>
          <w:rStyle w:val="VerbatimChar"/>
        </w:rPr>
        <w:t xml:space="preserve">msk-pavlovskaya-agko-sw-1</w:t>
      </w:r>
      <w:r>
        <w:t xml:space="preserve"> </w:t>
      </w:r>
      <w:r>
        <w:t xml:space="preserve">(рис. #fig:005) и два оконечных устройства</w:t>
      </w:r>
      <w:r>
        <w:t xml:space="preserve"> </w:t>
      </w:r>
      <w:r>
        <w:rPr>
          <w:rStyle w:val="VerbatimChar"/>
        </w:rPr>
        <w:t xml:space="preserve">dk-pavlovskaya-1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other-pavlovskaya-1</w:t>
      </w:r>
      <w:r>
        <w:t xml:space="preserve"> </w:t>
      </w:r>
      <w:r>
        <w:t xml:space="preserve">(рис. #fig:006) на территорию Pavlovskaya, используя меню</w:t>
      </w:r>
      <w:r>
        <w:t xml:space="preserve"> </w:t>
      </w:r>
      <w:r>
        <w:t xml:space="preserve">“Move”</w:t>
      </w:r>
      <w:r>
        <w:t xml:space="preserve"> </w:t>
      </w:r>
      <w:r>
        <w:t xml:space="preserve">физической рабочей области Packet Tracer.</w:t>
      </w:r>
    </w:p>
    <w:bookmarkStart w:id="36" w:name="fig:005"/>
    <w:p>
      <w:pPr>
        <w:pStyle w:val="CaptionedFigure"/>
      </w:pPr>
      <w:r>
        <w:drawing>
          <wp:inline>
            <wp:extent cx="3880436" cy="1175657"/>
            <wp:effectExtent b="0" l="0" r="0" t="0"/>
            <wp:docPr descr="Перемещение коммутатора msk-pavlovskaya-agko-sw-1 на территорию Pavlovskaya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36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коммутатора msk-pavlovskaya-agko-sw-1 на территорию Pavlovskaya</w:t>
      </w:r>
    </w:p>
    <w:bookmarkEnd w:id="36"/>
    <w:bookmarkStart w:id="40" w:name="fig:006"/>
    <w:p>
      <w:pPr>
        <w:pStyle w:val="CaptionedFigure"/>
      </w:pPr>
      <w:r>
        <w:drawing>
          <wp:inline>
            <wp:extent cx="2013216" cy="1052712"/>
            <wp:effectExtent b="0" l="0" r="0" t="0"/>
            <wp:docPr descr="Перемещение двух оконечных устройств (dk-pavlovskaya-1 и other-pavlovskaya-1) на территорию Pavlovskaya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216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двух оконечных устройств (dk-pavlovskaya-1 и other-pavlovskaya-1) на территорию Pavlovskaya</w:t>
      </w:r>
    </w:p>
    <w:bookmarkEnd w:id="40"/>
    <w:p>
      <w:pPr>
        <w:pStyle w:val="BodyText"/>
      </w:pPr>
      <w:r>
        <w:t xml:space="preserve">Вернувшись в логическую рабочую область Packet Tracer, выполним ping с коммутатора</w:t>
      </w:r>
      <w:r>
        <w:t xml:space="preserve"> </w:t>
      </w:r>
      <w:r>
        <w:rPr>
          <w:rStyle w:val="VerbatimChar"/>
        </w:rPr>
        <w:t xml:space="preserve">msk-donskaya-agko-sw-1</w:t>
      </w:r>
      <w:r>
        <w:t xml:space="preserve"> </w:t>
      </w:r>
      <w:r>
        <w:t xml:space="preserve">на коммутатор</w:t>
      </w:r>
      <w:r>
        <w:t xml:space="preserve"> </w:t>
      </w:r>
      <w:r>
        <w:rPr>
          <w:rStyle w:val="VerbatimChar"/>
        </w:rPr>
        <w:t xml:space="preserve">msk-pavlovskaya-agko-sw-1</w:t>
      </w:r>
      <w:r>
        <w:t xml:space="preserve"> </w:t>
      </w:r>
      <w:r>
        <w:t xml:space="preserve">и убедимся в работоспособности соединения (рис. #fig:007):</w:t>
      </w:r>
    </w:p>
    <w:bookmarkStart w:id="44" w:name="fig:007"/>
    <w:p>
      <w:pPr>
        <w:pStyle w:val="CaptionedFigure"/>
      </w:pPr>
      <w:r>
        <w:drawing>
          <wp:inline>
            <wp:extent cx="3081297" cy="1467650"/>
            <wp:effectExtent b="0" l="0" r="0" t="0"/>
            <wp:docPr descr="Пинг с коммутатора msk-donskaya-agko-sw-1 на коммутатор msk-pavlovskaya-agko-sw-1 (проверка работоспособности соединения)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97" cy="146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с коммутатора msk-donskaya-agko-sw-1 на коммутатор msk-pavlovskaya-agko-sw-1 (проверка работоспособности соединения)</w:t>
      </w:r>
    </w:p>
    <w:bookmarkEnd w:id="44"/>
    <w:p>
      <w:pPr>
        <w:pStyle w:val="BodyText"/>
      </w:pPr>
      <w:r>
        <w:t xml:space="preserve">Далее в меню</w:t>
      </w:r>
      <w:r>
        <w:t xml:space="preserve"> </w:t>
      </w:r>
      <w:r>
        <w:t xml:space="preserve">“Options”</w:t>
      </w:r>
      <w:r>
        <w:t xml:space="preserve"> </w:t>
      </w:r>
      <w:r>
        <w:t xml:space="preserve">→</w:t>
      </w:r>
      <w:r>
        <w:t xml:space="preserve"> </w:t>
      </w:r>
      <w:r>
        <w:t xml:space="preserve">“Preferences”</w:t>
      </w:r>
      <w:r>
        <w:t xml:space="preserve"> </w:t>
      </w:r>
      <w:r>
        <w:t xml:space="preserve">во вкладке</w:t>
      </w:r>
      <w:r>
        <w:t xml:space="preserve"> </w:t>
      </w:r>
      <w:r>
        <w:t xml:space="preserve">“Interface”</w:t>
      </w:r>
      <w:r>
        <w:t xml:space="preserve"> </w:t>
      </w:r>
      <w:r>
        <w:t xml:space="preserve">активируем разрешение на учёт физических характеристик среды передачи (Enable Cable Length Effects) (рис. #fig:008):</w:t>
      </w:r>
    </w:p>
    <w:bookmarkStart w:id="48" w:name="fig:008"/>
    <w:p>
      <w:pPr>
        <w:pStyle w:val="CaptionedFigure"/>
      </w:pPr>
      <w:r>
        <w:drawing>
          <wp:inline>
            <wp:extent cx="3342554" cy="2428154"/>
            <wp:effectExtent b="0" l="0" r="0" t="0"/>
            <wp:docPr descr="Активация разрешения на учёт физических характеристик среды передачи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54" cy="242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разрешения на учёт физических характеристик среды передачи</w:t>
      </w:r>
    </w:p>
    <w:bookmarkEnd w:id="48"/>
    <w:p>
      <w:pPr>
        <w:pStyle w:val="BodyText"/>
      </w:pPr>
      <w:r>
        <w:t xml:space="preserve">Теперь в физической рабочей области Packet Tracer разместим две территории на расстоянии более 100 м друг от друга (рис. #fig:009):</w:t>
      </w:r>
    </w:p>
    <w:bookmarkStart w:id="52" w:name="fig:009"/>
    <w:p>
      <w:pPr>
        <w:pStyle w:val="CaptionedFigure"/>
      </w:pPr>
      <w:r>
        <w:drawing>
          <wp:inline>
            <wp:extent cx="5334000" cy="3523986"/>
            <wp:effectExtent b="0" l="0" r="0" t="0"/>
            <wp:docPr descr="Размещение двух территорий на расстоянии более 100 м друг от друг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двух территорий на расстоянии более 100 м друг от друга</w:t>
      </w:r>
    </w:p>
    <w:bookmarkEnd w:id="52"/>
    <w:p>
      <w:pPr>
        <w:pStyle w:val="BodyText"/>
      </w:pPr>
      <w:r>
        <w:t xml:space="preserve">Вернувшись в логическую рабочую область Packet Tracer, выполним ping с коммутатора</w:t>
      </w:r>
      <w:r>
        <w:t xml:space="preserve"> </w:t>
      </w:r>
      <w:r>
        <w:rPr>
          <w:rStyle w:val="VerbatimChar"/>
        </w:rPr>
        <w:t xml:space="preserve">msk-donskaya-agko-sw-1</w:t>
      </w:r>
      <w:r>
        <w:t xml:space="preserve"> </w:t>
      </w:r>
      <w:r>
        <w:t xml:space="preserve">на коммутатор</w:t>
      </w:r>
      <w:r>
        <w:t xml:space="preserve"> </w:t>
      </w:r>
      <w:r>
        <w:rPr>
          <w:rStyle w:val="VerbatimChar"/>
        </w:rPr>
        <w:t xml:space="preserve">msk-pavlovskaya-agko-sw-1</w:t>
      </w:r>
      <w:r>
        <w:t xml:space="preserve"> </w:t>
      </w:r>
      <w:r>
        <w:t xml:space="preserve">и убедимся в неработоспособности соединения (рис. #fig:010):</w:t>
      </w:r>
    </w:p>
    <w:bookmarkStart w:id="56" w:name="fig:010"/>
    <w:p>
      <w:pPr>
        <w:pStyle w:val="CaptionedFigure"/>
      </w:pPr>
      <w:r>
        <w:drawing>
          <wp:inline>
            <wp:extent cx="3511603" cy="1052712"/>
            <wp:effectExtent b="0" l="0" r="0" t="0"/>
            <wp:docPr descr="Пинг с коммутатора msk-donskaya-agko-sw-1 на коммутатор msk-pavlovskaya-agko-sw-1 (проверка неработоспособности соединения)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с коммутатора msk-donskaya-agko-sw-1 на коммутатор msk-pavlovskaya-agko-sw-1 (проверка неработоспособности соединения)</w:t>
      </w:r>
    </w:p>
    <w:bookmarkEnd w:id="56"/>
    <w:p>
      <w:pPr>
        <w:pStyle w:val="BodyText"/>
      </w:pPr>
      <w:r>
        <w:t xml:space="preserve">Далее удалим соединение между</w:t>
      </w:r>
      <w:r>
        <w:t xml:space="preserve"> </w:t>
      </w:r>
      <w:r>
        <w:rPr>
          <w:rStyle w:val="VerbatimChar"/>
        </w:rPr>
        <w:t xml:space="preserve">msk-donskaya-agko-sw-1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msk-pavlovskaya-agko-sw-1</w:t>
      </w:r>
      <w:r>
        <w:t xml:space="preserve"> </w:t>
      </w:r>
      <w:r>
        <w:t xml:space="preserve">и добавим в логическую рабочую область два повторителя (Repeater-PT). Присвоим им соответствующие названия</w:t>
      </w:r>
      <w:r>
        <w:t xml:space="preserve"> </w:t>
      </w:r>
      <w:r>
        <w:rPr>
          <w:rStyle w:val="VerbatimChar"/>
        </w:rPr>
        <w:t xml:space="preserve">msk-donskaya-agko-mc-1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msk-pavlovskaya-agko-mc-1</w:t>
      </w:r>
      <w:r>
        <w:t xml:space="preserve"> </w:t>
      </w:r>
      <w:r>
        <w:t xml:space="preserve">(рис. #fig:011). Внутри повторителей заменим имеющиеся модули на</w:t>
      </w:r>
      <w:r>
        <w:t xml:space="preserve"> </w:t>
      </w:r>
      <w:r>
        <w:rPr>
          <w:rStyle w:val="VerbatimChar"/>
        </w:rPr>
        <w:t xml:space="preserve">PT-REPEATERNM-1FFE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PT-REPEATER-NM-1CFE</w:t>
      </w:r>
      <w:r>
        <w:t xml:space="preserve"> </w:t>
      </w:r>
      <w:r>
        <w:t xml:space="preserve">для подключения оптоволокна и витой пары по технологии Fast Ethernet (рис. #fig:012):</w:t>
      </w:r>
    </w:p>
    <w:bookmarkStart w:id="60" w:name="fig:011"/>
    <w:p>
      <w:pPr>
        <w:pStyle w:val="CaptionedFigure"/>
      </w:pPr>
      <w:r>
        <w:drawing>
          <wp:inline>
            <wp:extent cx="4510527" cy="922084"/>
            <wp:effectExtent b="0" l="0" r="0" t="0"/>
            <wp:docPr descr="Удаление соединения, добавление двух повторителей и присвоение им названий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27" cy="92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соединения, добавление двух повторителей и присвоение им названий</w:t>
      </w:r>
    </w:p>
    <w:bookmarkEnd w:id="60"/>
    <w:bookmarkStart w:id="64" w:name="fig:012"/>
    <w:p>
      <w:pPr>
        <w:pStyle w:val="CaptionedFigure"/>
      </w:pPr>
      <w:r>
        <w:drawing>
          <wp:inline>
            <wp:extent cx="1744275" cy="822191"/>
            <wp:effectExtent b="0" l="0" r="0" t="0"/>
            <wp:docPr descr="Замена модулей на PT-REPEATERNM-1FFE и PT-REPEATER-NM-1CFE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275" cy="82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модулей на PT-REPEATERNM-1FFE и PT-REPEATER-NM-1CFE</w:t>
      </w:r>
    </w:p>
    <w:bookmarkEnd w:id="64"/>
    <w:p>
      <w:pPr>
        <w:pStyle w:val="BodyText"/>
      </w:pPr>
      <w:r>
        <w:t xml:space="preserve">Переместим</w:t>
      </w:r>
      <w:r>
        <w:t xml:space="preserve"> </w:t>
      </w:r>
      <w:r>
        <w:rPr>
          <w:rStyle w:val="VerbatimChar"/>
        </w:rPr>
        <w:t xml:space="preserve">msk-pavlovskaya-agko-mc-1</w:t>
      </w:r>
      <w:r>
        <w:t xml:space="preserve"> </w:t>
      </w:r>
      <w:r>
        <w:t xml:space="preserve">на территорию Pavlovskaya (в физической рабочей области Packet Tracer) (рис. #fig:013):</w:t>
      </w:r>
    </w:p>
    <w:bookmarkStart w:id="68" w:name="fig:013"/>
    <w:p>
      <w:pPr>
        <w:pStyle w:val="CaptionedFigure"/>
      </w:pPr>
      <w:r>
        <w:drawing>
          <wp:inline>
            <wp:extent cx="3196557" cy="768403"/>
            <wp:effectExtent b="0" l="0" r="0" t="0"/>
            <wp:docPr descr="Перемещение msk-pavlovskaya-agko-mc-1 на территорию Pavlovskaya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57" cy="76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msk-pavlovskaya-agko-mc-1 на территорию Pavlovskaya</w:t>
      </w:r>
    </w:p>
    <w:bookmarkEnd w:id="68"/>
    <w:p>
      <w:pPr>
        <w:pStyle w:val="BodyText"/>
      </w:pPr>
      <w:r>
        <w:t xml:space="preserve">Теперь подключим коммутатор</w:t>
      </w:r>
      <w:r>
        <w:t xml:space="preserve"> </w:t>
      </w:r>
      <w:r>
        <w:rPr>
          <w:rStyle w:val="VerbatimChar"/>
        </w:rPr>
        <w:t xml:space="preserve">msk-donskaya-agko-sw-1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msk-donskaya-agko-mc-1</w:t>
      </w:r>
      <w:r>
        <w:t xml:space="preserve"> </w:t>
      </w:r>
      <w:r>
        <w:t xml:space="preserve">по витой паре,</w:t>
      </w:r>
      <w:r>
        <w:t xml:space="preserve"> </w:t>
      </w:r>
      <w:r>
        <w:rPr>
          <w:rStyle w:val="VerbatimChar"/>
        </w:rPr>
        <w:t xml:space="preserve">msk-donskaya-agko-mc-1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msk-pavlovskaya-agko-mc-1</w:t>
      </w:r>
      <w:r>
        <w:t xml:space="preserve"> </w:t>
      </w:r>
      <w:r>
        <w:t xml:space="preserve">— по оптоволокну,</w:t>
      </w:r>
      <w:r>
        <w:t xml:space="preserve"> </w:t>
      </w:r>
      <w:r>
        <w:rPr>
          <w:rStyle w:val="VerbatimChar"/>
        </w:rPr>
        <w:t xml:space="preserve">msk-pavlovskaya-agko-sw-1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msk-pavlovskaya-agko-mc-1</w:t>
      </w:r>
      <w:r>
        <w:t xml:space="preserve"> </w:t>
      </w:r>
      <w:r>
        <w:t xml:space="preserve">— по витой паре (рис. #fig:014):</w:t>
      </w:r>
    </w:p>
    <w:bookmarkStart w:id="72" w:name="fig:014"/>
    <w:p>
      <w:pPr>
        <w:pStyle w:val="CaptionedFigure"/>
      </w:pPr>
      <w:r>
        <w:drawing>
          <wp:inline>
            <wp:extent cx="5334000" cy="1059420"/>
            <wp:effectExtent b="0" l="0" r="0" t="0"/>
            <wp:docPr descr="Подключение коммутаторов через повторители по витой паре и оптоволокну" title="" id="70" name="Picture"/>
            <a:graphic>
              <a:graphicData uri="http://schemas.openxmlformats.org/drawingml/2006/picture">
                <pic:pic>
                  <pic:nvPicPr>
                    <pic:cNvPr descr="image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коммутаторов через повторители по витой паре и оптоволокну</w:t>
      </w:r>
    </w:p>
    <w:bookmarkEnd w:id="72"/>
    <w:p>
      <w:pPr>
        <w:pStyle w:val="BodyText"/>
      </w:pPr>
      <w:r>
        <w:t xml:space="preserve">Убедимся в работоспособности соединения между</w:t>
      </w:r>
      <w:r>
        <w:t xml:space="preserve"> </w:t>
      </w:r>
      <w:r>
        <w:rPr>
          <w:rStyle w:val="VerbatimChar"/>
        </w:rPr>
        <w:t xml:space="preserve">msk-donskaya-agko-sw-1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msk-pavlovskaya-agko-sw-1</w:t>
      </w:r>
      <w:r>
        <w:t xml:space="preserve"> </w:t>
      </w:r>
      <w:r>
        <w:t xml:space="preserve">(рис. #fig:015):</w:t>
      </w:r>
    </w:p>
    <w:bookmarkStart w:id="76" w:name="fig:015"/>
    <w:p>
      <w:pPr>
        <w:pStyle w:val="CaptionedFigure"/>
      </w:pPr>
      <w:r>
        <w:drawing>
          <wp:inline>
            <wp:extent cx="3204242" cy="1398494"/>
            <wp:effectExtent b="0" l="0" r="0" t="0"/>
            <wp:docPr descr="Проверка работоспособности соединения после добавления повторителей" title="" id="74" name="Picture"/>
            <a:graphic>
              <a:graphicData uri="http://schemas.openxmlformats.org/drawingml/2006/picture">
                <pic:pic>
                  <pic:nvPicPr>
                    <pic:cNvPr descr="image/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42" cy="139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соединения после добавления повторителей</w:t>
      </w:r>
    </w:p>
    <w:bookmarkEnd w:id="76"/>
    <w:p>
      <w:r>
        <w:pict>
          <v:rect style="width:0;height:1.5pt" o:hralign="center" o:hrstd="t" o:hr="t"/>
        </w:pict>
      </w:r>
    </w:p>
    <w:bookmarkEnd w:id="77"/>
    <w:bookmarkStart w:id="78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получили навыки работы с физической рабочей областью Packet Tracer, а также научились учитывать физические параметры сети (расстояние между устройствами, типы кабелей) с использованием повторителей для увеличения дальности передачи сигнала.</w:t>
      </w:r>
    </w:p>
    <w:p>
      <w:r>
        <w:pict>
          <v:rect style="width:0;height:1.5pt" o:hralign="center" o:hrstd="t" o:hr="t"/>
        </w:pict>
      </w:r>
    </w:p>
    <w:bookmarkEnd w:id="78"/>
    <w:bookmarkStart w:id="83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bookmarkStart w:id="79" w:name="X4b4e57061781460b339b14ee8fbe978c970ec70"/>
    <w:p>
      <w:pPr>
        <w:pStyle w:val="Heading3"/>
      </w:pPr>
      <w:r>
        <w:t xml:space="preserve">4.1 1. 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pStyle w:val="FirstParagraph"/>
      </w:pPr>
      <w:r>
        <w:rPr>
          <w:b/>
          <w:bCs/>
        </w:rPr>
        <w:t xml:space="preserve">Среды передачи данных:</w:t>
      </w:r>
      <w:r>
        <w:t xml:space="preserve"> </w:t>
      </w:r>
      <w:r>
        <w:t xml:space="preserve">- Коаксиальный кабель</w:t>
      </w:r>
      <w:r>
        <w:t xml:space="preserve"> </w:t>
      </w:r>
      <w:r>
        <w:t xml:space="preserve">- Витая пара</w:t>
      </w:r>
      <w:r>
        <w:t xml:space="preserve"> </w:t>
      </w:r>
      <w:r>
        <w:t xml:space="preserve">- Оптоволокно</w:t>
      </w:r>
      <w:r>
        <w:t xml:space="preserve"> </w:t>
      </w:r>
      <w:r>
        <w:t xml:space="preserve">- Беспроводные среды (Wi-Fi, Bluetooth, и т.д.)</w:t>
      </w:r>
    </w:p>
    <w:p>
      <w:pPr>
        <w:pStyle w:val="BodyText"/>
      </w:pPr>
      <w:r>
        <w:rPr>
          <w:b/>
          <w:bCs/>
        </w:rPr>
        <w:t xml:space="preserve">Характеристики, на которые следует обращать внимание:</w:t>
      </w:r>
      <w:r>
        <w:t xml:space="preserve"> </w:t>
      </w:r>
      <w:r>
        <w:t xml:space="preserve">- Допустимое расстояние передачи сигнала</w:t>
      </w:r>
      <w:r>
        <w:t xml:space="preserve"> </w:t>
      </w:r>
      <w:r>
        <w:t xml:space="preserve">- Скорость передачи данных</w:t>
      </w:r>
      <w:r>
        <w:t xml:space="preserve"> </w:t>
      </w:r>
      <w:r>
        <w:t xml:space="preserve">- Реальные физические факторы для беспроводных сетей (помехи, препятствия)</w:t>
      </w:r>
      <w:r>
        <w:t xml:space="preserve"> </w:t>
      </w:r>
      <w:r>
        <w:t xml:space="preserve">- Устойчивость к внешним воздействиям</w:t>
      </w:r>
      <w:r>
        <w:t xml:space="preserve"> </w:t>
      </w:r>
      <w:r>
        <w:t xml:space="preserve">- Стоимость прокладки и обслуживания</w:t>
      </w:r>
    </w:p>
    <w:bookmarkEnd w:id="79"/>
    <w:bookmarkStart w:id="80" w:name="Xa5e69066e208c1e33e6d159356af097db5cf6a5"/>
    <w:p>
      <w:pPr>
        <w:pStyle w:val="Heading3"/>
      </w:pPr>
      <w:r>
        <w:t xml:space="preserve">4.2 2. Перечислите категории витой пары. Чем они отличаются? Какая категория в каких условиях может применяться?</w:t>
      </w:r>
    </w:p>
    <w:p>
      <w:pPr>
        <w:pStyle w:val="FirstParagraph"/>
      </w:pPr>
      <w:r>
        <w:t xml:space="preserve">Существует несколько категорий кабеля «витая пара», которые нумеруются от 1 до 8 и определяют эффективный пропускаемый частотный диапазон.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697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Cat5</w:t>
            </w:r>
          </w:p>
        </w:tc>
        <w:tc>
          <w:tcPr/>
          <w:p>
            <w:pPr>
              <w:pStyle w:val="Compact"/>
            </w:pPr>
            <w:r>
              <w:t xml:space="preserve">100 МГц</w:t>
            </w:r>
          </w:p>
        </w:tc>
        <w:tc>
          <w:tcPr/>
          <w:p>
            <w:pPr>
              <w:pStyle w:val="Compact"/>
            </w:pPr>
            <w:r>
              <w:t xml:space="preserve">100 Мбит/с</w:t>
            </w:r>
          </w:p>
        </w:tc>
        <w:tc>
          <w:tcPr/>
          <w:p>
            <w:pPr>
              <w:pStyle w:val="Compact"/>
            </w:pPr>
            <w:r>
              <w:t xml:space="preserve">Устаревшая, для сетей 100BASE-TX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Cat5e</w:t>
            </w:r>
          </w:p>
        </w:tc>
        <w:tc>
          <w:tcPr/>
          <w:p>
            <w:pPr>
              <w:pStyle w:val="Compact"/>
            </w:pPr>
            <w:r>
              <w:t xml:space="preserve">100 МГц</w:t>
            </w:r>
          </w:p>
        </w:tc>
        <w:tc>
          <w:tcPr/>
          <w:p>
            <w:pPr>
              <w:pStyle w:val="Compact"/>
            </w:pPr>
            <w:r>
              <w:t xml:space="preserve">1 Гбит/с</w:t>
            </w:r>
          </w:p>
        </w:tc>
        <w:tc>
          <w:tcPr/>
          <w:p>
            <w:pPr>
              <w:pStyle w:val="Compact"/>
            </w:pPr>
            <w:r>
              <w:t xml:space="preserve">Наиболее распространённая для домашних и офисных сетей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Cat6</w:t>
            </w:r>
          </w:p>
        </w:tc>
        <w:tc>
          <w:tcPr/>
          <w:p>
            <w:pPr>
              <w:pStyle w:val="Compact"/>
            </w:pPr>
            <w:r>
              <w:t xml:space="preserve">250 МГц</w:t>
            </w:r>
          </w:p>
        </w:tc>
        <w:tc>
          <w:tcPr/>
          <w:p>
            <w:pPr>
              <w:pStyle w:val="Compact"/>
            </w:pPr>
            <w:r>
              <w:t xml:space="preserve">1 Гбит/с (до 100 м), 10 Гбит/с (до 55 м)</w:t>
            </w:r>
          </w:p>
        </w:tc>
        <w:tc>
          <w:tcPr/>
          <w:p>
            <w:pPr>
              <w:pStyle w:val="Compact"/>
            </w:pPr>
            <w:r>
              <w:t xml:space="preserve">Для высокоскоростных сетей, корпоративных сетей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Cat6a</w:t>
            </w:r>
          </w:p>
        </w:tc>
        <w:tc>
          <w:tcPr/>
          <w:p>
            <w:pPr>
              <w:pStyle w:val="Compact"/>
            </w:pPr>
            <w:r>
              <w:t xml:space="preserve">500 МГц</w:t>
            </w:r>
          </w:p>
        </w:tc>
        <w:tc>
          <w:tcPr/>
          <w:p>
            <w:pPr>
              <w:pStyle w:val="Compact"/>
            </w:pPr>
            <w:r>
              <w:t xml:space="preserve">10 Гбит/с (до 100 м)</w:t>
            </w:r>
          </w:p>
        </w:tc>
        <w:tc>
          <w:tcPr/>
          <w:p>
            <w:pPr>
              <w:pStyle w:val="Compact"/>
            </w:pPr>
            <w:r>
              <w:t xml:space="preserve">Для дата-центров, высоконагруженных сетей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Cat7</w:t>
            </w:r>
          </w:p>
        </w:tc>
        <w:tc>
          <w:tcPr/>
          <w:p>
            <w:pPr>
              <w:pStyle w:val="Compact"/>
            </w:pPr>
            <w:r>
              <w:t xml:space="preserve">600 МГц</w:t>
            </w:r>
          </w:p>
        </w:tc>
        <w:tc>
          <w:tcPr/>
          <w:p>
            <w:pPr>
              <w:pStyle w:val="Compact"/>
            </w:pPr>
            <w:r>
              <w:t xml:space="preserve">10 Гбит/с</w:t>
            </w:r>
          </w:p>
        </w:tc>
        <w:tc>
          <w:tcPr/>
          <w:p>
            <w:pPr>
              <w:pStyle w:val="Compact"/>
            </w:pPr>
            <w:r>
              <w:t xml:space="preserve">Экранированная, для профессиональных сетей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Cat8</w:t>
            </w:r>
          </w:p>
        </w:tc>
        <w:tc>
          <w:tcPr/>
          <w:p>
            <w:pPr>
              <w:pStyle w:val="Compact"/>
            </w:pPr>
            <w:r>
              <w:t xml:space="preserve">2000 МГц</w:t>
            </w:r>
          </w:p>
        </w:tc>
        <w:tc>
          <w:tcPr/>
          <w:p>
            <w:pPr>
              <w:pStyle w:val="Compact"/>
            </w:pPr>
            <w:r>
              <w:t xml:space="preserve">25-40 Гбит/с</w:t>
            </w:r>
          </w:p>
        </w:tc>
        <w:tc>
          <w:tcPr/>
          <w:p>
            <w:pPr>
              <w:pStyle w:val="Compact"/>
            </w:pPr>
            <w:r>
              <w:t xml:space="preserve">Для дата-центров, на коротких расстояниях (до 30 м)</w:t>
            </w:r>
          </w:p>
        </w:tc>
      </w:tr>
    </w:tbl>
    <w:p>
      <w:pPr>
        <w:pStyle w:val="BodyText"/>
      </w:pPr>
      <w:r>
        <w:t xml:space="preserve">Категории отличаются диапазоном частот, строением кабелей и скоростью передачи. Применяются в зависимости от требуемой скорости передачи и условий эксплуатации.</w:t>
      </w:r>
    </w:p>
    <w:bookmarkEnd w:id="80"/>
    <w:bookmarkStart w:id="81" w:name="Xdf9bbf0d97576cdc39712af3af2fc7be3d9562d"/>
    <w:p>
      <w:pPr>
        <w:pStyle w:val="Heading3"/>
      </w:pPr>
      <w:r>
        <w:t xml:space="preserve">4.3 3. В чём отличие одномодового и многомодового оптоволокна? Какой тип кабеля в каких условиях может применяться?</w:t>
      </w:r>
    </w:p>
    <w:p>
      <w:pPr>
        <w:pStyle w:val="FirstParagraph"/>
      </w:pPr>
      <w:r>
        <w:t xml:space="preserve">Отличие заключается в количестве проходящих лучей света: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Одномодовое (SMF)</w:t>
            </w:r>
          </w:p>
        </w:tc>
        <w:tc>
          <w:tcPr/>
          <w:p>
            <w:pPr>
              <w:pStyle w:val="Compact"/>
            </w:pPr>
            <w:r>
              <w:t xml:space="preserve">Многомодовое (MMF)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Количество лучей</w:t>
            </w:r>
          </w:p>
        </w:tc>
        <w:tc>
          <w:tcPr/>
          <w:p>
            <w:pPr>
              <w:pStyle w:val="Compact"/>
            </w:pPr>
            <w:r>
              <w:t xml:space="preserve">Один луч</w:t>
            </w:r>
          </w:p>
        </w:tc>
        <w:tc>
          <w:tcPr/>
          <w:p>
            <w:pPr>
              <w:pStyle w:val="Compact"/>
            </w:pPr>
            <w:r>
              <w:t xml:space="preserve">Множество лучей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Диаметр сердцевины</w:t>
            </w:r>
          </w:p>
        </w:tc>
        <w:tc>
          <w:tcPr/>
          <w:p>
            <w:pPr>
              <w:pStyle w:val="Compact"/>
            </w:pPr>
            <w:r>
              <w:t xml:space="preserve">~9 мкм</w:t>
            </w:r>
          </w:p>
        </w:tc>
        <w:tc>
          <w:tcPr/>
          <w:p>
            <w:pPr>
              <w:pStyle w:val="Compact"/>
            </w:pPr>
            <w:r>
              <w:t xml:space="preserve">50 или 62.5 мкм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Дальность</w:t>
            </w:r>
          </w:p>
        </w:tc>
        <w:tc>
          <w:tcPr/>
          <w:p>
            <w:pPr>
              <w:pStyle w:val="Compact"/>
            </w:pPr>
            <w:r>
              <w:t xml:space="preserve">До 100+ км</w:t>
            </w:r>
          </w:p>
        </w:tc>
        <w:tc>
          <w:tcPr/>
          <w:p>
            <w:pPr>
              <w:pStyle w:val="Compact"/>
            </w:pPr>
            <w:r>
              <w:t xml:space="preserve">До 2 км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Дороже</w:t>
            </w:r>
          </w:p>
        </w:tc>
        <w:tc>
          <w:tcPr/>
          <w:p>
            <w:pPr>
              <w:pStyle w:val="Compact"/>
            </w:pPr>
            <w:r>
              <w:t xml:space="preserve">Дешевле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Источник света</w:t>
            </w:r>
          </w:p>
        </w:tc>
        <w:tc>
          <w:tcPr/>
          <w:p>
            <w:pPr>
              <w:pStyle w:val="Compact"/>
            </w:pPr>
            <w:r>
              <w:t xml:space="preserve">Лазер</w:t>
            </w:r>
          </w:p>
        </w:tc>
        <w:tc>
          <w:tcPr/>
          <w:p>
            <w:pPr>
              <w:pStyle w:val="Compact"/>
            </w:pPr>
            <w:r>
              <w:t xml:space="preserve">Светодиод (LED)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Применение: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Одномодовое</w:t>
      </w:r>
      <w:r>
        <w:t xml:space="preserve"> </w:t>
      </w:r>
      <w:r>
        <w:t xml:space="preserve">— используется на больших расстояниях (магистральные линии, соединение городов, провайдерские сети).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Многомодовое</w:t>
      </w:r>
      <w:r>
        <w:t xml:space="preserve"> </w:t>
      </w:r>
      <w:r>
        <w:t xml:space="preserve">— используется внутри зданий, кампусов, на небольших расстояниях (до 2 км).</w:t>
      </w:r>
    </w:p>
    <w:bookmarkEnd w:id="81"/>
    <w:bookmarkStart w:id="82" w:name="X2b5a132c093c2834afe046c6730905c128ba2fa"/>
    <w:p>
      <w:pPr>
        <w:pStyle w:val="Heading3"/>
      </w:pPr>
      <w:r>
        <w:t xml:space="preserve">4.4 4. Какие разъёмы встречаются на патчах оптоволокна? Чем они отличаются?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разъёма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Subscriber Connector / Square Connector</w:t>
            </w:r>
          </w:p>
        </w:tc>
        <w:tc>
          <w:tcPr/>
          <w:p>
            <w:pPr>
              <w:pStyle w:val="Compact"/>
            </w:pPr>
            <w:r>
              <w:t xml:space="preserve">Высокая скорость и плотность коммутации, ненадёжный корпус (фиксация защёлкой)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Straight Tip</w:t>
            </w:r>
          </w:p>
        </w:tc>
        <w:tc>
          <w:tcPr/>
          <w:p>
            <w:pPr>
              <w:pStyle w:val="Compact"/>
            </w:pPr>
            <w:r>
              <w:t xml:space="preserve">Меньшая плотность коммутации, надёжный корпус (фиксация байонетом)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Ferrule Connector</w:t>
            </w:r>
          </w:p>
        </w:tc>
        <w:tc>
          <w:tcPr/>
          <w:p>
            <w:pPr>
              <w:pStyle w:val="Compact"/>
            </w:pPr>
            <w:r>
              <w:t xml:space="preserve">Большая сложность коммутации, надёжный корпус с резьбовым соединением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</w:t>
            </w:r>
          </w:p>
        </w:tc>
        <w:tc>
          <w:tcPr/>
          <w:p>
            <w:pPr>
              <w:pStyle w:val="Compact"/>
            </w:pPr>
            <w:r>
              <w:t xml:space="preserve">Lucent Connector</w:t>
            </w:r>
          </w:p>
        </w:tc>
        <w:tc>
          <w:tcPr/>
          <w:p>
            <w:pPr>
              <w:pStyle w:val="Compact"/>
            </w:pPr>
            <w:r>
              <w:t xml:space="preserve">Компактный, для высокой плотности коммутации, используется в SFP-трансиверах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MT-RJ</w:t>
            </w:r>
          </w:p>
        </w:tc>
        <w:tc>
          <w:tcPr/>
          <w:p>
            <w:pPr>
              <w:pStyle w:val="Compact"/>
            </w:pPr>
            <w:r>
              <w:t xml:space="preserve">Mechanical Transfer Registered Jack</w:t>
            </w:r>
          </w:p>
        </w:tc>
        <w:tc>
          <w:tcPr/>
          <w:p>
            <w:pPr>
              <w:pStyle w:val="Compact"/>
            </w:pPr>
            <w:r>
              <w:t xml:space="preserve">Двухволоконный компактный разъём</w:t>
            </w:r>
          </w:p>
        </w:tc>
      </w:tr>
    </w:tbl>
    <w:p>
      <w:pPr>
        <w:pStyle w:val="BodyText"/>
      </w:pPr>
      <w:r>
        <w:t xml:space="preserve">Разъёмы отличаются механизмом фиксации (защёлка, байонет, резьба), габаритами, плотностью коммутации и областью применения.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 Антон Геннадьевич</dc:creator>
  <dc:language>ru-RU</dc:language>
  <cp:keywords/>
  <dcterms:created xsi:type="dcterms:W3CDTF">2026-09-04T17:49:18Z</dcterms:created>
  <dcterms:modified xsi:type="dcterms:W3CDTF">2026-09-04T17:49:18Z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Учёт физических параметров сети</vt:lpwstr>
  </property>
  <property fmtid="{D5CDD505-2E9C-101B-9397-08002B2CF9AE}" pid="16" name="toc-title">
    <vt:lpwstr>Содержание</vt:lpwstr>
  </property>
</Properties>
</file>