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Статическая маршрутизация VLAN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p>
      <w:r>
        <w:pict>
          <v:rect style="width:0;height:1.5pt" o:hralign="center" o:hrstd="t" o:hr="t"/>
        </w:pict>
      </w:r>
    </w:p>
    <w:bookmarkEnd w:id="20"/>
    <w:bookmarkStart w:id="41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В логической области проекта разместим маршрутизатор Cisco 2811, подключим его к порту 24 коммутатора</w:t>
      </w:r>
      <w:r>
        <w:t xml:space="preserve"> </w:t>
      </w:r>
      <w:r>
        <w:rPr>
          <w:rStyle w:val="VerbatimChar"/>
        </w:rPr>
        <w:t xml:space="preserve">msk-donskaya-agko-sw-1</w:t>
      </w:r>
      <w:r>
        <w:t xml:space="preserve"> </w:t>
      </w:r>
      <w:r>
        <w:t xml:space="preserve">в соответствии с таблицей портов (рис. #fig:002):</w:t>
      </w:r>
    </w:p>
    <w:bookmarkStart w:id="24" w:name="fig:002"/>
    <w:p>
      <w:pPr>
        <w:pStyle w:val="CaptionedFigure"/>
      </w:pPr>
      <w:r>
        <w:drawing>
          <wp:inline>
            <wp:extent cx="5334000" cy="1907583"/>
            <wp:effectExtent b="0" l="0" r="0" t="0"/>
            <wp:docPr descr="Размещение маршрутизатора Cisco 2811 в логической области проекта и подключение его к порту 24 коммутатора msk-donskaya-agko-sw-1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7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маршрутизатора Cisco 2811 в логической области проекта и подключение его к порту 24 коммутатора msk-donskaya-agko-sw-1</w:t>
      </w:r>
    </w:p>
    <w:bookmarkEnd w:id="24"/>
    <w:p>
      <w:pPr>
        <w:pStyle w:val="BodyText"/>
      </w:pPr>
      <w:r>
        <w:t xml:space="preserve">Используя приведённую последовательность команд в лабораторной работе по первоначальной настройке маршрутизатора, сконфигурируем маршрутизатор, задав на нём имя, пароль для доступа к консоли и настроим удалённое подключение к нему по SSH (рис. #fig:003):</w:t>
      </w:r>
    </w:p>
    <w:bookmarkStart w:id="28" w:name="fig:003"/>
    <w:p>
      <w:pPr>
        <w:pStyle w:val="CaptionedFigure"/>
      </w:pPr>
      <w:r>
        <w:drawing>
          <wp:inline>
            <wp:extent cx="4080221" cy="3088981"/>
            <wp:effectExtent b="0" l="0" r="0" t="0"/>
            <wp:docPr descr="Первоначальная настройка маршрутизатора: задание имени, пароля для доступа к консоли, настройка удалённого подключения по SSH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221" cy="308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маршрутизатора: задание имени, пароля для доступа к консоли, настройка удалённого подключения по SSH</w:t>
      </w:r>
    </w:p>
    <w:bookmarkEnd w:id="28"/>
    <w:p>
      <w:pPr>
        <w:pStyle w:val="BodyText"/>
      </w:pPr>
      <w:r>
        <w:t xml:space="preserve">Теперь настроим порт 24 коммутатора</w:t>
      </w:r>
      <w:r>
        <w:t xml:space="preserve"> </w:t>
      </w:r>
      <w:r>
        <w:rPr>
          <w:rStyle w:val="VerbatimChar"/>
        </w:rPr>
        <w:t xml:space="preserve">msk-donskaya-agko-sw-1</w:t>
      </w:r>
      <w:r>
        <w:t xml:space="preserve"> </w:t>
      </w:r>
      <w:r>
        <w:t xml:space="preserve">как trunk-порт (рис. #fig:004):</w:t>
      </w:r>
    </w:p>
    <w:bookmarkStart w:id="32" w:name="fig:004"/>
    <w:p>
      <w:pPr>
        <w:pStyle w:val="CaptionedFigure"/>
      </w:pPr>
      <w:r>
        <w:drawing>
          <wp:inline>
            <wp:extent cx="2727831" cy="745351"/>
            <wp:effectExtent b="0" l="0" r="0" t="0"/>
            <wp:docPr descr="Настройка порта 24 коммутатора msk-donskaya-agko-sw-1 как trunk-порт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831" cy="74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порта 24 коммутатора msk-donskaya-agko-sw-1 как trunk-порт</w:t>
      </w:r>
    </w:p>
    <w:bookmarkEnd w:id="32"/>
    <w:p>
      <w:pPr>
        <w:pStyle w:val="BodyText"/>
      </w:pPr>
      <w:r>
        <w:t xml:space="preserve">На интерфейсе f0/0 маршрутизатора</w:t>
      </w:r>
      <w:r>
        <w:t xml:space="preserve"> </w:t>
      </w:r>
      <w:r>
        <w:rPr>
          <w:rStyle w:val="VerbatimChar"/>
        </w:rPr>
        <w:t xml:space="preserve">msk-donskaya-agko-gw-1</w:t>
      </w:r>
      <w:r>
        <w:t xml:space="preserve"> </w:t>
      </w:r>
      <w:r>
        <w:t xml:space="preserve">настроим виртуальные интерфейсы, соответствующие номерам VLAN. Согласно таблице IP-адресов зададим соответствующие IP-адреса на виртуальных интерфейсах (рис. #fig:006):</w:t>
      </w:r>
    </w:p>
    <w:bookmarkStart w:id="36" w:name="fig:006"/>
    <w:p>
      <w:pPr>
        <w:pStyle w:val="CaptionedFigure"/>
      </w:pPr>
      <w:r>
        <w:drawing>
          <wp:inline>
            <wp:extent cx="4940833" cy="4810205"/>
            <wp:effectExtent b="0" l="0" r="0" t="0"/>
            <wp:docPr descr="Настройка на интерфейсе f0/0 маршрутизатора виртуальных интерфейсов, соответствующих номерам VLAN. Настройка IP-адресов согласно таблице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833" cy="481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на интерфейсе f0/0 маршрутизатора виртуальных интерфейсов, соответствующих номерам VLAN. Настройка IP-адресов согласно таблице</w:t>
      </w:r>
    </w:p>
    <w:bookmarkEnd w:id="36"/>
    <w:p>
      <w:pPr>
        <w:pStyle w:val="BodyText"/>
      </w:pPr>
      <w:r>
        <w:t xml:space="preserve">Изучим процесс передвижения пакета ICMP по сети в режиме симуляции в Packet Tracer (рис. #fig:007):</w:t>
      </w:r>
    </w:p>
    <w:bookmarkStart w:id="40" w:name="fig:007"/>
    <w:p>
      <w:pPr>
        <w:pStyle w:val="CaptionedFigure"/>
      </w:pPr>
      <w:r>
        <w:drawing>
          <wp:inline>
            <wp:extent cx="3096665" cy="4356847"/>
            <wp:effectExtent b="0" l="0" r="0" t="0"/>
            <wp:docPr descr="Изучение процесса передвижения пакета ICMP по сети в режиме симуляции в Packet Tracer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665" cy="4356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процесса передвижения пакета ICMP по сети в режиме симуляции в Packet Tracer</w:t>
      </w:r>
    </w:p>
    <w:bookmarkEnd w:id="40"/>
    <w:p>
      <w:r>
        <w:pict>
          <v:rect style="width:0;height:1.5pt" o:hralign="center" o:hrstd="t" o:hr="t"/>
        </w:pict>
      </w:r>
    </w:p>
    <w:bookmarkEnd w:id="41"/>
    <w:bookmarkStart w:id="42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научились настраивать статическую маршрутизацию VLAN в сети.</w:t>
      </w:r>
    </w:p>
    <w:p>
      <w:r>
        <w:pict>
          <v:rect style="width:0;height:1.5pt" o:hralign="center" o:hrstd="t" o:hr="t"/>
        </w:pict>
      </w:r>
    </w:p>
    <w:bookmarkEnd w:id="42"/>
    <w:bookmarkStart w:id="45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bookmarkStart w:id="43" w:name="охарактеризуйте-стандарт-ieee-802.1q."/>
    <w:p>
      <w:pPr>
        <w:pStyle w:val="Heading3"/>
      </w:pPr>
      <w:r>
        <w:t xml:space="preserve">4.1 1. Охарактеризуйте стандарт IEEE 802.1Q.</w:t>
      </w:r>
    </w:p>
    <w:p>
      <w:pPr>
        <w:pStyle w:val="FirstParagraph"/>
      </w:pPr>
      <w:r>
        <w:rPr>
          <w:b/>
          <w:bCs/>
        </w:rPr>
        <w:t xml:space="preserve">IEEE 802.1Q</w:t>
      </w:r>
      <w:r>
        <w:t xml:space="preserve"> </w:t>
      </w:r>
      <w:r>
        <w:t xml:space="preserve">— это открытый стандарт, который описывает процедуру тегирования трафика для передачи данных между устройствами в сетях с виртуальными локальными сетями (VLAN). Стандарт определяет механизм вставки специального тега (VLAN tag) в Ethernet-кадр, что позволяет идентифицировать принадлежность кадра к определённому VLAN при передаче по магистральным каналам (trunk). Это обеспечивает возможность передачи трафика нескольких VLAN через один физический интерфейс.</w:t>
      </w:r>
    </w:p>
    <w:bookmarkEnd w:id="43"/>
    <w:bookmarkStart w:id="44" w:name="опишите-формат-кадра-ieee-802.1q."/>
    <w:p>
      <w:pPr>
        <w:pStyle w:val="Heading3"/>
      </w:pPr>
      <w:r>
        <w:t xml:space="preserve">4.2 2. Опишите формат кадра IEEE 802.1Q.</w:t>
      </w:r>
    </w:p>
    <w:p>
      <w:pPr>
        <w:pStyle w:val="FirstParagraph"/>
      </w:pPr>
      <w:r>
        <w:t xml:space="preserve">Кадр IEEE 802.1Q добавляет</w:t>
      </w:r>
      <w:r>
        <w:t xml:space="preserve"> </w:t>
      </w:r>
      <w:r>
        <w:rPr>
          <w:b/>
          <w:bCs/>
        </w:rPr>
        <w:t xml:space="preserve">32-битное (4-байтное) поле</w:t>
      </w:r>
      <w:r>
        <w:t xml:space="preserve"> </w:t>
      </w:r>
      <w:r>
        <w:t xml:space="preserve">между MAC-адресом источника и полем EtherType (или Length) исходного кадра. Это поле называется</w:t>
      </w:r>
      <w:r>
        <w:t xml:space="preserve"> </w:t>
      </w:r>
      <w:r>
        <w:rPr>
          <w:b/>
          <w:bCs/>
        </w:rPr>
        <w:t xml:space="preserve">VLAN tag</w:t>
      </w:r>
      <w:r>
        <w:t xml:space="preserve"> </w:t>
      </w:r>
      <w:r>
        <w:t xml:space="preserve">и содержит следующую информацию: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TPID (Tag Protocol Identifier)</w:t>
            </w:r>
          </w:p>
        </w:tc>
        <w:tc>
          <w:tcPr/>
          <w:p>
            <w:pPr>
              <w:pStyle w:val="Compact"/>
            </w:pPr>
            <w:r>
              <w:t xml:space="preserve">16 бит</w:t>
            </w:r>
          </w:p>
        </w:tc>
        <w:tc>
          <w:tcPr/>
          <w:p>
            <w:pPr>
              <w:pStyle w:val="Compact"/>
            </w:pPr>
            <w:r>
              <w:t xml:space="preserve">Идентификатор протокола тегирования. Для 802.1Q имеет значение 0x8100, указывающее на наличие VLAN-тега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PCP (Priority Code Point)</w:t>
            </w:r>
          </w:p>
        </w:tc>
        <w:tc>
          <w:tcPr/>
          <w:p>
            <w:pPr>
              <w:pStyle w:val="Compact"/>
            </w:pPr>
            <w:r>
              <w:t xml:space="preserve">3 бита</w:t>
            </w:r>
          </w:p>
        </w:tc>
        <w:tc>
          <w:tcPr/>
          <w:p>
            <w:pPr>
              <w:pStyle w:val="Compact"/>
            </w:pPr>
            <w:r>
              <w:t xml:space="preserve">Код приоритета, используется для QoS (качество обслуживания)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DEI (Drop Eligible Indicator)</w:t>
            </w:r>
          </w:p>
        </w:tc>
        <w:tc>
          <w:tcPr/>
          <w:p>
            <w:pPr>
              <w:pStyle w:val="Compact"/>
            </w:pPr>
            <w:r>
              <w:t xml:space="preserve">1 бит</w:t>
            </w:r>
          </w:p>
        </w:tc>
        <w:tc>
          <w:tcPr/>
          <w:p>
            <w:pPr>
              <w:pStyle w:val="Compact"/>
            </w:pPr>
            <w:r>
              <w:t xml:space="preserve">Индикатор возможности отбрасывания кадра при перегрузке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 (VLAN Identifier)</w:t>
            </w:r>
          </w:p>
        </w:tc>
        <w:tc>
          <w:tcPr/>
          <w:p>
            <w:pPr>
              <w:pStyle w:val="Compact"/>
            </w:pPr>
            <w:r>
              <w:t xml:space="preserve">12 бит</w:t>
            </w:r>
          </w:p>
        </w:tc>
        <w:tc>
          <w:tcPr/>
          <w:p>
            <w:pPr>
              <w:pStyle w:val="Compact"/>
            </w:pPr>
            <w:r>
              <w:t xml:space="preserve">Идентификатор VLAN (от 0 до 4095). Значения 0 и 4095 зарезервированы</w:t>
            </w:r>
          </w:p>
        </w:tc>
      </w:tr>
    </w:tbl>
    <w:p>
      <w:pPr>
        <w:pStyle w:val="BodyText"/>
      </w:pPr>
      <w:r>
        <w:t xml:space="preserve">В соответствии с 802.1Q минимальный размер кадра остаётся 64 байта, но мост может увеличить минимальный размер кадра с 64 до 68 байтов при передаче IEEE 802.1Q из-за добавления VLAN-тега.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Ко Антон Геннадьевич</dc:creator>
  <dc:language>ru-RU</dc:language>
  <cp:keywords/>
  <dcterms:created xsi:type="dcterms:W3CDTF">2026-09-04T17:37:16Z</dcterms:created>
  <dcterms:modified xsi:type="dcterms:W3CDTF">2026-09-04T17:37:16Z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Статическая маршрутизация VLAN</vt:lpwstr>
  </property>
  <property fmtid="{D5CDD505-2E9C-101B-9397-08002B2CF9AE}" pid="16" name="toc-title">
    <vt:lpwstr>Содержание</vt:lpwstr>
  </property>
</Properties>
</file>