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1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Знакомство с Cisco Packet Tracer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Установить инструмент моделирования конфигурации сети Cisco Packet Tracer и познакомиться с его интерфейсом.</w:t>
      </w:r>
    </w:p>
    <w:p>
      <w:r>
        <w:pict>
          <v:rect style="width:0;height:1.5pt" o:hralign="center" o:hrstd="t" o:hr="t"/>
        </w:pict>
      </w:r>
    </w:p>
    <w:bookmarkEnd w:id="20"/>
    <w:bookmarkStart w:id="105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В рабочем пространстве разместим концентратор (</w:t>
      </w:r>
      <w:r>
        <w:rPr>
          <w:rStyle w:val="VerbatimChar"/>
        </w:rPr>
        <w:t xml:space="preserve">Hub-PT-agko</w:t>
      </w:r>
      <w:r>
        <w:t xml:space="preserve">) и четыре оконечных устройства</w:t>
      </w:r>
      <w:r>
        <w:t xml:space="preserve"> </w:t>
      </w:r>
      <w:r>
        <w:rPr>
          <w:rStyle w:val="VerbatimChar"/>
        </w:rPr>
        <w:t xml:space="preserve">PC-agko</w:t>
      </w:r>
      <w:r>
        <w:t xml:space="preserve">. Соединим оконечные устройства с концентратором прямым кабелем (рис. #fig:002). После чего, щёлкнув последовательно на каждом оконечном устройстве, зададим статические IP-адреса (рис. #fig:003):</w:t>
      </w:r>
    </w:p>
    <w:p>
      <w:pPr>
        <w:pStyle w:val="Compact"/>
        <w:numPr>
          <w:ilvl w:val="0"/>
          <w:numId w:val="1001"/>
        </w:numPr>
      </w:pPr>
      <w:r>
        <w:t xml:space="preserve">192.168.1.11</w:t>
      </w:r>
    </w:p>
    <w:p>
      <w:pPr>
        <w:pStyle w:val="Compact"/>
        <w:numPr>
          <w:ilvl w:val="0"/>
          <w:numId w:val="1001"/>
        </w:numPr>
      </w:pPr>
      <w:r>
        <w:t xml:space="preserve">192.168.1.12</w:t>
      </w:r>
    </w:p>
    <w:p>
      <w:pPr>
        <w:pStyle w:val="Compact"/>
        <w:numPr>
          <w:ilvl w:val="0"/>
          <w:numId w:val="1001"/>
        </w:numPr>
      </w:pPr>
      <w:r>
        <w:t xml:space="preserve">192.168.1.13</w:t>
      </w:r>
    </w:p>
    <w:p>
      <w:pPr>
        <w:pStyle w:val="Compact"/>
        <w:numPr>
          <w:ilvl w:val="0"/>
          <w:numId w:val="1001"/>
        </w:numPr>
      </w:pPr>
      <w:r>
        <w:t xml:space="preserve">192.168.1.14</w:t>
      </w:r>
    </w:p>
    <w:p>
      <w:pPr>
        <w:pStyle w:val="FirstParagraph"/>
      </w:pPr>
      <w:r>
        <w:t xml:space="preserve">с маской подсети 255.255.255.0</w:t>
      </w:r>
    </w:p>
    <w:bookmarkStart w:id="24" w:name="fig:002"/>
    <w:p>
      <w:pPr>
        <w:pStyle w:val="CaptionedFigure"/>
      </w:pPr>
      <w:r>
        <w:drawing>
          <wp:inline>
            <wp:extent cx="2558783" cy="1790379"/>
            <wp:effectExtent b="0" l="0" r="0" t="0"/>
            <wp:docPr descr="Размещение концентратора и четырёх оконечных устройств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783" cy="1790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концентратора и четырёх оконечных устройств</w:t>
      </w:r>
    </w:p>
    <w:bookmarkEnd w:id="24"/>
    <w:bookmarkStart w:id="28" w:name="fig:003"/>
    <w:p>
      <w:pPr>
        <w:pStyle w:val="CaptionedFigure"/>
      </w:pPr>
      <w:r>
        <w:drawing>
          <wp:inline>
            <wp:extent cx="3465499" cy="1444598"/>
            <wp:effectExtent b="0" l="0" r="0" t="0"/>
            <wp:docPr descr="Присвоение статического IP-адреса и маски подсети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99" cy="144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статического IP-адреса и маски подсети</w:t>
      </w:r>
    </w:p>
    <w:bookmarkEnd w:id="28"/>
    <w:p>
      <w:pPr>
        <w:pStyle w:val="BodyText"/>
      </w:pPr>
      <w:r>
        <w:t xml:space="preserve">В основном окне проекта перейдём из режима реального времени (Realtime) в режим моделирования (Simulation) (рис. #fig:004). Выберем на панели инструментов мышкой «Add Simple PDU (P)» (рис. #fig:005) и щёлкнем сначала на</w:t>
      </w:r>
      <w:r>
        <w:t xml:space="preserve"> </w:t>
      </w:r>
      <w:r>
        <w:rPr>
          <w:rStyle w:val="VerbatimChar"/>
        </w:rPr>
        <w:t xml:space="preserve">PC0-agko</w:t>
      </w:r>
      <w:r>
        <w:t xml:space="preserve">, затем на</w:t>
      </w:r>
      <w:r>
        <w:t xml:space="preserve"> </w:t>
      </w:r>
      <w:r>
        <w:rPr>
          <w:rStyle w:val="VerbatimChar"/>
        </w:rPr>
        <w:t xml:space="preserve">PC2-agko</w:t>
      </w:r>
      <w:r>
        <w:t xml:space="preserve">. В рабочей области появились два конверта, обозначающих пакеты (рис. #fig:006), в списке событий на панели моделирования появились два события, относящихся к пакетам ARP и ICMP соответственно (рис. #fig:007). На панели моделирования нажмём кнопку «Play» и проследим за движением пакетов ARP и ICMP от устройства</w:t>
      </w:r>
      <w:r>
        <w:t xml:space="preserve"> </w:t>
      </w:r>
      <w:r>
        <w:rPr>
          <w:rStyle w:val="VerbatimChar"/>
        </w:rPr>
        <w:t xml:space="preserve">PC0-agko</w:t>
      </w:r>
      <w:r>
        <w:t xml:space="preserve"> </w:t>
      </w:r>
      <w:r>
        <w:t xml:space="preserve">до устройства</w:t>
      </w:r>
      <w:r>
        <w:t xml:space="preserve"> </w:t>
      </w:r>
      <w:r>
        <w:rPr>
          <w:rStyle w:val="VerbatimChar"/>
        </w:rPr>
        <w:t xml:space="preserve">PC2-agko</w:t>
      </w:r>
      <w:r>
        <w:t xml:space="preserve"> </w:t>
      </w:r>
      <w:r>
        <w:t xml:space="preserve">и обратно (рис. #fig:008):</w:t>
      </w:r>
    </w:p>
    <w:bookmarkStart w:id="32" w:name="fig:004"/>
    <w:p>
      <w:pPr>
        <w:pStyle w:val="CaptionedFigure"/>
      </w:pPr>
      <w:r>
        <w:drawing>
          <wp:inline>
            <wp:extent cx="1713539" cy="407253"/>
            <wp:effectExtent b="0" l="0" r="0" t="0"/>
            <wp:docPr descr="Переход из режима реального времени в режим моделирования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539" cy="40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из режима реального времени в режим моделирования</w:t>
      </w:r>
    </w:p>
    <w:bookmarkEnd w:id="32"/>
    <w:bookmarkStart w:id="36" w:name="fig:005"/>
    <w:p>
      <w:pPr>
        <w:pStyle w:val="CaptionedFigure"/>
      </w:pPr>
      <w:r>
        <w:drawing>
          <wp:inline>
            <wp:extent cx="1782695" cy="737667"/>
            <wp:effectExtent b="0" l="0" r="0" t="0"/>
            <wp:docPr descr="Add Simple PDU (P)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695" cy="73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Simple PDU (P)</w:t>
      </w:r>
    </w:p>
    <w:bookmarkEnd w:id="36"/>
    <w:bookmarkStart w:id="40" w:name="fig:006"/>
    <w:p>
      <w:pPr>
        <w:pStyle w:val="CaptionedFigure"/>
      </w:pPr>
      <w:r>
        <w:drawing>
          <wp:inline>
            <wp:extent cx="2919932" cy="1475334"/>
            <wp:effectExtent b="0" l="0" r="0" t="0"/>
            <wp:docPr descr="Появление в рабочей области двух конвертов, обозначающих пакет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932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Появление в рабочей области двух конвертов, обозначающих пакеты</w:t>
      </w:r>
    </w:p>
    <w:bookmarkEnd w:id="40"/>
    <w:bookmarkStart w:id="44" w:name="fig:007"/>
    <w:p>
      <w:pPr>
        <w:pStyle w:val="CaptionedFigure"/>
      </w:pPr>
      <w:r>
        <w:drawing>
          <wp:inline>
            <wp:extent cx="1751959" cy="852927"/>
            <wp:effectExtent b="0" l="0" r="0" t="0"/>
            <wp:docPr descr="Появление в списке событий двух событий, относящихся к пакетам ARP и ICMP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59" cy="85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Появление в списке событий двух событий, относящихся к пакетам ARP и ICMP</w:t>
      </w:r>
    </w:p>
    <w:bookmarkEnd w:id="44"/>
    <w:bookmarkStart w:id="48" w:name="fig:008"/>
    <w:p>
      <w:pPr>
        <w:pStyle w:val="CaptionedFigure"/>
      </w:pPr>
      <w:r>
        <w:drawing>
          <wp:inline>
            <wp:extent cx="3073613" cy="1705855"/>
            <wp:effectExtent b="0" l="0" r="0" t="0"/>
            <wp:docPr descr="Нажатие на панели моделирования кнопки Play и отслеживание движения пакетов ARP и ICMP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13" cy="170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Нажатие на панели моделирования кнопки Play и отслеживание движения пакетов ARP и ICMP</w:t>
      </w:r>
    </w:p>
    <w:bookmarkEnd w:id="48"/>
    <w:p>
      <w:pPr>
        <w:pStyle w:val="BodyText"/>
      </w:pPr>
      <w:r>
        <w:t xml:space="preserve">Щёлкнув на строке события, откроем окно информации о PDU и изучим, что происходит на уровне модели OSI при перемещении пакета. Используя кнопку «Проверь себя» (Challenge Me) на вкладке OSI Model, ответим на вопросы (рис. #fig:009):</w:t>
      </w:r>
    </w:p>
    <w:bookmarkStart w:id="52" w:name="fig:009"/>
    <w:p>
      <w:pPr>
        <w:pStyle w:val="CaptionedFigure"/>
      </w:pPr>
      <w:r>
        <w:drawing>
          <wp:inline>
            <wp:extent cx="3058245" cy="1552174"/>
            <wp:effectExtent b="0" l="0" r="0" t="0"/>
            <wp:docPr descr="Challenge me – ответы на вопросы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245" cy="155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Challenge me – ответы на вопросы</w:t>
      </w:r>
    </w:p>
    <w:bookmarkEnd w:id="52"/>
    <w:p>
      <w:pPr>
        <w:pStyle w:val="BodyText"/>
      </w:pPr>
      <w:r>
        <w:t xml:space="preserve">Откроем вкладку с информацией о PDU. Исследуем структуру пакета ICMP. Опишем структуру кадра Ethernet. Какие изменения происходят в кадре Ethernet при передвижении пакета? Какой тип имеет кадр Ethernet? Опишем структуру MAC-адресов (рис. #fig:010).</w:t>
      </w:r>
    </w:p>
    <w:p>
      <w:pPr>
        <w:pStyle w:val="BodyText"/>
      </w:pPr>
      <w:r>
        <w:rPr>
          <w:b/>
          <w:bCs/>
        </w:rPr>
        <w:t xml:space="preserve">Кадр: Ethernet II</w:t>
      </w:r>
      <w:r>
        <w:t xml:space="preserve"> </w:t>
      </w:r>
      <w:r>
        <w:t xml:space="preserve">- Преамбула: PREAMBLE</w:t>
      </w:r>
      <w:r>
        <w:t xml:space="preserve"> </w:t>
      </w:r>
      <w:r>
        <w:t xml:space="preserve">- Контрольная сумма: FCS</w:t>
      </w:r>
      <w:r>
        <w:t xml:space="preserve"> </w:t>
      </w:r>
      <w:r>
        <w:t xml:space="preserve">- Адрес MAC назначения: DEST ADDR</w:t>
      </w:r>
      <w:r>
        <w:t xml:space="preserve"> </w:t>
      </w:r>
      <w:r>
        <w:t xml:space="preserve">- Адрес MAC источника: SRC ADDR</w:t>
      </w:r>
      <w:r>
        <w:t xml:space="preserve"> </w:t>
      </w:r>
      <w:r>
        <w:t xml:space="preserve">- Тип вложения: TYPE</w:t>
      </w:r>
      <w:r>
        <w:t xml:space="preserve"> </w:t>
      </w:r>
      <w:r>
        <w:t xml:space="preserve">- Длина: DATA</w:t>
      </w:r>
    </w:p>
    <w:p>
      <w:pPr>
        <w:pStyle w:val="BodyText"/>
      </w:pPr>
      <w:r>
        <w:t xml:space="preserve">ICMP находится на сетевом уровне.</w:t>
      </w:r>
    </w:p>
    <w:bookmarkStart w:id="56" w:name="fig:010"/>
    <w:p>
      <w:pPr>
        <w:pStyle w:val="CaptionedFigure"/>
      </w:pPr>
      <w:r>
        <w:drawing>
          <wp:inline>
            <wp:extent cx="3127401" cy="3088981"/>
            <wp:effectExtent b="0" l="0" r="0" t="0"/>
            <wp:docPr descr="Исследование структуры пакета ICMP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01" cy="308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структуры пакета ICMP</w:t>
      </w:r>
    </w:p>
    <w:bookmarkEnd w:id="56"/>
    <w:p>
      <w:pPr>
        <w:pStyle w:val="BodyText"/>
      </w:pPr>
      <w:r>
        <w:t xml:space="preserve">Очистим список событий, удалив сценарий моделирования (рис. #fig:011). Выберем на панели инструментов мышкой «Add Simple PDU (P)» и щёлкнем сначала на</w:t>
      </w:r>
      <w:r>
        <w:t xml:space="preserve"> </w:t>
      </w:r>
      <w:r>
        <w:rPr>
          <w:rStyle w:val="VerbatimChar"/>
        </w:rPr>
        <w:t xml:space="preserve">PC0-agko</w:t>
      </w:r>
      <w:r>
        <w:t xml:space="preserve">, затем на</w:t>
      </w:r>
      <w:r>
        <w:t xml:space="preserve"> </w:t>
      </w:r>
      <w:r>
        <w:rPr>
          <w:rStyle w:val="VerbatimChar"/>
        </w:rPr>
        <w:t xml:space="preserve">PC2-agko</w:t>
      </w:r>
      <w:r>
        <w:t xml:space="preserve">. Снова выберем на панели инструментов мышкой «Add Simple PDU (P)» и щёлкнем сначала на</w:t>
      </w:r>
      <w:r>
        <w:t xml:space="preserve"> </w:t>
      </w:r>
      <w:r>
        <w:rPr>
          <w:rStyle w:val="VerbatimChar"/>
        </w:rPr>
        <w:t xml:space="preserve">PC2-agko</w:t>
      </w:r>
      <w:r>
        <w:t xml:space="preserve">, затем на</w:t>
      </w:r>
      <w:r>
        <w:t xml:space="preserve"> </w:t>
      </w:r>
      <w:r>
        <w:rPr>
          <w:rStyle w:val="VerbatimChar"/>
        </w:rPr>
        <w:t xml:space="preserve">PC0-agko</w:t>
      </w:r>
      <w:r>
        <w:t xml:space="preserve"> </w:t>
      </w:r>
      <w:r>
        <w:t xml:space="preserve">(рис. #fig:012). На панели моделирования нажмём кнопку «Play» и проследим за возникновением коллизии. В списке событий просмотрим информацию о PDU (рис. #fig:013):</w:t>
      </w:r>
    </w:p>
    <w:bookmarkStart w:id="60" w:name="fig:011"/>
    <w:p>
      <w:pPr>
        <w:pStyle w:val="CaptionedFigure"/>
      </w:pPr>
      <w:r>
        <w:drawing>
          <wp:inline>
            <wp:extent cx="1744275" cy="1244813"/>
            <wp:effectExtent b="0" l="0" r="0" t="0"/>
            <wp:docPr descr="Очистка списка событий, удаление сценария моделирования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275" cy="124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Очистка списка событий, удаление сценария моделирования</w:t>
      </w:r>
    </w:p>
    <w:bookmarkEnd w:id="60"/>
    <w:bookmarkStart w:id="64" w:name="fig:012"/>
    <w:p>
      <w:pPr>
        <w:pStyle w:val="CaptionedFigure"/>
      </w:pPr>
      <w:r>
        <w:drawing>
          <wp:inline>
            <wp:extent cx="2927616" cy="1859536"/>
            <wp:effectExtent b="0" l="0" r="0" t="0"/>
            <wp:docPr descr="PC0-agko -&gt; PC2-agko. PC2-agko -&gt; PC0-agko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616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PC0-agko -&gt; PC2-agko. PC2-agko -&gt; PC0-agko</w:t>
      </w:r>
    </w:p>
    <w:bookmarkEnd w:id="64"/>
    <w:bookmarkStart w:id="68" w:name="fig:013"/>
    <w:p>
      <w:pPr>
        <w:pStyle w:val="CaptionedFigure"/>
      </w:pPr>
      <w:r>
        <w:drawing>
          <wp:inline>
            <wp:extent cx="3480867" cy="3042877"/>
            <wp:effectExtent b="0" l="0" r="0" t="0"/>
            <wp:docPr descr="Просмотр в списке событий информации о PDU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67" cy="304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в списке событий информации о PDU</w:t>
      </w:r>
    </w:p>
    <w:bookmarkEnd w:id="68"/>
    <w:p>
      <w:pPr>
        <w:pStyle w:val="BodyText"/>
      </w:pPr>
      <w:r>
        <w:t xml:space="preserve">Перейдём в режим реального времени (Realtime). В рабочем пространстве разместим коммутатор и 4 оконечных устройства</w:t>
      </w:r>
      <w:r>
        <w:t xml:space="preserve"> </w:t>
      </w:r>
      <w:r>
        <w:rPr>
          <w:rStyle w:val="VerbatimChar"/>
        </w:rPr>
        <w:t xml:space="preserve">PC-agko</w:t>
      </w:r>
      <w:r>
        <w:t xml:space="preserve">. Соединим оконечные устройства с коммутатором прямым кабелем (рис. #fig:014):</w:t>
      </w:r>
    </w:p>
    <w:bookmarkStart w:id="72" w:name="fig:014"/>
    <w:p>
      <w:pPr>
        <w:pStyle w:val="CaptionedFigure"/>
      </w:pPr>
      <w:r>
        <w:drawing>
          <wp:inline>
            <wp:extent cx="2589519" cy="2674043"/>
            <wp:effectExtent b="0" l="0" r="0" t="0"/>
            <wp:docPr descr="Размещение коммутатора и 4 оконечных устройств. Соединение прямым кабелем" title="" id="70" name="Picture"/>
            <a:graphic>
              <a:graphicData uri="http://schemas.openxmlformats.org/drawingml/2006/picture">
                <pic:pic>
                  <pic:nvPicPr>
                    <pic:cNvPr descr="image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19" cy="26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коммутатора и 4 оконечных устройств. Соединение прямым кабелем</w:t>
      </w:r>
    </w:p>
    <w:bookmarkEnd w:id="72"/>
    <w:p>
      <w:pPr>
        <w:pStyle w:val="BodyText"/>
      </w:pPr>
      <w:r>
        <w:t xml:space="preserve">Присвоим статические IP-адреса (рис. #fig:015):</w:t>
      </w:r>
    </w:p>
    <w:bookmarkStart w:id="76" w:name="fig:015"/>
    <w:p>
      <w:pPr>
        <w:pStyle w:val="CaptionedFigure"/>
      </w:pPr>
      <w:r>
        <w:drawing>
          <wp:inline>
            <wp:extent cx="3665284" cy="2597203"/>
            <wp:effectExtent b="0" l="0" r="0" t="0"/>
            <wp:docPr descr="Присвоение статического IP-адреса и маски подсети" title="" id="74" name="Picture"/>
            <a:graphic>
              <a:graphicData uri="http://schemas.openxmlformats.org/drawingml/2006/picture">
                <pic:pic>
                  <pic:nvPicPr>
                    <pic:cNvPr descr="image/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2597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статического IP-адреса и маски подсети</w:t>
      </w:r>
    </w:p>
    <w:bookmarkEnd w:id="76"/>
    <w:p>
      <w:pPr>
        <w:pStyle w:val="BodyText"/>
      </w:pPr>
      <w:r>
        <w:t xml:space="preserve">В основном окне проекта перейдём из режима реального времени (Realtime) в режим моделирования (Simulation). Выберем на панели инструментов мышкой «Add Simple PDU (P)» и щёлкнем сначала на</w:t>
      </w:r>
      <w:r>
        <w:t xml:space="preserve"> </w:t>
      </w:r>
      <w:r>
        <w:rPr>
          <w:rStyle w:val="VerbatimChar"/>
        </w:rPr>
        <w:t xml:space="preserve">PC4-agko</w:t>
      </w:r>
      <w:r>
        <w:t xml:space="preserve">, затем на</w:t>
      </w:r>
      <w:r>
        <w:t xml:space="preserve"> </w:t>
      </w:r>
      <w:r>
        <w:rPr>
          <w:rStyle w:val="VerbatimChar"/>
        </w:rPr>
        <w:t xml:space="preserve">PC6-agko</w:t>
      </w:r>
      <w:r>
        <w:t xml:space="preserve">. В рабочей области появились два конверта, обозначающих пакеты (рис. #fig:016), в списке событий на панели моделирования появились два события, относящихся к пакетам ARP и ICMP соответственно (рис. #fig:017). На панели моделирования нажмём кнопку «Play» и проследим за движением пакетов ARP и ICMP. Отличие заключается в том, что у нас происходит запоминание нужного компьютера, то есть нет рассылки всем, после первой такой отправки.</w:t>
      </w:r>
    </w:p>
    <w:bookmarkStart w:id="80" w:name="fig:016"/>
    <w:p>
      <w:pPr>
        <w:pStyle w:val="CaptionedFigure"/>
      </w:pPr>
      <w:r>
        <w:drawing>
          <wp:inline>
            <wp:extent cx="2589519" cy="2351314"/>
            <wp:effectExtent b="0" l="0" r="0" t="0"/>
            <wp:docPr descr="Появление в рабочей области двух конвертов, обозначающих пакеты" title="" id="78" name="Picture"/>
            <a:graphic>
              <a:graphicData uri="http://schemas.openxmlformats.org/drawingml/2006/picture">
                <pic:pic>
                  <pic:nvPicPr>
                    <pic:cNvPr descr="image/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19" cy="235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Появление в рабочей области двух конвертов, обозначающих пакеты</w:t>
      </w:r>
    </w:p>
    <w:bookmarkEnd w:id="80"/>
    <w:bookmarkStart w:id="84" w:name="fig:017"/>
    <w:p>
      <w:pPr>
        <w:pStyle w:val="CaptionedFigure"/>
      </w:pPr>
      <w:r>
        <w:drawing>
          <wp:inline>
            <wp:extent cx="1705855" cy="899031"/>
            <wp:effectExtent b="0" l="0" r="0" t="0"/>
            <wp:docPr descr="Появление в списке событий двух событий, относящихся к пакетам ARP и ICMP" title="" id="82" name="Picture"/>
            <a:graphic>
              <a:graphicData uri="http://schemas.openxmlformats.org/drawingml/2006/picture">
                <pic:pic>
                  <pic:nvPicPr>
                    <pic:cNvPr descr="image/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855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Появление в списке событий двух событий, относящихся к пакетам ARP и ICMP</w:t>
      </w:r>
    </w:p>
    <w:bookmarkEnd w:id="84"/>
    <w:p>
      <w:pPr>
        <w:pStyle w:val="BodyText"/>
      </w:pPr>
      <w:r>
        <w:t xml:space="preserve">Очистим список событий, удалив сценарий моделирования. Выберем на панели инструментов мышкой «Add Simple PDU (P)» и щёлкнем сначала на</w:t>
      </w:r>
      <w:r>
        <w:t xml:space="preserve"> </w:t>
      </w:r>
      <w:r>
        <w:rPr>
          <w:rStyle w:val="VerbatimChar"/>
        </w:rPr>
        <w:t xml:space="preserve">PC4-agko</w:t>
      </w:r>
      <w:r>
        <w:t xml:space="preserve">, затем на</w:t>
      </w:r>
      <w:r>
        <w:t xml:space="preserve"> </w:t>
      </w:r>
      <w:r>
        <w:rPr>
          <w:rStyle w:val="VerbatimChar"/>
        </w:rPr>
        <w:t xml:space="preserve">PC6-agko</w:t>
      </w:r>
      <w:r>
        <w:t xml:space="preserve">. Снова выберем на панели инструментов мышкой «Add Simple PDU (P)» и щёлкнем сначала на</w:t>
      </w:r>
      <w:r>
        <w:t xml:space="preserve"> </w:t>
      </w:r>
      <w:r>
        <w:rPr>
          <w:rStyle w:val="VerbatimChar"/>
        </w:rPr>
        <w:t xml:space="preserve">PC6-agko</w:t>
      </w:r>
      <w:r>
        <w:t xml:space="preserve">, затем на</w:t>
      </w:r>
      <w:r>
        <w:t xml:space="preserve"> </w:t>
      </w:r>
      <w:r>
        <w:rPr>
          <w:rStyle w:val="VerbatimChar"/>
        </w:rPr>
        <w:t xml:space="preserve">PC4-agko</w:t>
      </w:r>
      <w:r>
        <w:t xml:space="preserve"> </w:t>
      </w:r>
      <w:r>
        <w:t xml:space="preserve">(рис. #fig:018). На панели моделирования нажмём кнопку «Play» и проследим за движением пакетов.</w:t>
      </w:r>
    </w:p>
    <w:bookmarkStart w:id="88" w:name="fig:018"/>
    <w:p>
      <w:pPr>
        <w:pStyle w:val="CaptionedFigure"/>
      </w:pPr>
      <w:r>
        <w:drawing>
          <wp:inline>
            <wp:extent cx="2389734" cy="2213001"/>
            <wp:effectExtent b="0" l="0" r="0" t="0"/>
            <wp:docPr descr="PC4-agko -&gt; PC6-agko. PC6-agko -&gt; PC4-agko" title="" id="86" name="Picture"/>
            <a:graphic>
              <a:graphicData uri="http://schemas.openxmlformats.org/drawingml/2006/picture">
                <pic:pic>
                  <pic:nvPicPr>
                    <pic:cNvPr descr="image/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734" cy="221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PC4-agko -&gt; PC6-agko. PC6-agko -&gt; PC4-agko</w:t>
      </w:r>
    </w:p>
    <w:bookmarkEnd w:id="88"/>
    <w:p>
      <w:pPr>
        <w:pStyle w:val="BodyText"/>
      </w:pPr>
      <w:r>
        <w:t xml:space="preserve">Перейдём в режим реального времени (Realtime). В рабочем пространстве соединим кроссовым кабелем концентратор и коммутатор (рис. #fig:019):</w:t>
      </w:r>
    </w:p>
    <w:bookmarkStart w:id="92" w:name="fig:019"/>
    <w:p>
      <w:pPr>
        <w:pStyle w:val="CaptionedFigure"/>
      </w:pPr>
      <w:r>
        <w:drawing>
          <wp:inline>
            <wp:extent cx="5334000" cy="1802205"/>
            <wp:effectExtent b="0" l="0" r="0" t="0"/>
            <wp:docPr descr="Соединение в рабочем пространстве кроссовым кабелем концентратора и коммутатора" title="" id="90" name="Picture"/>
            <a:graphic>
              <a:graphicData uri="http://schemas.openxmlformats.org/drawingml/2006/picture">
                <pic:pic>
                  <pic:nvPicPr>
                    <pic:cNvPr descr="image/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Соединение в рабочем пространстве кроссовым кабелем концентратора и коммутатора</w:t>
      </w:r>
    </w:p>
    <w:bookmarkEnd w:id="92"/>
    <w:p>
      <w:pPr>
        <w:pStyle w:val="BodyText"/>
      </w:pPr>
      <w:r>
        <w:t xml:space="preserve">Выполним отправку пакетов:</w:t>
      </w:r>
      <w:r>
        <w:t xml:space="preserve"> </w:t>
      </w:r>
      <w:r>
        <w:rPr>
          <w:rStyle w:val="VerbatimChar"/>
        </w:rPr>
        <w:t xml:space="preserve">PC0-agko -&gt; PC4-agko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PC4-agko -&gt; PC0-agko</w:t>
      </w:r>
      <w:r>
        <w:t xml:space="preserve"> </w:t>
      </w:r>
      <w:r>
        <w:t xml:space="preserve">(рис. #fig:020):</w:t>
      </w:r>
    </w:p>
    <w:bookmarkStart w:id="96" w:name="fig:020"/>
    <w:p>
      <w:pPr>
        <w:pStyle w:val="CaptionedFigure"/>
      </w:pPr>
      <w:r>
        <w:drawing>
          <wp:inline>
            <wp:extent cx="5334000" cy="1799656"/>
            <wp:effectExtent b="0" l="0" r="0" t="0"/>
            <wp:docPr descr="PC0-agko -&gt; PC4-agko. PC4-agko -&gt; PC0-agko" title="" id="94" name="Picture"/>
            <a:graphic>
              <a:graphicData uri="http://schemas.openxmlformats.org/drawingml/2006/picture">
                <pic:pic>
                  <pic:nvPicPr>
                    <pic:cNvPr descr="image/2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PC0-agko -&gt; PC4-agko. PC4-agko -&gt; PC0-agko</w:t>
      </w:r>
    </w:p>
    <w:bookmarkEnd w:id="96"/>
    <w:p>
      <w:pPr>
        <w:pStyle w:val="BodyText"/>
      </w:pPr>
      <w:r>
        <w:t xml:space="preserve">Очистим список событий, удалив сценарий моделирования. На панели моделирования нажмём «Play» и в списке событий получим пакеты STP. Исследуем структуру STP. Опишем структуру кадра Ethernet в этих пакетах (рис. #fig:021):</w:t>
      </w:r>
    </w:p>
    <w:p>
      <w:pPr>
        <w:pStyle w:val="BodyText"/>
      </w:pPr>
      <w:r>
        <w:t xml:space="preserve">Работает поверх Ethernet 802.3/LLC</w:t>
      </w:r>
      <w:r>
        <w:t xml:space="preserve"> </w:t>
      </w:r>
      <w:r>
        <w:t xml:space="preserve">- Преамбула: PREAMBLE</w:t>
      </w:r>
      <w:r>
        <w:t xml:space="preserve"> </w:t>
      </w:r>
      <w:r>
        <w:t xml:space="preserve">- Контрольная сумма: FCS</w:t>
      </w:r>
      <w:r>
        <w:t xml:space="preserve"> </w:t>
      </w:r>
      <w:r>
        <w:t xml:space="preserve">- Адрес назначения: DEST ADDR</w:t>
      </w:r>
      <w:r>
        <w:t xml:space="preserve"> </w:t>
      </w:r>
      <w:r>
        <w:t xml:space="preserve">- Адрес источника: SRC ADDR</w:t>
      </w:r>
      <w:r>
        <w:t xml:space="preserve"> </w:t>
      </w:r>
      <w:r>
        <w:t xml:space="preserve">- Тип вложения: TYPE</w:t>
      </w:r>
      <w:r>
        <w:t xml:space="preserve"> </w:t>
      </w:r>
      <w:r>
        <w:t xml:space="preserve">- Длина: DATA</w:t>
      </w:r>
    </w:p>
    <w:p>
      <w:pPr>
        <w:pStyle w:val="BodyText"/>
      </w:pPr>
      <w:r>
        <w:t xml:space="preserve">STP находится на канальном уровне.</w:t>
      </w:r>
    </w:p>
    <w:bookmarkStart w:id="100" w:name="fig:021"/>
    <w:p>
      <w:pPr>
        <w:pStyle w:val="CaptionedFigure"/>
      </w:pPr>
      <w:r>
        <w:drawing>
          <wp:inline>
            <wp:extent cx="5334000" cy="1597741"/>
            <wp:effectExtent b="0" l="0" r="0" t="0"/>
            <wp:docPr descr="Исследование структуры STP" title="" id="98" name="Picture"/>
            <a:graphic>
              <a:graphicData uri="http://schemas.openxmlformats.org/drawingml/2006/picture">
                <pic:pic>
                  <pic:nvPicPr>
                    <pic:cNvPr descr="image/2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структуры STP</w:t>
      </w:r>
    </w:p>
    <w:bookmarkEnd w:id="100"/>
    <w:p>
      <w:pPr>
        <w:pStyle w:val="BodyText"/>
      </w:pPr>
      <w:r>
        <w:t xml:space="preserve">Присвоим статический IP-адрес 192.168.1.254 с маской 255.255.255.0, активируем порт, поставив галочку «On» напротив «Port Status» (рис. #fig:023):</w:t>
      </w:r>
    </w:p>
    <w:bookmarkStart w:id="104" w:name="fig:023"/>
    <w:p>
      <w:pPr>
        <w:pStyle w:val="CaptionedFigure"/>
      </w:pPr>
      <w:r>
        <w:drawing>
          <wp:inline>
            <wp:extent cx="3434763" cy="2689411"/>
            <wp:effectExtent b="0" l="0" r="0" t="0"/>
            <wp:docPr descr="Присвоение статического IP-адреса 192.168.1.254 с маской 255.255.255.0, активация порта" title="" id="102" name="Picture"/>
            <a:graphic>
              <a:graphicData uri="http://schemas.openxmlformats.org/drawingml/2006/picture">
                <pic:pic>
                  <pic:nvPicPr>
                    <pic:cNvPr descr="image/2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26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статического IP-адреса 192.168.1.254 с маской 255.255.255.0, активация порта</w:t>
      </w:r>
    </w:p>
    <w:bookmarkEnd w:id="104"/>
    <w:p>
      <w:r>
        <w:pict>
          <v:rect style="width:0;height:1.5pt" o:hralign="center" o:hrstd="t" o:hr="t"/>
        </w:pict>
      </w:r>
    </w:p>
    <w:bookmarkEnd w:id="105"/>
    <w:bookmarkStart w:id="106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научились устанавливать инструмент моделирования конфигурации сети Cisco Packet Tracer без учётной записи и познакомились с его интерфейсом.</w:t>
      </w:r>
    </w:p>
    <w:p>
      <w:r>
        <w:pict>
          <v:rect style="width:0;height:1.5pt" o:hralign="center" o:hrstd="t" o:hr="t"/>
        </w:pict>
      </w:r>
    </w:p>
    <w:bookmarkEnd w:id="106"/>
    <w:bookmarkStart w:id="110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bookmarkStart w:id="107" w:name="X2944b6584762158a807b55998f1f380a4680a1b"/>
    <w:p>
      <w:pPr>
        <w:pStyle w:val="Heading3"/>
      </w:pPr>
      <w:r>
        <w:t xml:space="preserve">4.1 1. Дайте определение следующим понятиям: концентратор, коммутатор, маршрутизатор, шлюз (gateway). В каких случаях следует использовать тот или иной тип сетевого оборудования?</w:t>
      </w:r>
    </w:p>
    <w:p>
      <w:pPr>
        <w:pStyle w:val="FirstParagraph"/>
      </w:pPr>
      <w:r>
        <w:rPr>
          <w:b/>
          <w:bCs/>
        </w:rPr>
        <w:t xml:space="preserve">Концентратор (Hub):</w:t>
      </w:r>
      <w:r>
        <w:t xml:space="preserve"> </w:t>
      </w:r>
      <w:r>
        <w:t xml:space="preserve">концентратор является устройством, которое принимает данные с одного устройства сети и передаёт их всем остальным устройствам в сети. Он работает на физическом уровне модели OSI, просто усиливая сигнал и передавая его по всем портам. Концентратор не имеет интеллекта для анализа данных или управления трафиком. Обычно используется в небольших сетях или для расширения количества портов в сети.</w:t>
      </w:r>
    </w:p>
    <w:p>
      <w:pPr>
        <w:pStyle w:val="BodyText"/>
      </w:pPr>
      <w:r>
        <w:rPr>
          <w:b/>
          <w:bCs/>
        </w:rPr>
        <w:t xml:space="preserve">Коммутатор (Switch):</w:t>
      </w:r>
      <w:r>
        <w:t xml:space="preserve"> </w:t>
      </w:r>
      <w:r>
        <w:t xml:space="preserve">коммутатор работает на канальном уровне OSI и способен анализировать адреса MAC устройств, подключенных к нему. В отличие от концентратора, коммутатор передаёт данные только тому устройству, для которого они предназначены, что делает его более эффективным. Коммутаторы обычно используются в сетях с высокой пропускной способностью, где требуется эффективное управление трафиком и безопасностью.</w:t>
      </w:r>
    </w:p>
    <w:p>
      <w:pPr>
        <w:pStyle w:val="BodyText"/>
      </w:pPr>
      <w:r>
        <w:rPr>
          <w:b/>
          <w:bCs/>
        </w:rPr>
        <w:t xml:space="preserve">Маршрутизатор (Router):</w:t>
      </w:r>
      <w:r>
        <w:t xml:space="preserve"> </w:t>
      </w:r>
      <w:r>
        <w:t xml:space="preserve">маршрутизатор работает на сетевом уровне OSI и способен анализировать IP-адреса устройств в сети. Он принимает решения о передаче данных между различными сетями на основе IP-адресации и информации о маршрутах. Маршрутизаторы используются для соединения различных сетей (например, локальной сети и Интернета) и обеспечения маршрутизации данных между ними.</w:t>
      </w:r>
    </w:p>
    <w:p>
      <w:pPr>
        <w:pStyle w:val="BodyText"/>
      </w:pPr>
      <w:r>
        <w:rPr>
          <w:b/>
          <w:bCs/>
        </w:rPr>
        <w:t xml:space="preserve">Шлюз (Gateway):</w:t>
      </w:r>
      <w:r>
        <w:t xml:space="preserve"> </w:t>
      </w:r>
      <w:r>
        <w:t xml:space="preserve">шлюз — это устройство, которое соединяет различные сети с разными протоколами, форматами данных или архитектурой. В контексте сетей шлюз часто используется как точка доступа к другой сети, например, для доступа к Интернету из локальной сети. Шлюз выполняет преобразование данных и управляет коммуникацией между разными сетями. В зависимости от конкретного применения, шлюз может быть представлен как программное или аппаратное оборудование.</w:t>
      </w:r>
    </w:p>
    <w:p>
      <w:pPr>
        <w:pStyle w:val="BodyText"/>
      </w:pPr>
      <w:r>
        <w:rPr>
          <w:b/>
          <w:bCs/>
        </w:rPr>
        <w:t xml:space="preserve">Выбор типа сетевого оборудования</w:t>
      </w:r>
      <w:r>
        <w:t xml:space="preserve"> </w:t>
      </w:r>
      <w:r>
        <w:t xml:space="preserve">зависит от конкретных потребностей сети: для простых сетей малого размера без особых требований к управлению трафиком можно использовать концентраторы.</w:t>
      </w:r>
    </w:p>
    <w:bookmarkEnd w:id="107"/>
    <w:bookmarkStart w:id="108" w:name="Xf1330aa629f616c0a7d1830d8af0b90a8db62df"/>
    <w:p>
      <w:pPr>
        <w:pStyle w:val="Heading3"/>
      </w:pPr>
      <w:r>
        <w:t xml:space="preserve">4.2 2. Дайте определение следующим понятиям: IP-адрес, сетевая маска, broadcast-адрес.</w:t>
      </w:r>
    </w:p>
    <w:p>
      <w:pPr>
        <w:pStyle w:val="FirstParagraph"/>
      </w:pPr>
      <w:r>
        <w:rPr>
          <w:b/>
          <w:bCs/>
        </w:rPr>
        <w:t xml:space="preserve">IP-адрес:</w:t>
      </w:r>
      <w:r>
        <w:t xml:space="preserve"> </w:t>
      </w:r>
      <w:r>
        <w:t xml:space="preserve">IP-адрес — это уникальный числовой идентификатор устройства в сети, используемый для маршрутизации данных. В IPv4 адрес представляет собой 32-битное число, обычно записываемое в виде четырёх десятичных чисел, разделённых точками (например, 192.168.1.1).</w:t>
      </w:r>
    </w:p>
    <w:p>
      <w:pPr>
        <w:pStyle w:val="BodyText"/>
      </w:pPr>
      <w:r>
        <w:rPr>
          <w:b/>
          <w:bCs/>
        </w:rPr>
        <w:t xml:space="preserve">Сетевая маска:</w:t>
      </w:r>
      <w:r>
        <w:t xml:space="preserve"> </w:t>
      </w:r>
      <w:r>
        <w:t xml:space="preserve">сетевая маска определяет, какая часть IP-адреса относится к сети, а какая — к хосту. Обычно сетевая маска записывается вместе с IP-адресом, используя формат, подобный</w:t>
      </w:r>
      <w:r>
        <w:t xml:space="preserve"> </w:t>
      </w:r>
      <w:r>
        <w:t xml:space="preserve">“192.168.1.0/24”</w:t>
      </w:r>
      <w:r>
        <w:t xml:space="preserve">, где /24 указывает на количество битов, отведённых для сети.</w:t>
      </w:r>
    </w:p>
    <w:p>
      <w:pPr>
        <w:pStyle w:val="BodyText"/>
      </w:pPr>
      <w:r>
        <w:rPr>
          <w:b/>
          <w:bCs/>
        </w:rPr>
        <w:t xml:space="preserve">Broadcast-адрес:</w:t>
      </w:r>
      <w:r>
        <w:t xml:space="preserve"> </w:t>
      </w:r>
      <w:r>
        <w:t xml:space="preserve">broadcast-адрес — это специальный адрес в сети, который используется для отправки данных всем устройствам в этой сети. Когда устройство отправляет пакет данных на broadcast-адрес, все устройства в этой сети получают этот пакет. Broadcast-адрес для IPv4 обычно имеет значение, в котором все биты хоста установлены в 1, например, для сети 192.168.1.0 с сетевой маской /24 broadcast-адрес будет 192.168.1.255. Для IPv6 broadcast-адреса не существует, вместо этого используется multicast для доставки данных на несколько устройств.</w:t>
      </w:r>
    </w:p>
    <w:bookmarkEnd w:id="108"/>
    <w:bookmarkStart w:id="109" w:name="Xab75ff93e1094cea6459a5449183136a31a647e"/>
    <w:p>
      <w:pPr>
        <w:pStyle w:val="Heading3"/>
      </w:pPr>
      <w:r>
        <w:t xml:space="preserve">4.3 3. Как можно проверить доступность узла сети?</w:t>
      </w:r>
    </w:p>
    <w:p>
      <w:pPr>
        <w:pStyle w:val="FirstParagraph"/>
      </w:pPr>
      <w:r>
        <w:rPr>
          <w:b/>
          <w:bCs/>
        </w:rPr>
        <w:t xml:space="preserve">Ping (ICMP Echo Request):</w:t>
      </w:r>
      <w:r>
        <w:t xml:space="preserve"> </w:t>
      </w:r>
      <w:r>
        <w:t xml:space="preserve">Ping — это самый распространённый способ проверки доступности узла. Это делается отправкой ICMP Echo Request пакета на IP-адрес узла и ожиданием ответа. Если узел доступен, он отправит обратно ICMP Echo Reply пакет.</w:t>
      </w:r>
    </w:p>
    <w:p>
      <w:pPr>
        <w:pStyle w:val="BodyText"/>
      </w:pPr>
      <w:r>
        <w:rPr>
          <w:b/>
          <w:bCs/>
        </w:rPr>
        <w:t xml:space="preserve">Traceroute (или traceroute6 для IPv6):</w:t>
      </w:r>
      <w:r>
        <w:t xml:space="preserve"> </w:t>
      </w:r>
      <w:r>
        <w:t xml:space="preserve">Этот инструмент используется для определения маршрута, который пакеты данных пройдут от отправителя до получателя. Он посылает серию пакетов с увеличивающимся TTL и анализирует ответы для определения промежуточных узлов. Это позволяет выявить места, где возникают проблемы в маршрутизации.</w:t>
      </w:r>
    </w:p>
    <w:p>
      <w:pPr>
        <w:pStyle w:val="BodyText"/>
      </w:pPr>
      <w:r>
        <w:rPr>
          <w:b/>
          <w:bCs/>
        </w:rPr>
        <w:t xml:space="preserve">Проверка порта (Port Scan):</w:t>
      </w:r>
      <w:r>
        <w:t xml:space="preserve"> </w:t>
      </w:r>
      <w:r>
        <w:t xml:space="preserve">Если нужно не только убедиться, что узел отвечает на пинг, но и проверить, работает ли на нём конкретное сетевое приложение, можно выполнить сканирование портов. Существуют различные инструменты, такие как Nmap, которые позволяют сканировать порты на удалённом узле и определить, какие порты открыты и доступны для подключения.</w:t>
      </w:r>
    </w:p>
    <w:p>
      <w:pPr>
        <w:pStyle w:val="BodyText"/>
      </w:pPr>
      <w:r>
        <w:rPr>
          <w:b/>
          <w:bCs/>
        </w:rPr>
        <w:t xml:space="preserve">Использование специализированных сетевых инструментов:</w:t>
      </w:r>
      <w:r>
        <w:t xml:space="preserve"> </w:t>
      </w:r>
      <w:r>
        <w:t xml:space="preserve">Существует множество специализированных инструментов для управления сетями, которые предоставляют информацию о доступности узлов, их статусе и производительности. Это могут быть мониторинговые системы, такие как Zabbix, Nagios, Prometheus, или программное обеспечение от производителей сетевого оборудования.</w:t>
      </w:r>
    </w:p>
    <w:p>
      <w:pPr>
        <w:pStyle w:val="BodyText"/>
      </w:pPr>
      <w:r>
        <w:rPr>
          <w:b/>
          <w:bCs/>
        </w:rPr>
        <w:t xml:space="preserve">Использование интерфейсов управления сетевым оборудованием:</w:t>
      </w:r>
      <w:r>
        <w:t xml:space="preserve"> </w:t>
      </w:r>
      <w:r>
        <w:t xml:space="preserve">Многие сетевые устройства предоставляют интерфейсы управления или CLI, через которые можно проверить доступность узлов в сети, например, используя команды ping или traceroute на маршрутизаторе.</w:t>
      </w:r>
    </w:p>
    <w:p>
      <w:pPr>
        <w:pStyle w:val="BodyText"/>
      </w:pPr>
      <w:r>
        <w:t xml:space="preserve">Выбор метода зависит от конкретных требований и характеристик вашей сетевой инфраструктуры.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1" Target="media/rId21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 Антон Геннадьевич</dc:creator>
  <dc:language>ru-RU</dc:language>
  <cp:keywords/>
  <dcterms:created xsi:type="dcterms:W3CDTF">2026-09-04T15:08:45Z</dcterms:created>
  <dcterms:modified xsi:type="dcterms:W3CDTF">2026-09-04T15:08:45Z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Знакомство с Cisco Packet Tracer</vt:lpwstr>
  </property>
  <property fmtid="{D5CDD505-2E9C-101B-9397-08002B2CF9AE}" pid="16" name="toc-title">
    <vt:lpwstr>Содержание</vt:lpwstr>
  </property>
</Properties>
</file>