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Настройка NAT</w:t>
      </w:r>
    </w:p>
    <w:p>
      <w:pPr>
        <w:pStyle w:val="Author"/>
      </w:pPr>
      <w:r>
        <w:t xml:space="preserve">Ко Антон Геннадьевич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2"/>
      </w:pPr>
      <w:r>
        <w:t xml:space="preserve">1 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p>
      <w:r>
        <w:pict>
          <v:rect style="width:0;height:1.5pt" o:hralign="center" o:hrstd="t" o:hr="t"/>
        </w:pict>
      </w:r>
    </w:p>
    <w:bookmarkEnd w:id="20"/>
    <w:bookmarkStart w:id="85" w:name="выполнение-работы"/>
    <w:p>
      <w:pPr>
        <w:pStyle w:val="Heading2"/>
      </w:pPr>
      <w:r>
        <w:t xml:space="preserve">2 Выполнение работы</w:t>
      </w:r>
    </w:p>
    <w:p>
      <w:pPr>
        <w:pStyle w:val="FirstParagraph"/>
      </w:pPr>
      <w:r>
        <w:t xml:space="preserve">Для начала сделаем первоначальную настройку маршрутизатора</w:t>
      </w:r>
      <w:r>
        <w:t xml:space="preserve"> </w:t>
      </w:r>
      <w:r>
        <w:rPr>
          <w:rStyle w:val="VerbatimChar"/>
        </w:rPr>
        <w:t xml:space="preserve">provider-agko-gw-1</w:t>
      </w:r>
      <w:r>
        <w:t xml:space="preserve"> </w:t>
      </w:r>
      <w:r>
        <w:t xml:space="preserve">и коммутатора</w:t>
      </w:r>
      <w:r>
        <w:t xml:space="preserve"> </w:t>
      </w:r>
      <w:r>
        <w:rPr>
          <w:rStyle w:val="VerbatimChar"/>
        </w:rPr>
        <w:t xml:space="preserve">provider-agko-sw-1</w:t>
      </w:r>
      <w:r>
        <w:t xml:space="preserve"> </w:t>
      </w:r>
      <w:r>
        <w:t xml:space="preserve">провайдера (зададим имя, настроим доступ по паролю и т.п.) (рис. #fig:002 – #fig:003).</w:t>
      </w:r>
    </w:p>
    <w:bookmarkStart w:id="24" w:name="fig:002"/>
    <w:p>
      <w:pPr>
        <w:pStyle w:val="CaptionedFigure"/>
      </w:pPr>
      <w:r>
        <w:drawing>
          <wp:inline>
            <wp:extent cx="5334000" cy="3573691"/>
            <wp:effectExtent b="0" l="0" r="0" t="0"/>
            <wp:docPr descr="Первоначальная настройка маршрутизатора provider-agko-gw-1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3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маршрутизатора provider-agko-gw-1</w:t>
      </w:r>
    </w:p>
    <w:bookmarkEnd w:id="24"/>
    <w:bookmarkStart w:id="28" w:name="fig:003"/>
    <w:p>
      <w:pPr>
        <w:pStyle w:val="CaptionedFigure"/>
      </w:pPr>
      <w:r>
        <w:drawing>
          <wp:inline>
            <wp:extent cx="5334000" cy="3504419"/>
            <wp:effectExtent b="0" l="0" r="0" t="0"/>
            <wp:docPr descr="Первоначальная настройка коммутатора provider-agko-sw-1" title="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4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коммутатора provider-agko-sw-1</w:t>
      </w:r>
    </w:p>
    <w:bookmarkEnd w:id="28"/>
    <w:p>
      <w:pPr>
        <w:pStyle w:val="BodyText"/>
      </w:pPr>
      <w:r>
        <w:t xml:space="preserve">Теперь настроим интерфейсы маршрутизатора</w:t>
      </w:r>
      <w:r>
        <w:t xml:space="preserve"> </w:t>
      </w:r>
      <w:r>
        <w:rPr>
          <w:rStyle w:val="VerbatimChar"/>
        </w:rPr>
        <w:t xml:space="preserve">provider-agko-gw-1</w:t>
      </w:r>
      <w:r>
        <w:t xml:space="preserve"> </w:t>
      </w:r>
      <w:r>
        <w:t xml:space="preserve">и коммутатора</w:t>
      </w:r>
      <w:r>
        <w:t xml:space="preserve"> </w:t>
      </w:r>
      <w:r>
        <w:rPr>
          <w:rStyle w:val="VerbatimChar"/>
        </w:rPr>
        <w:t xml:space="preserve">provider-agko-sw-1</w:t>
      </w:r>
      <w:r>
        <w:t xml:space="preserve"> </w:t>
      </w:r>
      <w:r>
        <w:t xml:space="preserve">провайдера (рис. #fig:004 – #fig:005):</w:t>
      </w:r>
    </w:p>
    <w:bookmarkStart w:id="32" w:name="fig:004"/>
    <w:p>
      <w:pPr>
        <w:pStyle w:val="CaptionedFigure"/>
      </w:pPr>
      <w:r>
        <w:drawing>
          <wp:inline>
            <wp:extent cx="5334000" cy="4012863"/>
            <wp:effectExtent b="0" l="0" r="0" t="0"/>
            <wp:docPr descr="Настройка интерфейсов маршрутизатора provider-agko-gw-1" title="" id="30" name="Picture"/>
            <a:graphic>
              <a:graphicData uri="http://schemas.openxmlformats.org/drawingml/2006/picture">
                <pic:pic>
                  <pic:nvPicPr>
                    <pic:cNvPr descr="image/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provider-agko-gw-1</w:t>
      </w:r>
    </w:p>
    <w:bookmarkEnd w:id="32"/>
    <w:bookmarkStart w:id="36" w:name="fig:005"/>
    <w:p>
      <w:pPr>
        <w:pStyle w:val="CaptionedFigure"/>
      </w:pPr>
      <w:r>
        <w:drawing>
          <wp:inline>
            <wp:extent cx="5334000" cy="3510987"/>
            <wp:effectExtent b="0" l="0" r="0" t="0"/>
            <wp:docPr descr="Настройка интерфейсов коммутатора provider-agko-sw-1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коммутатора provider-agko-sw-1</w:t>
      </w:r>
    </w:p>
    <w:bookmarkEnd w:id="36"/>
    <w:p>
      <w:pPr>
        <w:pStyle w:val="BodyText"/>
      </w:pPr>
      <w:r>
        <w:t xml:space="preserve">Следующим шагом настроим интерфейсы маршрутизатора сети «Донская» для доступа к сети провайдера (рис. #fig:007):</w:t>
      </w:r>
    </w:p>
    <w:bookmarkStart w:id="40" w:name="fig:007"/>
    <w:p>
      <w:pPr>
        <w:pStyle w:val="CaptionedFigure"/>
      </w:pPr>
      <w:r>
        <w:drawing>
          <wp:inline>
            <wp:extent cx="5334000" cy="5363882"/>
            <wp:effectExtent b="0" l="0" r="0" t="0"/>
            <wp:docPr descr="Настройка интерфейсов маршрутизатора msk-donskaya-agko-gw-1 для доступа к сети провайдера" title="" id="38" name="Picture"/>
            <a:graphic>
              <a:graphicData uri="http://schemas.openxmlformats.org/drawingml/2006/picture">
                <pic:pic>
                  <pic:nvPicPr>
                    <pic:cNvPr descr="image/7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3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интерфейсов маршрутизатора msk-donskaya-agko-gw-1 для доступа к сети провайдера</w:t>
      </w:r>
    </w:p>
    <w:bookmarkEnd w:id="40"/>
    <w:p>
      <w:pPr>
        <w:pStyle w:val="BodyText"/>
      </w:pPr>
      <w:r>
        <w:t xml:space="preserve">Настроим на маршрутизаторе сети «Донская» NAT с правилами, указанными в лабораторной работе (рис. #fig:009 – #fig:015):</w:t>
      </w:r>
    </w:p>
    <w:bookmarkStart w:id="44" w:name="fig:009"/>
    <w:p>
      <w:pPr>
        <w:pStyle w:val="CaptionedFigure"/>
      </w:pPr>
      <w:r>
        <w:drawing>
          <wp:inline>
            <wp:extent cx="5334000" cy="100879"/>
            <wp:effectExtent b="0" l="0" r="0" t="0"/>
            <wp:docPr descr="Настройка пула адресов для NAT" title="" id="42" name="Picture"/>
            <a:graphic>
              <a:graphicData uri="http://schemas.openxmlformats.org/drawingml/2006/picture">
                <pic:pic>
                  <pic:nvPicPr>
                    <pic:cNvPr descr="image/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пула адресов для NAT</w:t>
      </w:r>
    </w:p>
    <w:bookmarkEnd w:id="44"/>
    <w:bookmarkStart w:id="48" w:name="fig:010"/>
    <w:p>
      <w:pPr>
        <w:pStyle w:val="CaptionedFigure"/>
      </w:pPr>
      <w:r>
        <w:drawing>
          <wp:inline>
            <wp:extent cx="5101389" cy="288757"/>
            <wp:effectExtent b="0" l="0" r="0" t="0"/>
            <wp:docPr descr="Настройка списка доступа для NAT" title="" id="46" name="Picture"/>
            <a:graphic>
              <a:graphicData uri="http://schemas.openxmlformats.org/drawingml/2006/picture">
                <pic:pic>
                  <pic:nvPicPr>
                    <pic:cNvPr descr="image/10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389" cy="288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списка доступа для NAT</w:t>
      </w:r>
    </w:p>
    <w:bookmarkEnd w:id="48"/>
    <w:bookmarkStart w:id="52" w:name="fig:011"/>
    <w:p>
      <w:pPr>
        <w:pStyle w:val="CaptionedFigure"/>
      </w:pPr>
      <w:r>
        <w:drawing>
          <wp:inline>
            <wp:extent cx="5334000" cy="310194"/>
            <wp:effectExtent b="0" l="0" r="0" t="0"/>
            <wp:docPr descr="Сеть дисплейных классов (доступ только к сайтам, необходимым для учёбы: www.yandex.ru (192.0.2.11), stud.rudn.university (192.0.2.12))" title="" id="50" name="Picture"/>
            <a:graphic>
              <a:graphicData uri="http://schemas.openxmlformats.org/drawingml/2006/picture">
                <pic:pic>
                  <pic:nvPicPr>
                    <pic:cNvPr descr="image/1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дисплейных классов (доступ только к сайтам, необходимым для учёбы: www.yandex.ru (192.0.2.11), stud.rudn.university (192.0.2.12))</w:t>
      </w:r>
    </w:p>
    <w:bookmarkEnd w:id="52"/>
    <w:bookmarkStart w:id="56" w:name="fig:012"/>
    <w:p>
      <w:pPr>
        <w:pStyle w:val="CaptionedFigure"/>
      </w:pPr>
      <w:r>
        <w:drawing>
          <wp:inline>
            <wp:extent cx="5334000" cy="459827"/>
            <wp:effectExtent b="0" l="0" r="0" t="0"/>
            <wp:docPr descr="Сеть кафедр (работает только с образовательными сайтами: esystem.pfur.ru (192.0.2.13))" title="" id="54" name="Picture"/>
            <a:graphic>
              <a:graphicData uri="http://schemas.openxmlformats.org/drawingml/2006/picture">
                <pic:pic>
                  <pic:nvPicPr>
                    <pic:cNvPr descr="image/1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кафедр (работает только с образовательными сайтами: esystem.pfur.ru (192.0.2.13))</w:t>
      </w:r>
    </w:p>
    <w:bookmarkEnd w:id="56"/>
    <w:bookmarkStart w:id="60" w:name="fig:013"/>
    <w:p>
      <w:pPr>
        <w:pStyle w:val="CaptionedFigure"/>
      </w:pPr>
      <w:r>
        <w:drawing>
          <wp:inline>
            <wp:extent cx="5334000" cy="322000"/>
            <wp:effectExtent b="0" l="0" r="0" t="0"/>
            <wp:docPr descr="Сеть администрации (возможность работать только с сайтом университета: www.rudn.ru (192.0.2.14))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Сеть администрации (возможность работать только с сайтом университета: www.rudn.ru (192.0.2.14))</w:t>
      </w:r>
    </w:p>
    <w:bookmarkEnd w:id="60"/>
    <w:bookmarkStart w:id="64" w:name="fig:014"/>
    <w:p>
      <w:pPr>
        <w:pStyle w:val="CaptionedFigure"/>
      </w:pPr>
      <w:r>
        <w:drawing>
          <wp:inline>
            <wp:extent cx="5334000" cy="1175425"/>
            <wp:effectExtent b="0" l="0" r="0" t="0"/>
            <wp:docPr descr="Доступ для компьютера администратора (в сети для других пользователей компьютер администратора имеет полный доступ в Интернет, другие не имеют доступа)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7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для компьютера администратора (в сети для других пользователей компьютер администратора имеет полный доступ в Интернет, другие не имеют доступа)</w:t>
      </w:r>
    </w:p>
    <w:bookmarkEnd w:id="64"/>
    <w:bookmarkStart w:id="68" w:name="fig:015"/>
    <w:p>
      <w:pPr>
        <w:pStyle w:val="CaptionedFigure"/>
      </w:pPr>
      <w:r>
        <w:drawing>
          <wp:inline>
            <wp:extent cx="5334000" cy="2356711"/>
            <wp:effectExtent b="0" l="0" r="0" t="0"/>
            <wp:docPr descr="Настройка NAT (Port Address Translation и интерфейсов для NAT)" title="" id="66" name="Picture"/>
            <a:graphic>
              <a:graphicData uri="http://schemas.openxmlformats.org/drawingml/2006/picture">
                <pic:pic>
                  <pic:nvPicPr>
                    <pic:cNvPr descr="image/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NAT (Port Address Translation и интерфейсов для NAT)</w:t>
      </w:r>
    </w:p>
    <w:bookmarkEnd w:id="68"/>
    <w:p>
      <w:pPr>
        <w:pStyle w:val="BodyText"/>
      </w:pPr>
      <w:r>
        <w:t xml:space="preserve">На последнем шаге настроим доступ из внешней сети в локальную сеть организации (рис. #fig:016 – #fig:019):</w:t>
      </w:r>
    </w:p>
    <w:bookmarkStart w:id="72" w:name="fig:016"/>
    <w:p>
      <w:pPr>
        <w:pStyle w:val="CaptionedFigure"/>
      </w:pPr>
      <w:r>
        <w:drawing>
          <wp:inline>
            <wp:extent cx="5334000" cy="134948"/>
            <wp:effectExtent b="0" l="0" r="0" t="0"/>
            <wp:docPr descr="Настройка доступа из Интернета (WWW-сервер)" title="" id="70" name="Picture"/>
            <a:graphic>
              <a:graphicData uri="http://schemas.openxmlformats.org/drawingml/2006/picture">
                <pic:pic>
                  <pic:nvPicPr>
                    <pic:cNvPr descr="image/16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из Интернета (WWW-сервер)</w:t>
      </w:r>
    </w:p>
    <w:bookmarkEnd w:id="72"/>
    <w:bookmarkStart w:id="76" w:name="fig:017"/>
    <w:p>
      <w:pPr>
        <w:pStyle w:val="CaptionedFigure"/>
      </w:pPr>
      <w:r>
        <w:drawing>
          <wp:inline>
            <wp:extent cx="5334000" cy="236588"/>
            <wp:effectExtent b="0" l="0" r="0" t="0"/>
            <wp:docPr descr="Настройка доступа из Интернета (файловый сервер)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из Интернета (файловый сервер)</w:t>
      </w:r>
    </w:p>
    <w:bookmarkEnd w:id="76"/>
    <w:bookmarkStart w:id="80" w:name="fig:018"/>
    <w:p>
      <w:pPr>
        <w:pStyle w:val="CaptionedFigure"/>
      </w:pPr>
      <w:r>
        <w:drawing>
          <wp:inline>
            <wp:extent cx="5334000" cy="192712"/>
            <wp:effectExtent b="0" l="0" r="0" t="0"/>
            <wp:docPr descr="Настройка доступа из Интернета (почтовый сервер)" title="" id="78" name="Picture"/>
            <a:graphic>
              <a:graphicData uri="http://schemas.openxmlformats.org/drawingml/2006/picture">
                <pic:pic>
                  <pic:nvPicPr>
                    <pic:cNvPr descr="image/18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из Интернета (почтовый сервер)</w:t>
      </w:r>
    </w:p>
    <w:bookmarkEnd w:id="80"/>
    <w:bookmarkStart w:id="84" w:name="fig:019"/>
    <w:p>
      <w:pPr>
        <w:pStyle w:val="CaptionedFigure"/>
      </w:pPr>
      <w:r>
        <w:drawing>
          <wp:inline>
            <wp:extent cx="5334000" cy="805997"/>
            <wp:effectExtent b="0" l="0" r="0" t="0"/>
            <wp:docPr descr="Настройка доступа из Интернета (доступ по RDP)" title="" id="82" name="Picture"/>
            <a:graphic>
              <a:graphicData uri="http://schemas.openxmlformats.org/drawingml/2006/picture">
                <pic:pic>
                  <pic:nvPicPr>
                    <pic:cNvPr descr="image/19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5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доступа из Интернета (доступ по RDP)</w:t>
      </w:r>
    </w:p>
    <w:bookmarkEnd w:id="84"/>
    <w:p>
      <w:r>
        <w:pict>
          <v:rect style="width:0;height:1.5pt" o:hralign="center" o:hrstd="t" o:hr="t"/>
        </w:pict>
      </w:r>
    </w:p>
    <w:bookmarkEnd w:id="85"/>
    <w:bookmarkStart w:id="86" w:name="вывод"/>
    <w:p>
      <w:pPr>
        <w:pStyle w:val="Heading2"/>
      </w:pPr>
      <w:r>
        <w:t xml:space="preserve">3 Вывод</w:t>
      </w:r>
    </w:p>
    <w:p>
      <w:pPr>
        <w:pStyle w:val="FirstParagraph"/>
      </w:pPr>
      <w:r>
        <w:t xml:space="preserve">В ходе выполнения лабораторной работы мы приобрели практические навыки по настройке доступа локальной сети к внешней сети посредством NAT.</w:t>
      </w:r>
    </w:p>
    <w:p>
      <w:r>
        <w:pict>
          <v:rect style="width:0;height:1.5pt" o:hralign="center" o:hrstd="t" o:hr="t"/>
        </w:pict>
      </w:r>
    </w:p>
    <w:bookmarkEnd w:id="86"/>
    <w:bookmarkStart w:id="87" w:name="ответы-на-контрольные-вопросы"/>
    <w:p>
      <w:pPr>
        <w:pStyle w:val="Heading2"/>
      </w:pPr>
      <w:r>
        <w:t xml:space="preserve">4 Ответы на контрольные вопросы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состоит основной принцип работы NAT (что даёт наличие NAT в сети организации)?</w:t>
      </w:r>
      <w:r>
        <w:br/>
      </w:r>
      <w:r>
        <w:t xml:space="preserve">NAT на устройстве позволяет ему соединять публичные и частные сети между собой с помощью только одного IP-адреса для группы.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 чём состоит принцип настройки NAT (на каком оборудовании и что нужно настроить для доступа из локальной сети во внешнюю сеть через NAT)?</w:t>
      </w:r>
      <w:r>
        <w:br/>
      </w:r>
      <w:r>
        <w:t xml:space="preserve">Настроить интерфейсы на внутренних и внешних маршрутизаторах, наборы правил для преобразования IP.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Можно ли применить Cisco IOS NAT к субинтерфейсам?</w:t>
      </w:r>
      <w:r>
        <w:br/>
      </w:r>
      <w:r>
        <w:t xml:space="preserve">Да, поскольку они существуют в энергонезависимой памяти.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пулы IP NAT?</w:t>
      </w:r>
      <w:r>
        <w:br/>
      </w:r>
      <w:r>
        <w:t xml:space="preserve">Выделяемые для трансляции NAT IP-адреса.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Что такое статические преобразования NAT?</w:t>
      </w:r>
      <w:r>
        <w:br/>
      </w:r>
      <w:r>
        <w:t xml:space="preserve">Взаимно однозначное преобразование внутренних IP во внешние.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Ко Антон Геннадьевич</dc:creator>
  <dc:language>ru-RU</dc:language>
  <cp:keywords/>
  <dcterms:created xsi:type="dcterms:W3CDTF">2026-05-02T18:33:00Z</dcterms:created>
  <dcterms:modified xsi:type="dcterms:W3CDTF">2026-05-02T18:33:00Z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Настройка NAT</vt:lpwstr>
  </property>
  <property fmtid="{D5CDD505-2E9C-101B-9397-08002B2CF9AE}" pid="16" name="toc-title">
    <vt:lpwstr>Содержание</vt:lpwstr>
  </property>
</Properties>
</file>