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Настройка NAT. Планирование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p>
      <w:r>
        <w:pict>
          <v:rect style="width:0;height:1.5pt" o:hralign="center" o:hrstd="t" o:hr="t"/>
        </w:pict>
      </w:r>
    </w:p>
    <w:bookmarkEnd w:id="20"/>
    <w:bookmarkStart w:id="57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Откроем проект с названием</w:t>
      </w:r>
      <w:r>
        <w:t xml:space="preserve"> </w:t>
      </w:r>
      <w:r>
        <w:rPr>
          <w:rStyle w:val="VerbatimChar"/>
        </w:rPr>
        <w:t xml:space="preserve">lab_PT-10.pkt</w:t>
      </w:r>
      <w:r>
        <w:t xml:space="preserve"> </w:t>
      </w:r>
      <w:r>
        <w:t xml:space="preserve">и сохраним под названием</w:t>
      </w:r>
      <w:r>
        <w:t xml:space="preserve"> </w:t>
      </w:r>
      <w:r>
        <w:rPr>
          <w:rStyle w:val="VerbatimChar"/>
        </w:rPr>
        <w:t xml:space="preserve">lab_PT-11.pkt</w:t>
      </w:r>
      <w:r>
        <w:t xml:space="preserve">. После чего откроем его для дальнейшего редактирования (рис. #fig:001):</w:t>
      </w:r>
    </w:p>
    <w:bookmarkStart w:id="24" w:name="fig:001"/>
    <w:p>
      <w:pPr>
        <w:pStyle w:val="CaptionedFigure"/>
      </w:pPr>
      <w:r>
        <w:drawing>
          <wp:inline>
            <wp:extent cx="5334000" cy="1565787"/>
            <wp:effectExtent b="0" l="0" r="0" t="0"/>
            <wp:docPr descr="Открытие проекта lab_PT-11.pkt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проекта lab_PT-11.pkt</w:t>
      </w:r>
    </w:p>
    <w:bookmarkEnd w:id="24"/>
    <w:p>
      <w:pPr>
        <w:pStyle w:val="BodyText"/>
      </w:pPr>
      <w:r>
        <w:t xml:space="preserve">На схеме нашего проекта разместим согласно заданию лабораторной работы необходимое оборудование для сети провайдера и сети модельного Интернета (4 медиаконвертера (Repeater-PT), 2 коммутатора типа Cisco 2960-24TT, маршрутизатор типа Cisco 2811, 4 сервера). После чего присвоим названия размещённым в сети провайдера и в сети модельного Интернета объектам согласно правилам наименования (рис. #fig:002):</w:t>
      </w:r>
    </w:p>
    <w:bookmarkStart w:id="28" w:name="fig:002"/>
    <w:p>
      <w:pPr>
        <w:pStyle w:val="CaptionedFigure"/>
      </w:pPr>
      <w:r>
        <w:drawing>
          <wp:inline>
            <wp:extent cx="5334000" cy="2684827"/>
            <wp:effectExtent b="0" l="0" r="0" t="0"/>
            <wp:docPr descr="Размещение оборудования для сети провайдера и модельного Интернета" title="" id="26" name="Picture"/>
            <a:graphic>
              <a:graphicData uri="http://schemas.openxmlformats.org/drawingml/2006/picture">
                <pic:pic>
                  <pic:nvPicPr>
                    <pic:cNvPr descr="image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оборудования для сети провайдера и модельного Интернета</w:t>
      </w:r>
    </w:p>
    <w:bookmarkEnd w:id="28"/>
    <w:p>
      <w:pPr>
        <w:pStyle w:val="BodyText"/>
      </w:pPr>
      <w:r>
        <w:t xml:space="preserve">В физической рабочей области добавим здание провайдера и здание, имитирующее расположение серверов модельного Интернета. Присвоим им соответствующие названия (рис. #fig:003):</w:t>
      </w:r>
    </w:p>
    <w:bookmarkStart w:id="32" w:name="fig:003"/>
    <w:p>
      <w:pPr>
        <w:pStyle w:val="CaptionedFigure"/>
      </w:pPr>
      <w:r>
        <w:drawing>
          <wp:inline>
            <wp:extent cx="5334000" cy="2841226"/>
            <wp:effectExtent b="0" l="0" r="0" t="0"/>
            <wp:docPr descr="Добавление здания провайдера и здания с серверами модельного Интернета" title="" id="30" name="Picture"/>
            <a:graphic>
              <a:graphicData uri="http://schemas.openxmlformats.org/drawingml/2006/picture">
                <pic:pic>
                  <pic:nvPicPr>
                    <pic:cNvPr descr="image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здания провайдера и здания с серверами модельного Интернета</w:t>
      </w:r>
    </w:p>
    <w:bookmarkEnd w:id="32"/>
    <w:p>
      <w:pPr>
        <w:pStyle w:val="BodyText"/>
      </w:pPr>
      <w:r>
        <w:t xml:space="preserve">Перенесём из сети «Донская» оборудование провайдера и модельной сети Интернета в соответствующие здания (рис. #fig:004 – #fig:006):</w:t>
      </w:r>
    </w:p>
    <w:bookmarkStart w:id="36" w:name="fig:004"/>
    <w:p>
      <w:pPr>
        <w:pStyle w:val="CaptionedFigure"/>
      </w:pPr>
      <w:r>
        <w:drawing>
          <wp:inline>
            <wp:extent cx="3780544" cy="1091132"/>
            <wp:effectExtent b="0" l="0" r="0" t="0"/>
            <wp:docPr descr="Перенос оборудования из сети «Донская»" title="" id="34" name="Picture"/>
            <a:graphic>
              <a:graphicData uri="http://schemas.openxmlformats.org/drawingml/2006/picture">
                <pic:pic>
                  <pic:nvPicPr>
                    <pic:cNvPr descr="image/image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оборудования из сети «Донская»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3122962"/>
            <wp:effectExtent b="0" l="0" r="0" t="0"/>
            <wp:docPr descr="Размещение оборудования в здании “Provider”" title="" id="38" name="Picture"/>
            <a:graphic>
              <a:graphicData uri="http://schemas.openxmlformats.org/drawingml/2006/picture">
                <pic:pic>
                  <pic:nvPicPr>
                    <pic:cNvPr descr="image/image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оборудования в здании</w:t>
      </w:r>
      <w:r>
        <w:t xml:space="preserve"> </w:t>
      </w:r>
      <w:r>
        <w:t xml:space="preserve">“Provider”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3992278"/>
            <wp:effectExtent b="0" l="0" r="0" t="0"/>
            <wp:docPr descr="Размещение оборудования в здании “Internet”" title="" id="42" name="Picture"/>
            <a:graphic>
              <a:graphicData uri="http://schemas.openxmlformats.org/drawingml/2006/picture">
                <pic:pic>
                  <pic:nvPicPr>
                    <pic:cNvPr descr="image/image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оборудования в здании</w:t>
      </w:r>
      <w:r>
        <w:t xml:space="preserve"> </w:t>
      </w:r>
      <w:r>
        <w:t xml:space="preserve">“Internet”</w:t>
      </w:r>
    </w:p>
    <w:bookmarkEnd w:id="44"/>
    <w:p>
      <w:pPr>
        <w:pStyle w:val="BodyText"/>
      </w:pPr>
      <w:r>
        <w:t xml:space="preserve">На медиаконвертерах заменим имеющиеся модули на</w:t>
      </w:r>
      <w:r>
        <w:t xml:space="preserve"> </w:t>
      </w:r>
      <w:r>
        <w:rPr>
          <w:rStyle w:val="VerbatimChar"/>
        </w:rPr>
        <w:t xml:space="preserve">PT-REPEATERNM-1FFE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PT-REPEATER-NM-1CFE</w:t>
      </w:r>
      <w:r>
        <w:t xml:space="preserve"> </w:t>
      </w:r>
      <w:r>
        <w:t xml:space="preserve">для подключения витой пары по технологии Fast Ethernet и оптоволокна соответственно (рис. #fig:007):</w:t>
      </w:r>
    </w:p>
    <w:bookmarkStart w:id="48" w:name="fig:007"/>
    <w:p>
      <w:pPr>
        <w:pStyle w:val="CaptionedFigure"/>
      </w:pPr>
      <w:r>
        <w:drawing>
          <wp:inline>
            <wp:extent cx="5002305" cy="2497310"/>
            <wp:effectExtent b="0" l="0" r="0" t="0"/>
            <wp:docPr descr="Замена модулей на медиаконвертерах" title="" id="46" name="Picture"/>
            <a:graphic>
              <a:graphicData uri="http://schemas.openxmlformats.org/drawingml/2006/picture">
                <pic:pic>
                  <pic:nvPicPr>
                    <pic:cNvPr descr="image/image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249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модулей на медиаконвертерах</w:t>
      </w:r>
    </w:p>
    <w:bookmarkEnd w:id="48"/>
    <w:p>
      <w:pPr>
        <w:pStyle w:val="BodyText"/>
      </w:pPr>
      <w:r>
        <w:t xml:space="preserve">Пропишем IP-адреса серверам согласно таблице в лабораторной работе (рис. #fig:008):</w:t>
      </w:r>
    </w:p>
    <w:bookmarkStart w:id="52" w:name="fig:008"/>
    <w:p>
      <w:pPr>
        <w:pStyle w:val="CaptionedFigure"/>
      </w:pPr>
      <w:r>
        <w:drawing>
          <wp:inline>
            <wp:extent cx="5334000" cy="2733171"/>
            <wp:effectExtent b="0" l="0" r="0" t="0"/>
            <wp:docPr descr="Присвоение IP-адресов серверам" title="" id="50" name="Picture"/>
            <a:graphic>
              <a:graphicData uri="http://schemas.openxmlformats.org/drawingml/2006/picture">
                <pic:pic>
                  <pic:nvPicPr>
                    <pic:cNvPr descr="image/image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IP-адресов серверам</w:t>
      </w:r>
    </w:p>
    <w:bookmarkEnd w:id="52"/>
    <w:p>
      <w:pPr>
        <w:pStyle w:val="BodyText"/>
      </w:pPr>
      <w:r>
        <w:t xml:space="preserve">После чего пропишем сведения о серверах на DNS-сервере сети «Донская» (рис. #fig:009):</w:t>
      </w:r>
    </w:p>
    <w:bookmarkStart w:id="56" w:name="fig:009"/>
    <w:p>
      <w:pPr>
        <w:pStyle w:val="CaptionedFigure"/>
      </w:pPr>
      <w:r>
        <w:drawing>
          <wp:inline>
            <wp:extent cx="5334000" cy="3576984"/>
            <wp:effectExtent b="0" l="0" r="0" t="0"/>
            <wp:docPr descr="Добавление сведений о серверах на DNS-сервере сети «Донская»" title="" id="54" name="Picture"/>
            <a:graphic>
              <a:graphicData uri="http://schemas.openxmlformats.org/drawingml/2006/picture">
                <pic:pic>
                  <pic:nvPicPr>
                    <pic:cNvPr descr="image/image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сведений о серверах на DNS-сервере сети «Донская»</w:t>
      </w:r>
    </w:p>
    <w:bookmarkEnd w:id="56"/>
    <w:p>
      <w:r>
        <w:pict>
          <v:rect style="width:0;height:1.5pt" o:hralign="center" o:hrstd="t" o:hr="t"/>
        </w:pict>
      </w:r>
    </w:p>
    <w:bookmarkEnd w:id="57"/>
    <w:bookmarkStart w:id="58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освоили настройку прав доступа пользователей к ресурсам сети.</w:t>
      </w:r>
    </w:p>
    <w:p>
      <w:r>
        <w:pict>
          <v:rect style="width:0;height:1.5pt" o:hralign="center" o:hrstd="t" o:hr="t"/>
        </w:pict>
      </w:r>
    </w:p>
    <w:bookmarkEnd w:id="58"/>
    <w:bookmarkStart w:id="59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Network Address Translation (NAT)?</w:t>
      </w:r>
      <w:r>
        <w:br/>
      </w:r>
      <w:r>
        <w:t xml:space="preserve">NAT — механизм преобразования IP-адресов транзитных пакетов.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определить, находится ли узел сети за NAT?</w:t>
      </w:r>
    </w:p>
    <w:p>
      <w:pPr>
        <w:pStyle w:val="Compact"/>
        <w:numPr>
          <w:ilvl w:val="1"/>
          <w:numId w:val="1002"/>
        </w:numPr>
      </w:pPr>
      <w:r>
        <w:t xml:space="preserve">Просмотр сетевой конфигурации: если узел имеет локальный IP-адрес из диапазона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,</w:t>
      </w:r>
      <w:r>
        <w:t xml:space="preserve"> </w:t>
      </w:r>
      <w:r>
        <w:rPr>
          <w:rStyle w:val="VerbatimChar"/>
        </w:rPr>
        <w:t xml:space="preserve">10.x.x.x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172.16.x.x</w:t>
      </w:r>
      <w:r>
        <w:t xml:space="preserve">, вероятно, он находится за NAT.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Проверка маршрутизации: при использовании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в Windows) можно увидеть IP-адреса маршрута. Если он проходит через общедоступные IP-адреса, узел, скорее всего, за NAT.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Проверка портов: если администратор сети настроил порты NAT для перенаправления трафика на устройства внутри локальной сети, подключение к определённому порту на общедоступном IP-адресе может указывать на использование NAT.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Использование онлайн-инструментов: некоторые онлайн-сервисы могут анализировать IP-адрес узла и определить, используется ли NAT.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Какое оборудование отвечает за преобразование адреса методом NAT?</w:t>
      </w:r>
      <w:r>
        <w:br/>
      </w:r>
      <w:r>
        <w:t xml:space="preserve">Оборудование, отвечающее за преобразование адресов методом NAT, включает в себя маршрутизаторы (роутеры), межсетевые экраны (firewalls) и прокси-серверы.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отличие статического, динамического и перегруженного NAT?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Статический NAT (SNAT):</w:t>
      </w:r>
      <w:r>
        <w:t xml:space="preserve"> </w:t>
      </w:r>
      <w:r>
        <w:t xml:space="preserve">каждый локальный IP-адрес отображается на соответствующий общедоступный IP-адрес.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Динамический NAT (DNAT):</w:t>
      </w:r>
      <w:r>
        <w:t xml:space="preserve"> </w:t>
      </w:r>
      <w:r>
        <w:t xml:space="preserve">локальные IP-адреса отображаются на общедоступные IP-адреса из пула, с временным выделением адресов.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NAT с перегрузкой (Overloaded NAT или PAT):</w:t>
      </w:r>
      <w:r>
        <w:t xml:space="preserve"> </w:t>
      </w:r>
      <w:r>
        <w:t xml:space="preserve">помимо изменения IP-адресов, также происходит изменение портов, позволяя множеству устройств использовать один общедоступный IP-адрес.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Охарактеризуйте типы NAT.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Статический NAT (Static NAT, SNAT)</w:t>
      </w:r>
      <w:r>
        <w:t xml:space="preserve"> </w:t>
      </w:r>
      <w:r>
        <w:t xml:space="preserve">— осуществляет преобразование адресов по принципу 1:1 (один локальный IP-адрес преобразуется во внешний адрес, выделенный провайдером).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Динамический NAT (Dynamic NAT, DNAT)</w:t>
      </w:r>
      <w:r>
        <w:t xml:space="preserve"> </w:t>
      </w:r>
      <w:r>
        <w:t xml:space="preserve">— осуществляет преобразование адресов по принципу 1:N (один адрес устройства локальной сети преобразуется в один из адресов диапазона внешних адресов).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NAT Overload (NAT Masquerading, PAT)</w:t>
      </w:r>
      <w:r>
        <w:t xml:space="preserve"> </w:t>
      </w:r>
      <w:r>
        <w:t xml:space="preserve">— осуществляет преобразование адресов по принципу N:1 (адреса группы устройств локальной подсети преобразуются в один внешний адрес с использованием механизма адресации через номера портов).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Ко Антон Геннадьевич</dc:creator>
  <dc:language>ru-RU</dc:language>
  <cp:keywords/>
  <dcterms:created xsi:type="dcterms:W3CDTF">2026-04-25T18:53:36Z</dcterms:created>
  <dcterms:modified xsi:type="dcterms:W3CDTF">2026-04-25T18:53:36Z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NAT. Планирование</vt:lpwstr>
  </property>
  <property fmtid="{D5CDD505-2E9C-101B-9397-08002B2CF9AE}" pid="16" name="toc-title">
    <vt:lpwstr>Содержание</vt:lpwstr>
  </property>
</Properties>
</file>