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Статическая маршрутизация в Интернете. Планирование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Провести подготовительные мероприятия по организации взаимодействия через сеть провайдера посредством статической маршрутизации локальной сети с сетью основного здания, расположенного в 42-м квартале в Москве, и сетью филиала, расположенного в г. Сочи.</w:t>
      </w:r>
    </w:p>
    <w:p>
      <w:r>
        <w:pict>
          <v:rect style="width:0;height:1.5pt" o:hralign="center" o:hrstd="t" o:hr="t"/>
        </w:pict>
      </w:r>
    </w:p>
    <w:bookmarkEnd w:id="20"/>
    <w:bookmarkStart w:id="77" w:name="выполнение-работы"/>
    <w:p>
      <w:pPr>
        <w:pStyle w:val="Heading2"/>
      </w:pPr>
      <w:r>
        <w:t xml:space="preserve">2 Выполнение работы</w:t>
      </w:r>
    </w:p>
    <w:p>
      <w:pPr>
        <w:pStyle w:val="FirstParagraph"/>
      </w:pPr>
      <w:r>
        <w:t xml:space="preserve">На схеме нашего проекта разместим необходимое оборудование: 4 медиаконвертера (Repeater-PT), 2 маршрутизатора типа Cisco 2811, 1 маршрутизирующий коммутатор типа Cisco 3560-24PS, 2 коммутатора типа Cisco 2950-24, коммутатор Cisco 2950-24T, 3 оконечных устройства типа PC-PT. А также присвоим им названия и проведём соединение объектов согласно скорректированной нами схеме (рис. #fig:007):</w:t>
      </w:r>
    </w:p>
    <w:bookmarkStart w:id="24" w:name="fig:007"/>
    <w:p>
      <w:pPr>
        <w:pStyle w:val="CaptionedFigure"/>
      </w:pPr>
      <w:r>
        <w:drawing>
          <wp:inline>
            <wp:extent cx="5334000" cy="2348738"/>
            <wp:effectExtent b="0" l="0" r="0" t="0"/>
            <wp:docPr descr="Размещение необходимого оборудования, присвоение названий и соединение объектов" title="" id="22" name="Picture"/>
            <a:graphic>
              <a:graphicData uri="http://schemas.openxmlformats.org/drawingml/2006/picture">
                <pic:pic>
                  <pic:nvPicPr>
                    <pic:cNvPr descr="image/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необходимого оборудования, присвоение названий и соединение объектов</w:t>
      </w:r>
    </w:p>
    <w:bookmarkEnd w:id="24"/>
    <w:p>
      <w:pPr>
        <w:pStyle w:val="BodyText"/>
      </w:pPr>
      <w:r>
        <w:t xml:space="preserve">На медиаконвертерах заменим имеющиеся модули на</w:t>
      </w:r>
      <w:r>
        <w:t xml:space="preserve"> </w:t>
      </w:r>
      <w:r>
        <w:rPr>
          <w:rStyle w:val="VerbatimChar"/>
        </w:rPr>
        <w:t xml:space="preserve">PT-REPEATERNM-1FFE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PT-REPEATER-NM-1CFE</w:t>
      </w:r>
      <w:r>
        <w:t xml:space="preserve"> </w:t>
      </w:r>
      <w:r>
        <w:t xml:space="preserve">для подключения витой пары по технологии Fast Ethernet и оптоволокна соответственно (рис. #fig:008):</w:t>
      </w:r>
    </w:p>
    <w:bookmarkStart w:id="28" w:name="fig:008"/>
    <w:p>
      <w:pPr>
        <w:pStyle w:val="CaptionedFigure"/>
      </w:pPr>
      <w:r>
        <w:drawing>
          <wp:inline>
            <wp:extent cx="5334000" cy="1932043"/>
            <wp:effectExtent b="0" l="0" r="0" t="0"/>
            <wp:docPr descr="Замена модулей на медиаконвертерах" title="" id="26" name="Picture"/>
            <a:graphic>
              <a:graphicData uri="http://schemas.openxmlformats.org/drawingml/2006/picture">
                <pic:pic>
                  <pic:nvPicPr>
                    <pic:cNvPr descr="image/8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2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модулей на медиаконвертерах</w:t>
      </w:r>
    </w:p>
    <w:bookmarkEnd w:id="28"/>
    <w:p>
      <w:pPr>
        <w:pStyle w:val="BodyText"/>
      </w:pPr>
      <w:r>
        <w:t xml:space="preserve">Далее на маршрутизаторе</w:t>
      </w:r>
      <w:r>
        <w:t xml:space="preserve"> </w:t>
      </w:r>
      <w:r>
        <w:rPr>
          <w:rStyle w:val="VerbatimChar"/>
        </w:rPr>
        <w:t xml:space="preserve">msk-q42-agko-gw-1</w:t>
      </w:r>
      <w:r>
        <w:t xml:space="preserve"> </w:t>
      </w:r>
      <w:r>
        <w:t xml:space="preserve">добавим дополнительный интерфейс NM-2FE2W (рис. #fig:009):</w:t>
      </w:r>
    </w:p>
    <w:bookmarkStart w:id="32" w:name="fig:009"/>
    <w:p>
      <w:pPr>
        <w:pStyle w:val="CaptionedFigure"/>
      </w:pPr>
      <w:r>
        <w:drawing>
          <wp:inline>
            <wp:extent cx="5334000" cy="2700759"/>
            <wp:effectExtent b="0" l="0" r="0" t="0"/>
            <wp:docPr descr="Добавление на маршрутизаторе msk-q42-agko-gw-1 дополнительного интерфейса NM-2FE2W" title="" id="30" name="Picture"/>
            <a:graphic>
              <a:graphicData uri="http://schemas.openxmlformats.org/drawingml/2006/picture">
                <pic:pic>
                  <pic:nvPicPr>
                    <pic:cNvPr descr="image/9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на маршрутизаторе msk-q42-agko-gw-1 дополнительного интерфейса NM-2FE2W</w:t>
      </w:r>
    </w:p>
    <w:bookmarkEnd w:id="32"/>
    <w:p>
      <w:pPr>
        <w:pStyle w:val="BodyText"/>
      </w:pPr>
      <w:r>
        <w:t xml:space="preserve">В физической рабочей области Packet Tracer добавим в г. Москва здание 42-го квартала и присвоим ему название (рис. #fig:010):</w:t>
      </w:r>
    </w:p>
    <w:bookmarkStart w:id="36" w:name="fig:010"/>
    <w:p>
      <w:pPr>
        <w:pStyle w:val="CaptionedFigure"/>
      </w:pPr>
      <w:r>
        <w:drawing>
          <wp:inline>
            <wp:extent cx="5334000" cy="2879385"/>
            <wp:effectExtent b="0" l="0" r="0" t="0"/>
            <wp:docPr descr="Добавление в физической рабочей области в г. Москва здания 42-го квартала" title="" id="34" name="Picture"/>
            <a:graphic>
              <a:graphicData uri="http://schemas.openxmlformats.org/drawingml/2006/picture">
                <pic:pic>
                  <pic:nvPicPr>
                    <pic:cNvPr descr="image/1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9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в физической рабочей области в г. Москва здания 42-го квартала</w:t>
      </w:r>
    </w:p>
    <w:bookmarkEnd w:id="36"/>
    <w:p>
      <w:pPr>
        <w:pStyle w:val="BodyText"/>
      </w:pPr>
      <w:r>
        <w:t xml:space="preserve">Затем в физической рабочей области добавим город Сочи и в нём здание филиала, присвоим ему соответствующее название (рис. #fig:011):</w:t>
      </w:r>
    </w:p>
    <w:bookmarkStart w:id="40" w:name="fig:011"/>
    <w:p>
      <w:pPr>
        <w:pStyle w:val="CaptionedFigure"/>
      </w:pPr>
      <w:r>
        <w:drawing>
          <wp:inline>
            <wp:extent cx="5334000" cy="2340940"/>
            <wp:effectExtent b="0" l="0" r="0" t="0"/>
            <wp:docPr descr="Добавление города Сочи и здания филиала" title="" id="38" name="Picture"/>
            <a:graphic>
              <a:graphicData uri="http://schemas.openxmlformats.org/drawingml/2006/picture">
                <pic:pic>
                  <pic:nvPicPr>
                    <pic:cNvPr descr="image/1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города Сочи и здания филиала</w:t>
      </w:r>
    </w:p>
    <w:bookmarkEnd w:id="40"/>
    <w:p>
      <w:pPr>
        <w:pStyle w:val="BodyText"/>
      </w:pPr>
      <w:r>
        <w:t xml:space="preserve">После чего нужно перенести из сети «Донская» оборудование сети 42-го квартала и сети филиала в соответствующие здания и выполнить расстановку (рис. #fig:012 – #fig:014):</w:t>
      </w:r>
    </w:p>
    <w:bookmarkStart w:id="44" w:name="fig:012"/>
    <w:p>
      <w:pPr>
        <w:pStyle w:val="CaptionedFigure"/>
      </w:pPr>
      <w:r>
        <w:drawing>
          <wp:inline>
            <wp:extent cx="5334000" cy="1400371"/>
            <wp:effectExtent b="0" l="0" r="0" t="0"/>
            <wp:docPr descr="Перенос оборудования сети 42-го квартала и сети филиала в соответствующие здания" title="" id="42" name="Picture"/>
            <a:graphic>
              <a:graphicData uri="http://schemas.openxmlformats.org/drawingml/2006/picture">
                <pic:pic>
                  <pic:nvPicPr>
                    <pic:cNvPr descr="image/1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Перенос оборудования сети 42-го квартала и сети филиала в соответствующие здания</w:t>
      </w:r>
    </w:p>
    <w:bookmarkEnd w:id="44"/>
    <w:bookmarkStart w:id="48" w:name="fig:013"/>
    <w:p>
      <w:pPr>
        <w:pStyle w:val="CaptionedFigure"/>
      </w:pPr>
      <w:r>
        <w:drawing>
          <wp:inline>
            <wp:extent cx="5334000" cy="5280859"/>
            <wp:effectExtent b="0" l="0" r="0" t="0"/>
            <wp:docPr descr="Размещение объектов в основном здании 42-го квартала в Москве" title="" id="46" name="Picture"/>
            <a:graphic>
              <a:graphicData uri="http://schemas.openxmlformats.org/drawingml/2006/picture">
                <pic:pic>
                  <pic:nvPicPr>
                    <pic:cNvPr descr="image/1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0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объектов в основном здании 42-го квартала в Москве</w:t>
      </w:r>
    </w:p>
    <w:bookmarkEnd w:id="48"/>
    <w:bookmarkStart w:id="52" w:name="fig:014"/>
    <w:p>
      <w:pPr>
        <w:pStyle w:val="CaptionedFigure"/>
      </w:pPr>
      <w:r>
        <w:drawing>
          <wp:inline>
            <wp:extent cx="5334000" cy="2049812"/>
            <wp:effectExtent b="0" l="0" r="0" t="0"/>
            <wp:docPr descr="Размещение объектов в здании филиала в г. Сочи" title="" id="50" name="Picture"/>
            <a:graphic>
              <a:graphicData uri="http://schemas.openxmlformats.org/drawingml/2006/picture">
                <pic:pic>
                  <pic:nvPicPr>
                    <pic:cNvPr descr="image/1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объектов в здании филиала в г. Сочи</w:t>
      </w:r>
    </w:p>
    <w:bookmarkEnd w:id="52"/>
    <w:p>
      <w:pPr>
        <w:pStyle w:val="BodyText"/>
      </w:pPr>
      <w:r>
        <w:t xml:space="preserve">На последнем шаге выполним первоначальную настройку оборудования (рис. #fig:015 – #fig:020):</w:t>
      </w:r>
    </w:p>
    <w:bookmarkStart w:id="56" w:name="fig:015"/>
    <w:p>
      <w:pPr>
        <w:pStyle w:val="CaptionedFigure"/>
      </w:pPr>
      <w:r>
        <w:drawing>
          <wp:inline>
            <wp:extent cx="5334000" cy="6321520"/>
            <wp:effectExtent b="0" l="0" r="0" t="0"/>
            <wp:docPr descr="Первоначальная настройка маршрутизатора msk-q42-agko-gw-1" title="" id="54" name="Picture"/>
            <a:graphic>
              <a:graphicData uri="http://schemas.openxmlformats.org/drawingml/2006/picture">
                <pic:pic>
                  <pic:nvPicPr>
                    <pic:cNvPr descr="image/1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 msk-q42-agko-gw-1</w:t>
      </w:r>
    </w:p>
    <w:bookmarkEnd w:id="56"/>
    <w:bookmarkStart w:id="60" w:name="fig:016"/>
    <w:p>
      <w:pPr>
        <w:pStyle w:val="CaptionedFigure"/>
      </w:pPr>
      <w:r>
        <w:drawing>
          <wp:inline>
            <wp:extent cx="5334000" cy="6969652"/>
            <wp:effectExtent b="0" l="0" r="0" t="0"/>
            <wp:docPr descr="Первоначальная настройка коммутатора msk-q42-agko-sw-1" title="" id="58" name="Picture"/>
            <a:graphic>
              <a:graphicData uri="http://schemas.openxmlformats.org/drawingml/2006/picture">
                <pic:pic>
                  <pic:nvPicPr>
                    <pic:cNvPr descr="image/1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69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msk-q42-agko-sw-1</w:t>
      </w:r>
    </w:p>
    <w:bookmarkEnd w:id="60"/>
    <w:bookmarkStart w:id="64" w:name="fig:017"/>
    <w:p>
      <w:pPr>
        <w:pStyle w:val="CaptionedFigure"/>
      </w:pPr>
      <w:r>
        <w:drawing>
          <wp:inline>
            <wp:extent cx="5334000" cy="7427650"/>
            <wp:effectExtent b="0" l="0" r="0" t="0"/>
            <wp:docPr descr="Первоначальная настройка маршрутизирующего коммутатора msk-hostel-agko-gw-1" title="" id="62" name="Picture"/>
            <a:graphic>
              <a:graphicData uri="http://schemas.openxmlformats.org/drawingml/2006/picture">
                <pic:pic>
                  <pic:nvPicPr>
                    <pic:cNvPr descr="image/1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маршрутизирующего коммутатора msk-hostel-agko-gw-1</w:t>
      </w:r>
    </w:p>
    <w:bookmarkEnd w:id="64"/>
    <w:bookmarkStart w:id="68" w:name="fig:018"/>
    <w:p>
      <w:pPr>
        <w:pStyle w:val="CaptionedFigure"/>
      </w:pPr>
      <w:r>
        <w:drawing>
          <wp:inline>
            <wp:extent cx="5334000" cy="6771355"/>
            <wp:effectExtent b="0" l="0" r="0" t="0"/>
            <wp:docPr descr="Первоначальная настройка коммутатора msk-hostel-sw-1" title="" id="66" name="Picture"/>
            <a:graphic>
              <a:graphicData uri="http://schemas.openxmlformats.org/drawingml/2006/picture">
                <pic:pic>
                  <pic:nvPicPr>
                    <pic:cNvPr descr="image/1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1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msk-hostel-sw-1</w:t>
      </w:r>
    </w:p>
    <w:bookmarkEnd w:id="68"/>
    <w:bookmarkStart w:id="72" w:name="fig:019"/>
    <w:p>
      <w:pPr>
        <w:pStyle w:val="CaptionedFigure"/>
      </w:pPr>
      <w:r>
        <w:drawing>
          <wp:inline>
            <wp:extent cx="5334000" cy="6046032"/>
            <wp:effectExtent b="0" l="0" r="0" t="0"/>
            <wp:docPr descr="Первоначальная настройка коммутатора sch-sochi-agko-sw-1" title="" id="70" name="Picture"/>
            <a:graphic>
              <a:graphicData uri="http://schemas.openxmlformats.org/drawingml/2006/picture">
                <pic:pic>
                  <pic:nvPicPr>
                    <pic:cNvPr descr="image/1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46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sch-sochi-agko-sw-1</w:t>
      </w:r>
    </w:p>
    <w:bookmarkEnd w:id="72"/>
    <w:bookmarkStart w:id="76" w:name="fig:020"/>
    <w:p>
      <w:pPr>
        <w:pStyle w:val="CaptionedFigure"/>
      </w:pPr>
      <w:r>
        <w:drawing>
          <wp:inline>
            <wp:extent cx="5334000" cy="6372411"/>
            <wp:effectExtent b="0" l="0" r="0" t="0"/>
            <wp:docPr descr="Первоначальная настройка маршрутизатора sch-sochi-agko-gw-1" title="" id="74" name="Picture"/>
            <a:graphic>
              <a:graphicData uri="http://schemas.openxmlformats.org/drawingml/2006/picture">
                <pic:pic>
                  <pic:nvPicPr>
                    <pic:cNvPr descr="image/2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2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 sch-sochi-agko-gw-1</w:t>
      </w:r>
    </w:p>
    <w:bookmarkEnd w:id="76"/>
    <w:p>
      <w:r>
        <w:pict>
          <v:rect style="width:0;height:1.5pt" o:hralign="center" o:hrstd="t" o:hr="t"/>
        </w:pict>
      </w:r>
    </w:p>
    <w:bookmarkEnd w:id="77"/>
    <w:bookmarkStart w:id="78" w:name="вывод"/>
    <w:p>
      <w:pPr>
        <w:pStyle w:val="Heading2"/>
      </w:pPr>
      <w:r>
        <w:t xml:space="preserve">3 Вывод</w:t>
      </w:r>
    </w:p>
    <w:p>
      <w:pPr>
        <w:pStyle w:val="FirstParagraph"/>
      </w:pPr>
      <w:r>
        <w:t xml:space="preserve">В ходе выполнения лабораторной работы мы провели подготовительные мероприятия по организации взаимодействия через сеть провайдера посредством статической маршрутизации локальной сети с сетью основного здания, расположенного в 42-м квартале в Москве, и сетью филиала, расположенного в г. Сочи.</w:t>
      </w:r>
    </w:p>
    <w:p>
      <w:r>
        <w:pict>
          <v:rect style="width:0;height:1.5pt" o:hralign="center" o:hrstd="t" o:hr="t"/>
        </w:pict>
      </w:r>
    </w:p>
    <w:bookmarkEnd w:id="78"/>
    <w:bookmarkStart w:id="79" w:name="ответы-на-контрольные-вопросы"/>
    <w:p>
      <w:pPr>
        <w:pStyle w:val="Heading2"/>
      </w:pPr>
      <w:r>
        <w:t xml:space="preserve">4 Ответы на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каких случаях следует использовать статическую маршрутизацию? Приведите примеры.</w:t>
      </w:r>
      <w:r>
        <w:br/>
      </w:r>
      <w:r>
        <w:t xml:space="preserve">В реальных условиях статическая маршрутизация используется в условиях наличия шлюза по умолчанию (узла, обладающего связностью с остальными узлами) и 1–2 сетями. Помимо этого, статическая маршрутизация используется для «выравнивания» работы маршрутизирующих протоколов в условиях наличия туннеля (для того, чтобы маршрутизация трафика, создаваемого туннелем, не производилась через сам туннель).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Укажите основные принципы статической маршрутизации между VLANs.</w:t>
      </w:r>
      <w:r>
        <w:br/>
      </w:r>
      <w:r>
        <w:t xml:space="preserve">Процесс маршрутизации на 3-м уровне можно осуществлять с помощью маршрутизатора или коммутатора 3-го уровня. Использование устройства 3-го уровня обеспечивает возможность управления передачей трафика между сегментами сети, в том числе сегментами, которые были созданы с помощью VLAN.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Ко Антон Геннадьевич</dc:creator>
  <dc:language>ru-RU</dc:language>
  <cp:keywords/>
  <dcterms:created xsi:type="dcterms:W3CDTF">2026-05-09T18:44:40Z</dcterms:created>
  <dcterms:modified xsi:type="dcterms:W3CDTF">2026-05-09T18:44:40Z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Статическая маршрутизация в Интернете. Планирование</vt:lpwstr>
  </property>
  <property fmtid="{D5CDD505-2E9C-101B-9397-08002B2CF9AE}" pid="16" name="toc-title">
    <vt:lpwstr>Содержание</vt:lpwstr>
  </property>
</Properties>
</file>