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Конфигурация VLAN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p>
      <w:r>
        <w:pict>
          <v:rect style="width:0;height:1.5pt" o:hralign="center" o:hrstd="t" o:hr="t"/>
        </w:pict>
      </w:r>
    </w:p>
    <w:bookmarkEnd w:id="20"/>
    <w:bookmarkStart w:id="69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Используя приведённую в лабораторной работе последовательность команд из примера по конфигурации Trunk-порта на интерфейсе g0/1 коммутатора</w:t>
      </w:r>
      <w:r>
        <w:t xml:space="preserve"> </w:t>
      </w:r>
      <w:r>
        <w:rPr>
          <w:rStyle w:val="VerbatimChar"/>
        </w:rPr>
        <w:t xml:space="preserve">msk-donskaya-sw-1</w:t>
      </w:r>
      <w:r>
        <w:t xml:space="preserve">, настроим Trunk-порты на соответствующих интерфейсах всех коммутаторов (рис. #fig:002 – #fig:006):</w:t>
      </w:r>
    </w:p>
    <w:bookmarkStart w:id="24" w:name="fig:003"/>
    <w:p>
      <w:pPr>
        <w:pStyle w:val="CaptionedFigure"/>
      </w:pPr>
      <w:r>
        <w:drawing>
          <wp:inline>
            <wp:extent cx="3941909" cy="1137236"/>
            <wp:effectExtent b="0" l="0" r="0" t="0"/>
            <wp:docPr descr="Настройка Trunk-портов на коммутаторе msk-donskaya-agko-sw-2" title="" id="22" name="Picture"/>
            <a:graphic>
              <a:graphicData uri="http://schemas.openxmlformats.org/drawingml/2006/picture">
                <pic:pic>
                  <pic:nvPicPr>
                    <pic:cNvPr descr="image/3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909" cy="1137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msk-donskaya-agko-sw-2</w:t>
      </w:r>
    </w:p>
    <w:bookmarkEnd w:id="24"/>
    <w:bookmarkStart w:id="28" w:name="fig:004"/>
    <w:p>
      <w:pPr>
        <w:pStyle w:val="CaptionedFigure"/>
      </w:pPr>
      <w:r>
        <w:drawing>
          <wp:inline>
            <wp:extent cx="2766252" cy="1313969"/>
            <wp:effectExtent b="0" l="0" r="0" t="0"/>
            <wp:docPr descr="Настройка Trunk-портов на коммутаторе msk-donskaya-agko-sw-3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252" cy="131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msk-donskaya-agko-sw-3</w:t>
      </w:r>
    </w:p>
    <w:bookmarkEnd w:id="28"/>
    <w:bookmarkStart w:id="32" w:name="fig:005"/>
    <w:p>
      <w:pPr>
        <w:pStyle w:val="CaptionedFigure"/>
      </w:pPr>
      <w:r>
        <w:drawing>
          <wp:inline>
            <wp:extent cx="2704779" cy="1252497"/>
            <wp:effectExtent b="0" l="0" r="0" t="0"/>
            <wp:docPr descr="Настройка Trunk-портов на коммутаторе msk-donskaya-agko-sw-4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779" cy="125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msk-donskaya-agko-sw-4</w:t>
      </w:r>
    </w:p>
    <w:bookmarkEnd w:id="32"/>
    <w:bookmarkStart w:id="36" w:name="fig:006"/>
    <w:p>
      <w:pPr>
        <w:pStyle w:val="CaptionedFigure"/>
      </w:pPr>
      <w:r>
        <w:drawing>
          <wp:inline>
            <wp:extent cx="4710312" cy="2689411"/>
            <wp:effectExtent b="0" l="0" r="0" t="0"/>
            <wp:docPr descr="Настройка Trunk-портов на коммутаторе msk-pavlovskaya-agko-sw-1" title="" id="34" name="Picture"/>
            <a:graphic>
              <a:graphicData uri="http://schemas.openxmlformats.org/drawingml/2006/picture">
                <pic:pic>
                  <pic:nvPicPr>
                    <pic:cNvPr descr="image/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312" cy="268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Trunk-портов на коммутаторе msk-pavlovskaya-agko-sw-1</w:t>
      </w:r>
    </w:p>
    <w:bookmarkEnd w:id="36"/>
    <w:p>
      <w:pPr>
        <w:pStyle w:val="BodyText"/>
      </w:pPr>
      <w:r>
        <w:t xml:space="preserve">Далее настроим коммутатор</w:t>
      </w:r>
      <w:r>
        <w:t xml:space="preserve"> </w:t>
      </w:r>
      <w:r>
        <w:rPr>
          <w:rStyle w:val="VerbatimChar"/>
        </w:rPr>
        <w:t xml:space="preserve">msk-donskaya-agko-sw-1</w:t>
      </w:r>
      <w:r>
        <w:t xml:space="preserve"> </w:t>
      </w:r>
      <w:r>
        <w:t xml:space="preserve">как VTP-сервер и пропишем на нём номера и названия VLAN (рис. #fig:007):</w:t>
      </w:r>
    </w:p>
    <w:bookmarkStart w:id="40" w:name="fig:007"/>
    <w:p>
      <w:pPr>
        <w:pStyle w:val="CaptionedFigure"/>
      </w:pPr>
      <w:r>
        <w:drawing>
          <wp:inline>
            <wp:extent cx="4502843" cy="2750884"/>
            <wp:effectExtent b="0" l="0" r="0" t="0"/>
            <wp:docPr descr="Настройка коммутатора msk-donskaya-agko-sw-1 как VTP-сервера, добавление номеров и названий VLAN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843" cy="275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msk-donskaya-agko-sw-1 как VTP-сервера, добавление номеров и названий VLAN</w:t>
      </w:r>
    </w:p>
    <w:bookmarkEnd w:id="40"/>
    <w:p>
      <w:pPr>
        <w:pStyle w:val="BodyText"/>
      </w:pPr>
      <w:r>
        <w:t xml:space="preserve">Теперь настроим коммутаторы</w:t>
      </w:r>
      <w:r>
        <w:t xml:space="preserve"> </w:t>
      </w:r>
      <w:r>
        <w:rPr>
          <w:rStyle w:val="VerbatimChar"/>
        </w:rPr>
        <w:t xml:space="preserve">msk-donskaya-agko-sw-2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msk-donskaya-agko-sw-3</w:t>
      </w:r>
      <w:r>
        <w:t xml:space="preserve">,</w:t>
      </w:r>
      <w:r>
        <w:t xml:space="preserve"> </w:t>
      </w:r>
      <w:r>
        <w:rPr>
          <w:rStyle w:val="VerbatimChar"/>
        </w:rPr>
        <w:t xml:space="preserve">msk-donskaya-agko-sw-4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msk-pavlovskaya-agko-sw-1</w:t>
      </w:r>
      <w:r>
        <w:t xml:space="preserve"> </w:t>
      </w:r>
      <w:r>
        <w:t xml:space="preserve">как VTP-клиенты и на интерфейсах укажем принадлежность к VLAN (рис. #fig:008 – #fig:011):</w:t>
      </w:r>
    </w:p>
    <w:bookmarkStart w:id="44" w:name="fig:008"/>
    <w:p>
      <w:pPr>
        <w:pStyle w:val="CaptionedFigure"/>
      </w:pPr>
      <w:r>
        <w:drawing>
          <wp:inline>
            <wp:extent cx="3165821" cy="1383126"/>
            <wp:effectExtent b="0" l="0" r="0" t="0"/>
            <wp:docPr descr="Настройка коммутатора msk-donskaya-agko-sw-2 как VTP-клиента и указание принадлежности к VLAN" title="" id="42" name="Picture"/>
            <a:graphic>
              <a:graphicData uri="http://schemas.openxmlformats.org/drawingml/2006/picture">
                <pic:pic>
                  <pic:nvPicPr>
                    <pic:cNvPr descr="image/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821" cy="1383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msk-donskaya-agko-sw-2 как VTP-клиента и указание принадлежности к VLAN</w:t>
      </w:r>
    </w:p>
    <w:bookmarkEnd w:id="44"/>
    <w:bookmarkStart w:id="48" w:name="fig:009"/>
    <w:p>
      <w:pPr>
        <w:pStyle w:val="CaptionedFigure"/>
      </w:pPr>
      <w:r>
        <w:drawing>
          <wp:inline>
            <wp:extent cx="2812356" cy="1052712"/>
            <wp:effectExtent b="0" l="0" r="0" t="0"/>
            <wp:docPr descr="Настройка коммутатора msk-donskaya-agko-sw-3 как VTP-клиента и указание принадлежности к VLAN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56" cy="105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msk-donskaya-agko-sw-3 как VTP-клиента и указание принадлежности к VLAN</w:t>
      </w:r>
    </w:p>
    <w:bookmarkEnd w:id="48"/>
    <w:bookmarkStart w:id="52" w:name="fig:010"/>
    <w:p>
      <w:pPr>
        <w:pStyle w:val="CaptionedFigure"/>
      </w:pPr>
      <w:r>
        <w:drawing>
          <wp:inline>
            <wp:extent cx="3158137" cy="2896880"/>
            <wp:effectExtent b="0" l="0" r="0" t="0"/>
            <wp:docPr descr="Настройка коммутатора msk-donskaya-agko-sw-4 как VTP-клиента и указание принадлежности к VLAN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137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msk-donskaya-agko-sw-4 как VTP-клиента и указание принадлежности к VLAN</w:t>
      </w:r>
    </w:p>
    <w:bookmarkEnd w:id="52"/>
    <w:bookmarkStart w:id="56" w:name="fig:011"/>
    <w:p>
      <w:pPr>
        <w:pStyle w:val="CaptionedFigure"/>
      </w:pPr>
      <w:r>
        <w:drawing>
          <wp:inline>
            <wp:extent cx="4310742" cy="1936376"/>
            <wp:effectExtent b="0" l="0" r="0" t="0"/>
            <wp:docPr descr="Настройка коммутатора msk-pavlovskaya-agko-sw-1 как VTP-клиента и указание принадлежности к VLAN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742" cy="1936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msk-pavlovskaya-agko-sw-1 как VTP-клиента и указание принадлежности к VLAN</w:t>
      </w:r>
    </w:p>
    <w:bookmarkEnd w:id="56"/>
    <w:p>
      <w:pPr>
        <w:pStyle w:val="BodyText"/>
      </w:pPr>
      <w:r>
        <w:t xml:space="preserve">Затем требуется указать статические IP-адреса на оконечных устройствах (рис. #fig:012 – #fig:013):</w:t>
      </w:r>
    </w:p>
    <w:bookmarkStart w:id="60" w:name="fig:012"/>
    <w:p>
      <w:pPr>
        <w:pStyle w:val="CaptionedFigure"/>
      </w:pPr>
      <w:r>
        <w:drawing>
          <wp:inline>
            <wp:extent cx="1406178" cy="1160289"/>
            <wp:effectExtent b="0" l="0" r="0" t="0"/>
            <wp:docPr descr="Пример указания статического IP-адреса на оконечном устройстве (Default Gateway)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178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указания статического IP-адреса на оконечном устройстве (Default Gateway)</w:t>
      </w:r>
    </w:p>
    <w:bookmarkEnd w:id="60"/>
    <w:bookmarkStart w:id="64" w:name="fig:013"/>
    <w:p>
      <w:pPr>
        <w:pStyle w:val="CaptionedFigure"/>
      </w:pPr>
      <w:r>
        <w:drawing>
          <wp:inline>
            <wp:extent cx="3588443" cy="2520363"/>
            <wp:effectExtent b="0" l="0" r="0" t="0"/>
            <wp:docPr descr="Пример указания статического IP-адреса на оконечном устройстве (IP Configuration)" title="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2520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указания статического IP-адреса на оконечном устройстве (IP Configuration)</w:t>
      </w:r>
    </w:p>
    <w:bookmarkEnd w:id="64"/>
    <w:p>
      <w:pPr>
        <w:pStyle w:val="BodyText"/>
      </w:pPr>
      <w:r>
        <w:t xml:space="preserve">После указания статических IP-адресов на оконечных устройствах проверим с помощью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доступность устройств, принадлежащих одному VLAN, и недоступность устройств, принадлежащих разным VLAN (рис. #fig:014):</w:t>
      </w:r>
    </w:p>
    <w:bookmarkStart w:id="68" w:name="fig:014"/>
    <w:p>
      <w:pPr>
        <w:pStyle w:val="CaptionedFigure"/>
      </w:pPr>
      <w:r>
        <w:drawing>
          <wp:inline>
            <wp:extent cx="2927616" cy="3242662"/>
            <wp:effectExtent b="0" l="0" r="0" t="0"/>
            <wp:docPr descr="Проверка доступности устройств с помощью ping" title="" id="66" name="Picture"/>
            <a:graphic>
              <a:graphicData uri="http://schemas.openxmlformats.org/drawingml/2006/picture">
                <pic:pic>
                  <pic:nvPicPr>
                    <pic:cNvPr descr="image/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616" cy="3242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устройств с помощью ping</w:t>
      </w:r>
    </w:p>
    <w:bookmarkEnd w:id="68"/>
    <w:p>
      <w:r>
        <w:pict>
          <v:rect style="width:0;height:1.5pt" o:hralign="center" o:hrstd="t" o:hr="t"/>
        </w:pict>
      </w:r>
    </w:p>
    <w:bookmarkEnd w:id="69"/>
    <w:bookmarkStart w:id="70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получили основные навыки по настройке VLAN на коммутаторах сети.</w:t>
      </w:r>
    </w:p>
    <w:p>
      <w:r>
        <w:pict>
          <v:rect style="width:0;height:1.5pt" o:hralign="center" o:hrstd="t" o:hr="t"/>
        </w:pict>
      </w:r>
    </w:p>
    <w:bookmarkEnd w:id="70"/>
    <w:bookmarkStart w:id="74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71" w:name="X24673043604dab9022dad1f2a5974eca26c6f35"/>
    <w:p>
      <w:pPr>
        <w:pStyle w:val="Heading3"/>
      </w:pPr>
      <w:r>
        <w:t xml:space="preserve">4.1 1. Охарактеризуйте следующие команды: switchport mode access, switchport access vlan, vtp mode, vtp domain, vtp password, vlan,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switchport mode access:</w:t>
      </w:r>
      <w:r>
        <w:t xml:space="preserve"> </w:t>
      </w:r>
      <w:r>
        <w:t xml:space="preserve">устанавливает порт в режим доступа (access), который предназначен для работы с одним определённым VLAN.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switchport access vlan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назначает определённый VLAN для порта в режиме доступа.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vtp mode server/client: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vtp mode server:</w:t>
      </w:r>
      <w:r>
        <w:t xml:space="preserve"> </w:t>
      </w:r>
      <w:r>
        <w:t xml:space="preserve">устанавливает коммутатор в режим сервера VTP, позволяя ему рассылать информацию о VLAN другим коммутаторам в сети.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vtp mode client:</w:t>
      </w:r>
      <w:r>
        <w:t xml:space="preserve"> </w:t>
      </w:r>
      <w:r>
        <w:t xml:space="preserve">устанавливает коммутатор в режим клиента VTP, что позволяет ему принимать информацию о VLAN от серверов VTP.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vtp domain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устанавливает домен VTP, в котором находится коммутатор. Для синхронизации информации о VLAN все коммутаторы в сети должны находиться в одном домене VTP с одинаковым именем.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vtp password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устанавливает пароль VTP для доступа к домену VTP. Это помогает обеспечить безопасность и предотвратить несанкционированные изменения конфигурации VLAN.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vlan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создаёт новый VLAN с указанным номером.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</w:t>
      </w:r>
      <w:r>
        <w:rPr>
          <w:b/>
          <w:bCs/>
        </w:rPr>
        <w:t xml:space="preserve"> </w:t>
      </w:r>
      <w:r>
        <w:rPr>
          <w:b/>
          <w:bCs/>
        </w:rPr>
        <w:t xml:space="preserve">:</w:t>
      </w:r>
      <w:r>
        <w:t xml:space="preserve"> </w:t>
      </w:r>
      <w:r>
        <w:t xml:space="preserve">присваивает имя VLAN, что делает его более понятным для администраторов сети.</w:t>
      </w:r>
    </w:p>
    <w:bookmarkEnd w:id="71"/>
    <w:bookmarkStart w:id="72" w:name="X23b1b439d0e1382d3ab8b28223e6e6bc75076d5"/>
    <w:p>
      <w:pPr>
        <w:pStyle w:val="Heading3"/>
      </w:pPr>
      <w:r>
        <w:t xml:space="preserve">4.2 2. Охарактеризуйте Internet Control Message Protocol (ICMP). Опишите формат пакета ICMP.</w:t>
      </w:r>
    </w:p>
    <w:p>
      <w:pPr>
        <w:pStyle w:val="FirstParagraph"/>
      </w:pPr>
      <w:r>
        <w:rPr>
          <w:b/>
          <w:bCs/>
        </w:rPr>
        <w:t xml:space="preserve">ICMP (Internet Control Message Protocol)</w:t>
      </w:r>
      <w:r>
        <w:t xml:space="preserve"> </w:t>
      </w:r>
      <w:r>
        <w:t xml:space="preserve">— это протокол в семействе протоколов Интернета, который используется для передачи сообщений об ошибках и других исключительных ситуациях, возникших при передаче данных в компьютерных сетях. ICMP также выполняет некоторые сервисные функции, такие как проверка доступности хостов и диагностика сетевых проблем.</w:t>
      </w:r>
    </w:p>
    <w:p>
      <w:pPr>
        <w:pStyle w:val="BodyText"/>
      </w:pPr>
      <w:r>
        <w:rPr>
          <w:b/>
          <w:bCs/>
        </w:rPr>
        <w:t xml:space="preserve">Формат пакета ICMP</w:t>
      </w:r>
      <w:r>
        <w:t xml:space="preserve"> </w:t>
      </w:r>
      <w:r>
        <w:t xml:space="preserve">обычно состоит из заголовка и поля данных, которое может включать в себя различные поля в зависимости от типа сообщения ICMP. Основные поля заголовка ICMP включают: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 (Type)</w:t>
            </w:r>
          </w:p>
        </w:tc>
        <w:tc>
          <w:tcPr/>
          <w:p>
            <w:pPr>
              <w:pStyle w:val="Compact"/>
            </w:pPr>
            <w:r>
              <w:t xml:space="preserve">Определяет тип сообщения ICMP (например, сообщение об ошибках, запрос эхо и т. д.)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Код (Code)</w:t>
            </w:r>
          </w:p>
        </w:tc>
        <w:tc>
          <w:tcPr/>
          <w:p>
            <w:pPr>
              <w:pStyle w:val="Compact"/>
            </w:pPr>
            <w:r>
              <w:t xml:space="preserve">Подтип сообщения, который позволяет уточнить тип сообщения (например, для сообщения об ошибке код может указывать на конкретный тип ошибки)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Контрольная сумма (Checksum)</w:t>
            </w:r>
          </w:p>
        </w:tc>
        <w:tc>
          <w:tcPr/>
          <w:p>
            <w:pPr>
              <w:pStyle w:val="Compact"/>
            </w:pPr>
            <w:r>
              <w:t xml:space="preserve">Используется для обеспечения целостности пакета ICMP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Дополнительные данные</w:t>
            </w:r>
          </w:p>
        </w:tc>
        <w:tc>
          <w:tcPr/>
          <w:p>
            <w:pPr>
              <w:pStyle w:val="Compact"/>
            </w:pPr>
            <w:r>
              <w:t xml:space="preserve">В зависимости от типа и кода сообщения, может содержать дополнительные поля с информацией о сетевой проблеме или другой полезной информации</w:t>
            </w:r>
          </w:p>
        </w:tc>
      </w:tr>
    </w:tbl>
    <w:bookmarkEnd w:id="72"/>
    <w:bookmarkStart w:id="73" w:name="X192b53e49ee8efb1b5ca361341b8a6924867d21"/>
    <w:p>
      <w:pPr>
        <w:pStyle w:val="Heading3"/>
      </w:pPr>
      <w:r>
        <w:t xml:space="preserve">4.3 3. Охарактеризуйте Address Resolution Protocol (ARP). Опишите формат пакета ARP.</w:t>
      </w:r>
    </w:p>
    <w:p>
      <w:pPr>
        <w:pStyle w:val="FirstParagraph"/>
      </w:pPr>
      <w:r>
        <w:rPr>
          <w:b/>
          <w:bCs/>
        </w:rPr>
        <w:t xml:space="preserve">ARP (Address Resolution Protocol)</w:t>
      </w:r>
      <w:r>
        <w:t xml:space="preserve"> </w:t>
      </w:r>
      <w:r>
        <w:t xml:space="preserve">— это протокол, используемый в компьютерных сетях для связи IP-адресов с физическими MAC-адресами устройств в локальной сети. Он позволяет устройствам в сети определить MAC-адрес другого устройства на основе его IP-адреса.</w:t>
      </w:r>
    </w:p>
    <w:p>
      <w:pPr>
        <w:pStyle w:val="BodyText"/>
      </w:pPr>
      <w:r>
        <w:t xml:space="preserve">Когда устройству требуется отправить пакет данных другому устройству в сети, оно сначала проверяет свою локальную таблицу ARP, чтобы узнать MAC-адрес получателя. Если необходимый MAC-адрес отсутствует в таблице ARP, устройство отправляет ARP-запрос на всю сеть, запрашивая MAC-адрес соответствующего IP-адреса. Устройство, которое имеет этот IP-адрес, отвечает на запрос, предоставляя свой MAC-адрес.</w:t>
      </w:r>
    </w:p>
    <w:p>
      <w:pPr>
        <w:pStyle w:val="BodyText"/>
      </w:pPr>
      <w:r>
        <w:rPr>
          <w:b/>
          <w:bCs/>
        </w:rPr>
        <w:t xml:space="preserve">Формат пакета ARP</w:t>
      </w:r>
      <w:r>
        <w:t xml:space="preserve"> </w:t>
      </w:r>
      <w:r>
        <w:t xml:space="preserve">обычно состоит из следующих полей: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 аппаратного адреса</w:t>
            </w:r>
          </w:p>
        </w:tc>
        <w:tc>
          <w:tcPr/>
          <w:p>
            <w:pPr>
              <w:pStyle w:val="Compact"/>
            </w:pPr>
            <w:r>
              <w:t xml:space="preserve">Определяет тип физического аппаратного адреса в сети (например, Ethernet — значение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Тип протокола</w:t>
            </w:r>
          </w:p>
        </w:tc>
        <w:tc>
          <w:tcPr/>
          <w:p>
            <w:pPr>
              <w:pStyle w:val="Compact"/>
            </w:pPr>
            <w:r>
              <w:t xml:space="preserve">Указывает на протокол сетевого уровня, для которого запрашивается соответствие адресов (обычно IPv4 — значение 0x0800)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Длина аппаратного адреса</w:t>
            </w:r>
          </w:p>
        </w:tc>
        <w:tc>
          <w:tcPr/>
          <w:p>
            <w:pPr>
              <w:pStyle w:val="Compact"/>
            </w:pPr>
            <w:r>
              <w:t xml:space="preserve">Указывает размер физического адреса (обычно 6 байт для MAC-адресов Ethernet)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Длина адреса протокола</w:t>
            </w:r>
          </w:p>
        </w:tc>
        <w:tc>
          <w:tcPr/>
          <w:p>
            <w:pPr>
              <w:pStyle w:val="Compact"/>
            </w:pPr>
            <w:r>
              <w:t xml:space="preserve">Указывает размер адреса протокола (обычно 4 байта для IPv4)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Код операции</w:t>
            </w:r>
          </w:p>
        </w:tc>
        <w:tc>
          <w:tcPr/>
          <w:p>
            <w:pPr>
              <w:pStyle w:val="Compact"/>
            </w:pPr>
            <w:r>
              <w:t xml:space="preserve">Определяет тип операции ARP (запрос — значение 1, ответ — значение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MAC-адрес отправителя</w:t>
            </w:r>
          </w:p>
        </w:tc>
        <w:tc>
          <w:tcPr/>
          <w:p>
            <w:pPr>
              <w:pStyle w:val="Compact"/>
            </w:pPr>
            <w:r>
              <w:t xml:space="preserve">Физический адрес отправителя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IP-адрес отправителя</w:t>
            </w:r>
          </w:p>
        </w:tc>
        <w:tc>
          <w:tcPr/>
          <w:p>
            <w:pPr>
              <w:pStyle w:val="Compact"/>
            </w:pPr>
            <w:r>
              <w:t xml:space="preserve">IP-адрес отправителя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MAC-адрес получателя</w:t>
            </w:r>
          </w:p>
        </w:tc>
        <w:tc>
          <w:tcPr/>
          <w:p>
            <w:pPr>
              <w:pStyle w:val="Compact"/>
            </w:pPr>
            <w:r>
              <w:t xml:space="preserve">Физический адрес получателя (обычно пустой в ARP-запросах)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IP-адрес получателя</w:t>
            </w:r>
          </w:p>
        </w:tc>
        <w:tc>
          <w:tcPr/>
          <w:p>
            <w:pPr>
              <w:pStyle w:val="Compact"/>
            </w:pPr>
            <w:r>
              <w:t xml:space="preserve">IP-адрес получателя</w:t>
            </w:r>
          </w:p>
        </w:tc>
      </w:tr>
    </w:tbl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Ко Антон Геннадьевич</dc:creator>
  <dc:language>ru-RU</dc:language>
  <cp:keywords/>
  <dcterms:created xsi:type="dcterms:W3CDTF">2026-09-04T16:53:31Z</dcterms:created>
  <dcterms:modified xsi:type="dcterms:W3CDTF">2026-09-04T16:53:31Z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Конфигурация VLAN</vt:lpwstr>
  </property>
  <property fmtid="{D5CDD505-2E9C-101B-9397-08002B2CF9AE}" pid="16" name="toc-title">
    <vt:lpwstr>Содержание</vt:lpwstr>
  </property>
</Properties>
</file>