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Thông tin thành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-GioiTinh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-TonGiao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-DiaChi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-Email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-MaChucVu (Khóa ngoại)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Chức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-MaChucVu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-TenChucVu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-HeSoLuong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Dự 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-TenDA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-ThongTinDA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-TienDo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-CongViec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chính(MaDA,TenDA)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Phân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-MaNV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chính(MaDA,MaNV)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-SoNgayCong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-GioTangCa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Lương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 (khóa ngoại)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-HeSoLuo</w:t>
      </w:r>
      <w:bookmarkStart w:id="0" w:name="_GoBack"/>
      <w:bookmarkEnd w:id="0"/>
      <w:r>
        <w:rPr>
          <w:rFonts w:hint="default"/>
          <w:lang w:val="en-US"/>
        </w:rPr>
        <w:t>ng (khóa ngoại)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00941"/>
    <w:rsid w:val="1F7A7E0A"/>
    <w:rsid w:val="322026F0"/>
    <w:rsid w:val="37DF1148"/>
    <w:rsid w:val="4F500941"/>
    <w:rsid w:val="61F1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2020-05-28T06:34:00Z</dcterms:created>
  <dc:creator>google1573466350</dc:creator>
  <cp:lastModifiedBy>google1573466350</cp:lastModifiedBy>
  <dcterms:modified xsi:type="dcterms:W3CDTF">2020-05-31T11:23:36Z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