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85041"/>
          <w:sz w:val="26"/>
          <w:szCs w:val="26"/>
        </w:rPr>
        <w:t xml:space="preserve">DAWES</w:t>
      </w:r>
    </w:p>
    <w:p>
      <w:pPr>
        <w:spacing w:before="0" w:after="40"/>
      </w:pPr>
      <w:r>
        <w:rPr>
          <w:rFonts w:ascii="Arial" w:cs="Arial" w:eastAsia="Arial" w:hAnsi="Arial"/>
          <w:color w:val="5F5E5A"/>
          <w:sz w:val="21"/>
          <w:szCs w:val="21"/>
        </w:rPr>
        <w:t xml:space="preserve">Fondateur — YEHI OR Tech</w:t>
      </w:r>
    </w:p>
    <w:p>
      <w:pPr>
        <w:spacing w:before="0" w:after="40"/>
      </w:pPr>
      <w:r>
        <w:rPr>
          <w:rFonts w:ascii="Arial" w:cs="Arial" w:eastAsia="Arial" w:hAnsi="Arial"/>
          <w:color w:val="5F5E5A"/>
          <w:sz w:val="21"/>
          <w:szCs w:val="21"/>
        </w:rPr>
        <w:t xml:space="preserve">Cotonou, République du Bénin</w:t>
      </w:r>
    </w:p>
    <w:p>
      <w:pPr>
        <w:spacing w:before="0" w:after="40"/>
      </w:pPr>
      <w:r>
        <w:rPr>
          <w:rFonts w:ascii="Arial" w:cs="Arial" w:eastAsia="Arial" w:hAnsi="Arial"/>
          <w:color w:val="5F5E5A"/>
          <w:sz w:val="21"/>
          <w:szCs w:val="21"/>
        </w:rPr>
        <w:t xml:space="preserve">Email : [votre.email@yehiortech.com]</w:t>
      </w:r>
    </w:p>
    <w:p>
      <w:pPr>
        <w:spacing w:before="0" w:after="40"/>
      </w:pPr>
      <w:r>
        <w:rPr>
          <w:rFonts w:ascii="Arial" w:cs="Arial" w:eastAsia="Arial" w:hAnsi="Arial"/>
          <w:color w:val="5F5E5A"/>
          <w:sz w:val="21"/>
          <w:szCs w:val="21"/>
        </w:rPr>
        <w:t xml:space="preserve">Téléphone : [+229 XX XX XX XX]</w:t>
      </w:r>
    </w:p>
    <w:p>
      <w:pPr>
        <w:spacing w:before="0" w:after="80"/>
      </w:pPr>
      <w:r>
        <w:t xml:space="preserve"/>
      </w:r>
    </w:p>
    <w:p>
      <w:pPr>
        <w:pBdr>
          <w:bottom w:val="single" w:color="1D9E75" w:sz="6" w:space="1"/>
        </w:pBdr>
        <w:spacing w:before="0" w:after="160"/>
      </w:pPr>
      <w:r>
        <w:t xml:space="preserve"/>
      </w:r>
    </w:p>
    <w:p>
      <w:pPr>
        <w:spacing w:before="0" w:after="80"/>
      </w:pPr>
      <w:r>
        <w:t xml:space="preserve"/>
      </w:r>
    </w:p>
    <w:p>
      <w:pPr>
        <w:spacing w:before="0" w:after="60"/>
      </w:pPr>
      <w:r>
        <w:rPr>
          <w:rFonts w:ascii="Arial" w:cs="Arial" w:eastAsia="Arial" w:hAnsi="Arial"/>
          <w:b/>
          <w:bCs/>
          <w:color w:val="1A1A1A"/>
          <w:sz w:val="22"/>
          <w:szCs w:val="22"/>
        </w:rPr>
        <w:t xml:space="preserve">Monsieur le Directeur Général</w:t>
      </w:r>
    </w:p>
    <w:p>
      <w:pPr>
        <w:spacing w:before="0" w:after="60"/>
      </w:pPr>
      <w:r>
        <w:rPr>
          <w:rFonts w:ascii="Arial" w:cs="Arial" w:eastAsia="Arial" w:hAnsi="Arial"/>
          <w:b/>
          <w:bCs/>
          <w:color w:val="1A1A1A"/>
          <w:sz w:val="22"/>
          <w:szCs w:val="22"/>
        </w:rPr>
        <w:t xml:space="preserve">Société Béninoise pour l'Approvisionnement en Produits de Santé (SoBAPS SA)</w:t>
      </w:r>
    </w:p>
    <w:p>
      <w:pPr>
        <w:spacing w:before="0" w:after="200"/>
      </w:pPr>
      <w:r>
        <w:rPr>
          <w:rFonts w:ascii="Arial" w:cs="Arial" w:eastAsia="Arial" w:hAnsi="Arial"/>
          <w:color w:val="1A1A1A"/>
          <w:sz w:val="22"/>
          <w:szCs w:val="22"/>
        </w:rPr>
        <w:t xml:space="preserve">Cotonou, République du Bénin</w:t>
      </w:r>
    </w:p>
    <w:p>
      <w:pPr>
        <w:spacing w:before="0" w:after="60"/>
      </w:pPr>
      <w:r>
        <w:rPr>
          <w:rFonts w:ascii="Arial" w:cs="Arial" w:eastAsia="Arial" w:hAnsi="Arial"/>
          <w:b/>
          <w:bCs/>
          <w:color w:val="085041"/>
          <w:sz w:val="22"/>
          <w:szCs w:val="22"/>
        </w:rPr>
        <w:t xml:space="preserve">Objet : </w:t>
      </w:r>
      <w:r>
        <w:rPr>
          <w:rFonts w:ascii="Arial" w:cs="Arial" w:eastAsia="Arial" w:hAnsi="Arial"/>
          <w:color w:val="1A1A1A"/>
          <w:sz w:val="22"/>
          <w:szCs w:val="22"/>
        </w:rPr>
        <w:t xml:space="preserve">Proposition de partenariat — MédiHelm, plateforme numérique de traçabilité des livraisons pharmaceutiques et d'intégration de la chaîne d'approvisionnement au Bénin</w:t>
      </w:r>
    </w:p>
    <w:p>
      <w:pPr>
        <w:spacing w:before="0" w:after="200"/>
      </w:pPr>
      <w:r>
        <w:rPr>
          <w:rFonts w:ascii="Arial" w:cs="Arial" w:eastAsia="Arial" w:hAnsi="Arial"/>
          <w:b/>
          <w:bCs/>
          <w:color w:val="085041"/>
          <w:sz w:val="22"/>
          <w:szCs w:val="22"/>
        </w:rPr>
        <w:t xml:space="preserve">Référence : </w:t>
      </w:r>
      <w:r>
        <w:rPr>
          <w:rFonts w:ascii="Arial" w:cs="Arial" w:eastAsia="Arial" w:hAnsi="Arial"/>
          <w:color w:val="1A1A1A"/>
          <w:sz w:val="22"/>
          <w:szCs w:val="22"/>
        </w:rPr>
        <w:t xml:space="preserve">MH-SOBAPS-2025-001</w:t>
      </w:r>
    </w:p>
    <w:p>
      <w:pPr>
        <w:spacing w:before="0" w:after="160"/>
        <w:jc w:val="both"/>
      </w:pPr>
      <w:r>
        <w:rPr>
          <w:rFonts w:ascii="Arial" w:cs="Arial" w:eastAsia="Arial" w:hAnsi="Arial"/>
          <w:color w:val="1A1A1A"/>
          <w:sz w:val="22"/>
          <w:szCs w:val="22"/>
        </w:rPr>
        <w:t xml:space="preserve">Monsieur le Directeur Général,</w:t>
      </w:r>
    </w:p>
    <w:p>
      <w:pPr>
        <w:spacing w:before="0" w:after="80"/>
      </w:pPr>
      <w:r>
        <w:t xml:space="preserve"/>
      </w:r>
    </w:p>
    <w:p>
      <w:pPr>
        <w:spacing w:before="0" w:after="160"/>
        <w:jc w:val="both"/>
      </w:pPr>
      <w:r>
        <w:rPr>
          <w:rFonts w:ascii="Arial" w:cs="Arial" w:eastAsia="Arial" w:hAnsi="Arial"/>
          <w:color w:val="1A1A1A"/>
          <w:sz w:val="22"/>
          <w:szCs w:val="22"/>
        </w:rPr>
        <w:t xml:space="preserve">J'ai l'honneur de soumettre à votre attention la présente proposition de partenariat au nom de YEHI OR Tech, entreprise technologique béninoise spécialisée dans le développement de plateformes numériques pour le secteur de la santé en Afrique de l'Ouest.</w:t>
      </w:r>
    </w:p>
    <w:p>
      <w:pPr>
        <w:spacing w:before="0" w:after="80"/>
      </w:pPr>
      <w:r>
        <w:t xml:space="preserve"/>
      </w:r>
    </w:p>
    <w:p>
      <w:pPr>
        <w:spacing w:before="0" w:after="160"/>
        <w:jc w:val="both"/>
      </w:pPr>
      <w:r>
        <w:rPr>
          <w:rFonts w:ascii="Arial" w:cs="Arial" w:eastAsia="Arial" w:hAnsi="Arial"/>
          <w:color w:val="1A1A1A"/>
          <w:sz w:val="22"/>
          <w:szCs w:val="22"/>
        </w:rPr>
        <w:t xml:space="preserve">La SoBAPS, en qualité de principal acteur de l'approvisionnement en médicaments essentiels au Bénin, opère selon des standards de traçabilité particulièrement élevés, imposés par ses partenaires internationaux — Fonds Mondial, UNITAID, Banque Mondiale et USAID — et par les Bonnes Pratiques de Distribution de l'UEMOA. C'est précisément dans ce contexte que MédiHelm peut apporter une valeur concrète et documentable à votre organisation.</w:t>
      </w:r>
    </w:p>
    <w:p>
      <w:pPr>
        <w:spacing w:before="0" w:after="80"/>
      </w:pPr>
      <w:r>
        <w:t xml:space="preserve"/>
      </w:r>
    </w:p>
    <w:p>
      <w:pPr>
        <w:spacing w:before="0" w:after="160"/>
        <w:jc w:val="both"/>
      </w:pPr>
      <w:r>
        <w:rPr>
          <w:rFonts w:ascii="Arial" w:cs="Arial" w:eastAsia="Arial" w:hAnsi="Arial"/>
          <w:color w:val="1A1A1A"/>
          <w:sz w:val="22"/>
          <w:szCs w:val="22"/>
        </w:rPr>
        <w:t xml:space="preserve">Aujourd'hui, une fois qu'un camion de livraison SoBAPS quitte vos entrepôts à destination d'une officine privée, aucun système numérique ne permet de confirmer que la livraison a bien été réceptionnée, que les quantités livrées correspondent au bon de livraison, et que les numéros de lot ont été correctement enregistrés dans le stock de l'officine destinataire. MédiHelm comble précisément ce vide.</w:t>
      </w:r>
    </w:p>
    <w:p>
      <w:pPr>
        <w:spacing w:before="0" w:after="80"/>
      </w:pPr>
      <w:r>
        <w:t xml:space="preserve"/>
      </w:r>
    </w:p>
    <w:p>
      <w:pPr>
        <w:spacing w:before="0" w:after="160"/>
        <w:jc w:val="both"/>
      </w:pPr>
      <w:r>
        <w:rPr>
          <w:rFonts w:ascii="Arial" w:cs="Arial" w:eastAsia="Arial" w:hAnsi="Arial"/>
          <w:color w:val="1A1A1A"/>
          <w:sz w:val="22"/>
          <w:szCs w:val="22"/>
        </w:rPr>
        <w:t xml:space="preserve">Chaque officine abonnée à MédiHelm Pro dispose d'un module de réception des livraisons intégré à son système de gestion. Dès qu'une livraison SoBAPS arrive, l'officine la réceptionne dans MédiHelm — le stock est mis à jour automatiquement, les écarts sont détectés, et une confirmation numérique est transmise vers votre portail institutionnel. Vous disposerez ainsi, pour la première fois, d'un tableau de bord de traçabilité de vos livraisons vers les officines privées béninoises abonnées — un argument direct pour vos prochains audits.</w:t>
      </w:r>
    </w:p>
    <w:p>
      <w:pPr>
        <w:spacing w:before="0" w:after="80"/>
      </w:pPr>
      <w:r>
        <w:t xml:space="preserve"/>
      </w:r>
    </w:p>
    <w:p>
      <w:pPr>
        <w:spacing w:before="0" w:after="160"/>
        <w:jc w:val="both"/>
      </w:pPr>
      <w:r>
        <w:rPr>
          <w:rFonts w:ascii="Arial" w:cs="Arial" w:eastAsia="Arial" w:hAnsi="Arial"/>
          <w:color w:val="1A1A1A"/>
          <w:sz w:val="22"/>
          <w:szCs w:val="22"/>
        </w:rPr>
        <w:t xml:space="preserve">Ce partenariat est proposé à titre entièrement gratuit pour la SoBAPS. La contrepartie que nous sollicitons est simple : votre recommandation de MédiHelm aux officines privées que vous approvisionnez régulièrement.</w:t>
      </w:r>
    </w:p>
    <w:p>
      <w:pPr>
        <w:spacing w:before="0" w:after="80"/>
      </w:pPr>
      <w:r>
        <w:t xml:space="preserve"/>
      </w:r>
    </w:p>
    <w:p>
      <w:pPr>
        <w:spacing w:before="0" w:after="160"/>
        <w:jc w:val="both"/>
      </w:pPr>
      <w:r>
        <w:rPr>
          <w:rFonts w:ascii="Arial" w:cs="Arial" w:eastAsia="Arial" w:hAnsi="Arial"/>
          <w:color w:val="1A1A1A"/>
          <w:sz w:val="22"/>
          <w:szCs w:val="22"/>
        </w:rPr>
        <w:t xml:space="preserve">Je me tiens à votre disposition pour une présentation de la plateforme à la date qui vous conviendra. Dans l'attente d'une réponse favorable, je vous prie d'agréer, Monsieur le Directeur Général, l'expression de ma très haute considération.</w:t>
      </w:r>
    </w:p>
    <w:p>
      <w:pPr>
        <w:spacing w:before="0" w:after="160"/>
      </w:pPr>
      <w:r>
        <w:t xml:space="preserve"/>
      </w:r>
    </w:p>
    <w:p>
      <w:pPr>
        <w:spacing w:before="0" w:after="60"/>
      </w:pPr>
      <w:r>
        <w:rPr>
          <w:rFonts w:ascii="Arial" w:cs="Arial" w:eastAsia="Arial" w:hAnsi="Arial"/>
          <w:color w:val="1A1A1A"/>
          <w:sz w:val="22"/>
          <w:szCs w:val="22"/>
        </w:rPr>
        <w:t xml:space="preserve">Fait à Cotonou, le _____ / _____ / 2025</w:t>
      </w:r>
    </w:p>
    <w:p>
      <w:pPr>
        <w:spacing w:before="0" w:after="160"/>
      </w:pPr>
      <w:r>
        <w:t xml:space="preserve"/>
      </w:r>
    </w:p>
    <w:p>
      <w:pPr>
        <w:spacing w:before="0" w:after="60"/>
      </w:pPr>
      <w:r>
        <w:rPr>
          <w:rFonts w:ascii="Arial" w:cs="Arial" w:eastAsia="Arial" w:hAnsi="Arial"/>
          <w:b/>
          <w:bCs/>
          <w:color w:val="085041"/>
          <w:sz w:val="22"/>
          <w:szCs w:val="22"/>
        </w:rPr>
        <w:t xml:space="preserve">DAWES</w:t>
      </w:r>
    </w:p>
    <w:p>
      <w:pPr>
        <w:spacing w:before="0" w:after="40"/>
      </w:pPr>
      <w:r>
        <w:rPr>
          <w:rFonts w:ascii="Arial" w:cs="Arial" w:eastAsia="Arial" w:hAnsi="Arial"/>
          <w:color w:val="5F5E5A"/>
          <w:sz w:val="21"/>
          <w:szCs w:val="21"/>
        </w:rPr>
        <w:t xml:space="preserve">Fondateur — YEHI OR Tech</w:t>
      </w:r>
    </w:p>
    <w:p>
      <w:pPr>
        <w:spacing w:before="0" w:after="160"/>
      </w:pPr>
      <w:r>
        <w:t xml:space="preserve"/>
      </w:r>
    </w:p>
    <w:p>
      <w:pPr>
        <w:pBdr>
          <w:top w:val="single" w:color="9FE1CB" w:sz="4" w:space="1"/>
        </w:pBdr>
        <w:spacing w:before="0" w:after="80"/>
      </w:pPr>
      <w:r>
        <w:rPr>
          <w:rFonts w:ascii="Arial" w:cs="Arial" w:eastAsia="Arial" w:hAnsi="Arial"/>
          <w:b/>
          <w:bCs/>
          <w:color w:val="085041"/>
          <w:sz w:val="21"/>
          <w:szCs w:val="21"/>
        </w:rPr>
        <w:t xml:space="preserve">Pièces jointes :</w:t>
      </w:r>
    </w:p>
    <w:p>
      <w:pPr>
        <w:spacing w:before="0" w:after="60"/>
      </w:pPr>
      <w:r>
        <w:rPr>
          <w:rFonts w:ascii="Arial" w:cs="Arial" w:eastAsia="Arial" w:hAnsi="Arial"/>
          <w:color w:val="1A1A1A"/>
          <w:sz w:val="21"/>
          <w:szCs w:val="21"/>
        </w:rPr>
        <w:t xml:space="preserve">Annexe A — Note de présentation de MédiHelm et de YEHI OR Tech</w:t>
      </w:r>
    </w:p>
    <w:p>
      <w:pPr>
        <w:spacing w:before="0" w:after="60"/>
      </w:pPr>
      <w:r>
        <w:rPr>
          <w:rFonts w:ascii="Arial" w:cs="Arial" w:eastAsia="Arial" w:hAnsi="Arial"/>
          <w:color w:val="1A1A1A"/>
          <w:sz w:val="21"/>
          <w:szCs w:val="21"/>
        </w:rPr>
        <w:t xml:space="preserve">Annexe B — Proposition de partenariat détaillée SoBAPS / MédiHelm</w:t>
      </w:r>
    </w:p>
    <w:p>
      <w:pPr>
        <w:spacing w:before="0" w:after="60"/>
      </w:pPr>
      <w:r>
        <w:rPr>
          <w:rFonts w:ascii="Arial" w:cs="Arial" w:eastAsia="Arial" w:hAnsi="Arial"/>
          <w:color w:val="1A1A1A"/>
          <w:sz w:val="21"/>
          <w:szCs w:val="21"/>
        </w:rPr>
        <w:t xml:space="preserve">Annexe C — Fiche technique du module de traçabilité des livraisons SoBAPS</w:t>
      </w:r>
    </w:p>
    <w:p>
      <w:r>
        <w:br w:type="page"/>
      </w:r>
    </w:p>
    <w:p>
      <w:pPr>
        <w:sectPr>
          <w:pgSz w:w="11906" w:h="16838" w:orient="portrait"/>
          <w:pgMar w:top="1800" w:right="1440" w:bottom="1440" w:left="1800" w:header="708" w:footer="708" w:gutter="0"/>
          <w:pgNumType/>
          <w:docGrid w:linePitch="360"/>
        </w:sectPr>
      </w:pPr>
    </w:p>
    <w:p>
      <w:pPr>
        <w:spacing w:before="0" w:after="60"/>
        <w:jc w:val="center"/>
      </w:pPr>
      <w:r>
        <w:rPr>
          <w:rFonts w:ascii="Arial" w:cs="Arial" w:eastAsia="Arial" w:hAnsi="Arial"/>
          <w:b/>
          <w:bCs/>
          <w:color w:val="FFFFFF"/>
          <w:sz w:val="20"/>
          <w:szCs w:val="20"/>
          <w:shd w:fill="085041" w:val="clear"/>
        </w:rPr>
        <w:t xml:space="preserve">ANNEXE A</w:t>
      </w:r>
    </w:p>
    <w:p>
      <w:pPr>
        <w:spacing w:before="0" w:after="200"/>
        <w:jc w:val="center"/>
      </w:pPr>
      <w:r>
        <w:rPr>
          <w:rFonts w:ascii="Arial" w:cs="Arial" w:eastAsia="Arial" w:hAnsi="Arial"/>
          <w:b/>
          <w:bCs/>
          <w:color w:val="085041"/>
          <w:sz w:val="28"/>
          <w:szCs w:val="28"/>
        </w:rPr>
        <w:t xml:space="preserve">Note de présentation — MédiHelm / YEHI OR Tech</w:t>
      </w:r>
    </w:p>
    <w:p>
      <w:pPr>
        <w:pBdr>
          <w:bottom w:val="single" w:color="1D9E75" w:sz="8" w:space="1"/>
        </w:pBdr>
        <w:spacing w:before="0" w:after="300"/>
        <w:jc w:val="center"/>
      </w:pPr>
      <w:r>
        <w:t xml:space="preserve"/>
      </w:r>
    </w:p>
    <w:p>
      <w:pPr>
        <w:spacing w:before="0" w:after="80"/>
      </w:pPr>
      <w:r>
        <w:t xml:space="preserve"/>
      </w:r>
    </w:p>
    <w:p>
      <w:pPr>
        <w:pStyle w:val="Heading1"/>
        <w:spacing w:before="360" w:after="180"/>
      </w:pPr>
      <w:r>
        <w:rPr>
          <w:rFonts w:ascii="Arial" w:cs="Arial" w:eastAsia="Arial" w:hAnsi="Arial"/>
          <w:b/>
          <w:bCs/>
          <w:color w:val="085041"/>
          <w:sz w:val="28"/>
          <w:szCs w:val="28"/>
        </w:rPr>
        <w:t xml:space="preserve">A.1  YEHI OR Tech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5DED6" w:sz="6"/>
              <w:left w:val="single" w:color="C5DED6" w:sz="6"/>
              <w:bottom w:val="single" w:color="C5DED6" w:sz="6"/>
              <w:right w:val="single" w:color="C5DED6" w:sz="6"/>
            </w:tcBorders>
            <w:shd w:fill="E8F5EE" w:val="clear"/>
            <w:tcMar>
              <w:top w:type="dxa" w:w="80"/>
              <w:left w:type="dxa" w:w="120"/>
              <w:bottom w:type="dxa" w:w="80"/>
              <w:right w:type="dxa" w:w="120"/>
            </w:tcMar>
          </w:tcPr>
          <w:p>
            <w:r>
              <w:rPr>
                <w:rFonts w:ascii="Arial" w:cs="Arial" w:eastAsia="Arial" w:hAnsi="Arial"/>
                <w:b/>
                <w:bCs/>
                <w:color w:val="1B6B3A"/>
                <w:sz w:val="21"/>
                <w:szCs w:val="21"/>
              </w:rPr>
              <w:t xml:space="preserve">Structure</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YEHI OR Tech — Entreprise technologique béninoise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B6B3A"/>
                <w:sz w:val="21"/>
                <w:szCs w:val="21"/>
              </w:rPr>
              <w:t xml:space="preserve">Fondateur</w:t>
            </w:r>
          </w:p>
        </w:tc>
        <w:tc>
          <w:tcPr>
            <w:tcW w:type="dxa" w:w="6026"/>
            <w:tcBorders>
              <w:top w:val="single" w:color="C5DED6" w:sz="6"/>
              <w:left w:val="single" w:color="C5DED6" w:sz="6"/>
              <w:bottom w:val="single" w:color="C5DED6" w:sz="6"/>
              <w:right w:val="single" w:color="C5DED6" w:sz="6"/>
            </w:tcBorders>
            <w:shd w:fill="F5F5F4" w:val="clear"/>
            <w:tcMar>
              <w:top w:type="dxa" w:w="80"/>
              <w:left w:type="dxa" w:w="120"/>
              <w:bottom w:type="dxa" w:w="80"/>
              <w:right w:type="dxa" w:w="120"/>
            </w:tcMar>
          </w:tcPr>
          <w:p>
            <w:r>
              <w:rPr>
                <w:rFonts w:ascii="Arial" w:cs="Arial" w:eastAsia="Arial" w:hAnsi="Arial"/>
                <w:color w:val="1A1A1A"/>
                <w:sz w:val="21"/>
                <w:szCs w:val="21"/>
              </w:rPr>
              <w:t xml:space="preserve">Dawes — Ingénieur logiciel, ancien stagiaire LNCQ / Ministère de la Santé du Bénin</w:t>
            </w:r>
          </w:p>
        </w:tc>
      </w:tr>
      <w:tr>
        <w:tc>
          <w:tcPr>
            <w:tcW w:type="dxa" w:w="3000"/>
            <w:tcBorders>
              <w:top w:val="single" w:color="C5DED6" w:sz="6"/>
              <w:left w:val="single" w:color="C5DED6" w:sz="6"/>
              <w:bottom w:val="single" w:color="C5DED6" w:sz="6"/>
              <w:right w:val="single" w:color="C5DED6" w:sz="6"/>
            </w:tcBorders>
            <w:shd w:fill="E8F5EE" w:val="clear"/>
            <w:tcMar>
              <w:top w:type="dxa" w:w="80"/>
              <w:left w:type="dxa" w:w="120"/>
              <w:bottom w:type="dxa" w:w="80"/>
              <w:right w:type="dxa" w:w="120"/>
            </w:tcMar>
          </w:tcPr>
          <w:p>
            <w:r>
              <w:rPr>
                <w:rFonts w:ascii="Arial" w:cs="Arial" w:eastAsia="Arial" w:hAnsi="Arial"/>
                <w:b/>
                <w:bCs/>
                <w:color w:val="1B6B3A"/>
                <w:sz w:val="21"/>
                <w:szCs w:val="21"/>
              </w:rPr>
              <w:t xml:space="preserve">Spécialité</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Plateformes SaaS sectorielles pour l'Afrique de l'Ouest</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B6B3A"/>
                <w:sz w:val="21"/>
                <w:szCs w:val="21"/>
              </w:rPr>
              <w:t xml:space="preserve">Produits</w:t>
            </w:r>
          </w:p>
        </w:tc>
        <w:tc>
          <w:tcPr>
            <w:tcW w:type="dxa" w:w="6026"/>
            <w:tcBorders>
              <w:top w:val="single" w:color="C5DED6" w:sz="6"/>
              <w:left w:val="single" w:color="C5DED6" w:sz="6"/>
              <w:bottom w:val="single" w:color="C5DED6" w:sz="6"/>
              <w:right w:val="single" w:color="C5DED6" w:sz="6"/>
            </w:tcBorders>
            <w:shd w:fill="F5F5F4" w:val="clear"/>
            <w:tcMar>
              <w:top w:type="dxa" w:w="80"/>
              <w:left w:type="dxa" w:w="120"/>
              <w:bottom w:type="dxa" w:w="80"/>
              <w:right w:type="dxa" w:w="120"/>
            </w:tcMar>
          </w:tcPr>
          <w:p>
            <w:r>
              <w:rPr>
                <w:rFonts w:ascii="Arial" w:cs="Arial" w:eastAsia="Arial" w:hAnsi="Arial"/>
                <w:color w:val="1A1A1A"/>
                <w:sz w:val="21"/>
                <w:szCs w:val="21"/>
              </w:rPr>
              <w:t xml:space="preserve">Academia Helm (ERP scolaire) · MédiHelm (écosystème pharmaceutique)</w:t>
            </w:r>
          </w:p>
        </w:tc>
      </w:tr>
      <w:tr>
        <w:tc>
          <w:tcPr>
            <w:tcW w:type="dxa" w:w="3000"/>
            <w:tcBorders>
              <w:top w:val="single" w:color="C5DED6" w:sz="6"/>
              <w:left w:val="single" w:color="C5DED6" w:sz="6"/>
              <w:bottom w:val="single" w:color="C5DED6" w:sz="6"/>
              <w:right w:val="single" w:color="C5DED6" w:sz="6"/>
            </w:tcBorders>
            <w:shd w:fill="E8F5EE" w:val="clear"/>
            <w:tcMar>
              <w:top w:type="dxa" w:w="80"/>
              <w:left w:type="dxa" w:w="120"/>
              <w:bottom w:type="dxa" w:w="80"/>
              <w:right w:type="dxa" w:w="120"/>
            </w:tcMar>
          </w:tcPr>
          <w:p>
            <w:r>
              <w:rPr>
                <w:rFonts w:ascii="Arial" w:cs="Arial" w:eastAsia="Arial" w:hAnsi="Arial"/>
                <w:b/>
                <w:bCs/>
                <w:color w:val="1B6B3A"/>
                <w:sz w:val="21"/>
                <w:szCs w:val="21"/>
              </w:rPr>
              <w:t xml:space="preserve">Technologies</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Next.js · NestJS · PostgreSQL · Fedapay (Wave, MTN Money, Moov Money)</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tcPr>
          <w:p>
            <w:r>
              <w:rPr>
                <w:rFonts w:ascii="Arial" w:cs="Arial" w:eastAsia="Arial" w:hAnsi="Arial"/>
                <w:b/>
                <w:bCs/>
                <w:color w:val="1B6B3A"/>
                <w:sz w:val="21"/>
                <w:szCs w:val="21"/>
              </w:rPr>
              <w:t xml:space="preserve">Siège</w:t>
            </w:r>
          </w:p>
        </w:tc>
        <w:tc>
          <w:tcPr>
            <w:tcW w:type="dxa" w:w="6026"/>
            <w:tcBorders>
              <w:top w:val="single" w:color="C5DED6" w:sz="6"/>
              <w:left w:val="single" w:color="C5DED6" w:sz="6"/>
              <w:bottom w:val="single" w:color="C5DED6" w:sz="6"/>
              <w:right w:val="single" w:color="C5DED6" w:sz="6"/>
            </w:tcBorders>
            <w:shd w:fill="F5F5F4" w:val="clear"/>
            <w:tcMar>
              <w:top w:type="dxa" w:w="80"/>
              <w:left w:type="dxa" w:w="120"/>
              <w:bottom w:type="dxa" w:w="80"/>
              <w:right w:type="dxa" w:w="120"/>
            </w:tcMar>
          </w:tcPr>
          <w:p>
            <w:r>
              <w:rPr>
                <w:rFonts w:ascii="Arial" w:cs="Arial" w:eastAsia="Arial" w:hAnsi="Arial"/>
                <w:color w:val="1A1A1A"/>
                <w:sz w:val="21"/>
                <w:szCs w:val="21"/>
              </w:rPr>
              <w:t xml:space="preserve">Cotonou, République du Bénin</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A.2  MédiHelm — L'écosystème pharmaceutique béninois</w:t>
      </w:r>
    </w:p>
    <w:p>
      <w:pPr>
        <w:spacing w:before="0" w:after="160"/>
        <w:jc w:val="both"/>
      </w:pPr>
      <w:r>
        <w:rPr>
          <w:rFonts w:ascii="Arial" w:cs="Arial" w:eastAsia="Arial" w:hAnsi="Arial"/>
          <w:color w:val="1A1A1A"/>
          <w:sz w:val="22"/>
          <w:szCs w:val="22"/>
        </w:rPr>
        <w:t xml:space="preserve">MédiHelm connecte sur une seule plateforme les pharmacies d'officine, leurs patients, les grossistes répartisseurs (UbiPharm, Promopharma), et les institutions de tutelle (DPMED, SoBAPS, ABRP). Elle gère 19 modules de gestion pharmaceutique — stock, caisse, ordonnances, RH, finance, pharmacovigilance, conformité réglementaire — et offre aux patients une interface de recherche de médicaments, de géolocalisation des pharmacies et de commande en ligne avec paiement mobile.</w:t>
      </w:r>
    </w:p>
    <w:p>
      <w:pPr>
        <w:spacing w:before="0" w:after="80"/>
      </w:pPr>
      <w:r>
        <w:t xml:space="preserve"/>
      </w:r>
    </w:p>
    <w:p>
      <w:pPr>
        <w:pStyle w:val="Heading1"/>
        <w:spacing w:before="360" w:after="180"/>
      </w:pPr>
      <w:r>
        <w:rPr>
          <w:rFonts w:ascii="Arial" w:cs="Arial" w:eastAsia="Arial" w:hAnsi="Arial"/>
          <w:b/>
          <w:bCs/>
          <w:color w:val="085041"/>
          <w:sz w:val="28"/>
          <w:szCs w:val="28"/>
        </w:rPr>
        <w:t xml:space="preserve">A.3  Le défi de la traçabilité dans la chaîne SoBAPS</w:t>
      </w:r>
    </w:p>
    <w:p>
      <w:pPr>
        <w:spacing w:before="0" w:after="160"/>
        <w:jc w:val="both"/>
      </w:pPr>
      <w:r>
        <w:rPr>
          <w:rFonts w:ascii="Arial" w:cs="Arial" w:eastAsia="Arial" w:hAnsi="Arial"/>
          <w:color w:val="1A1A1A"/>
          <w:sz w:val="22"/>
          <w:szCs w:val="22"/>
        </w:rPr>
        <w:t xml:space="preserve">La SoBAPS distribue des médicaments essentiels génériques vers des formations sanitaires publiques et des officines privées. La traçabilité de ses livraisons vers les officines privées est aujourd'hui lacunaire — aucun retour numérique ne confirme que la livraison a bien été réceptionnée, que les lots correspondent, et que les médicaments ont bien intégré le stock de dispensation.</w:t>
      </w:r>
    </w:p>
    <w:p>
      <w:pPr>
        <w:spacing w:before="0" w:after="80"/>
      </w:pPr>
      <w:r>
        <w:t xml:space="preserve"/>
      </w:r>
    </w:p>
    <w:p>
      <w:pPr>
        <w:spacing w:before="0" w:after="160"/>
        <w:jc w:val="both"/>
      </w:pPr>
      <w:r>
        <w:rPr>
          <w:rFonts w:ascii="Arial" w:cs="Arial" w:eastAsia="Arial" w:hAnsi="Arial"/>
          <w:color w:val="1A1A1A"/>
          <w:sz w:val="22"/>
          <w:szCs w:val="22"/>
        </w:rPr>
        <w:t xml:space="preserve">Ce manque de traçabilité est un point de vulnérabilité documentaire lors des audits du Fonds Mondial, d'UNITAID, et de la Banque Mondiale, qui vérifient la qualité de la gestion de la chaîne d'approvisionnement de bout en bout.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6"/>
              <w:bottom w:val="single" w:color="1B6B3A" w:sz="6"/>
              <w:right w:val="single" w:color="1B6B3A" w:sz="6"/>
            </w:tcBorders>
            <w:shd w:fill="E8F5EE" w:val="clear"/>
            <w:tcMar>
              <w:top w:type="dxa" w:w="160"/>
              <w:left w:type="dxa" w:w="240"/>
              <w:bottom w:type="dxa" w:w="160"/>
              <w:right w:type="dxa" w:w="240"/>
            </w:tcMar>
          </w:tcPr>
          <w:p>
            <w:pPr>
              <w:spacing w:before="0" w:after="80"/>
            </w:pPr>
            <w:r>
              <w:rPr>
                <w:rFonts w:ascii="Arial" w:cs="Arial" w:eastAsia="Arial" w:hAnsi="Arial"/>
                <w:color w:val="1B6B3A"/>
                <w:sz w:val="21"/>
                <w:szCs w:val="21"/>
              </w:rPr>
              <w:t xml:space="preserve">MédiHelm apporte la pièce manquante : la confirmation numérique de réception</w:t>
            </w:r>
          </w:p>
          <w:p>
            <w:pPr>
              <w:spacing w:before="0" w:after="80"/>
            </w:pPr>
            <w:r>
              <w:rPr>
                <w:rFonts w:ascii="Arial" w:cs="Arial" w:eastAsia="Arial" w:hAnsi="Arial"/>
                <w:color w:val="1B6B3A"/>
                <w:sz w:val="21"/>
                <w:szCs w:val="21"/>
              </w:rPr>
              <w:t xml:space="preserve">par les officines privées, avec traçabilité des lots, des quantités, et des écarts —</w:t>
            </w:r>
          </w:p>
          <w:p>
            <w:pPr>
              <w:spacing w:before="0" w:after="80"/>
            </w:pPr>
            <w:r>
              <w:rPr>
                <w:rFonts w:ascii="Arial" w:cs="Arial" w:eastAsia="Arial" w:hAnsi="Arial"/>
                <w:color w:val="1B6B3A"/>
                <w:sz w:val="21"/>
                <w:szCs w:val="21"/>
              </w:rPr>
              <w:t xml:space="preserve">directement visible sur le portail institutionnel de la SoBAPS.</w:t>
            </w:r>
          </w:p>
        </w:tc>
      </w:tr>
    </w:tbl>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spacing w:before="0" w:after="60"/>
        <w:jc w:val="center"/>
      </w:pPr>
      <w:r>
        <w:rPr>
          <w:rFonts w:ascii="Arial" w:cs="Arial" w:eastAsia="Arial" w:hAnsi="Arial"/>
          <w:b/>
          <w:bCs/>
          <w:color w:val="FFFFFF"/>
          <w:sz w:val="20"/>
          <w:szCs w:val="20"/>
          <w:shd w:fill="0F6E56" w:val="clear"/>
        </w:rPr>
        <w:t xml:space="preserve">ANNEXE B</w:t>
      </w:r>
    </w:p>
    <w:p>
      <w:pPr>
        <w:spacing w:before="0" w:after="200"/>
        <w:jc w:val="center"/>
      </w:pPr>
      <w:r>
        <w:rPr>
          <w:rFonts w:ascii="Arial" w:cs="Arial" w:eastAsia="Arial" w:hAnsi="Arial"/>
          <w:b/>
          <w:bCs/>
          <w:color w:val="085041"/>
          <w:sz w:val="28"/>
          <w:szCs w:val="28"/>
        </w:rPr>
        <w:t xml:space="preserve">Proposition de partenariat — SoBAPS SA  x  MédiHelm</w:t>
      </w:r>
    </w:p>
    <w:p>
      <w:pPr>
        <w:pBdr>
          <w:bottom w:val="single" w:color="1D9E75" w:sz="8" w:space="1"/>
        </w:pBdr>
        <w:spacing w:before="0" w:after="300"/>
        <w:jc w:val="center"/>
      </w:pPr>
      <w:r>
        <w:t xml:space="preserve"/>
      </w:r>
    </w:p>
    <w:p>
      <w:pPr>
        <w:spacing w:before="0" w:after="80"/>
      </w:pPr>
      <w:r>
        <w:t xml:space="preserve"/>
      </w:r>
    </w:p>
    <w:p>
      <w:pPr>
        <w:pStyle w:val="Heading1"/>
        <w:spacing w:before="360" w:after="180"/>
      </w:pPr>
      <w:r>
        <w:rPr>
          <w:rFonts w:ascii="Arial" w:cs="Arial" w:eastAsia="Arial" w:hAnsi="Arial"/>
          <w:b/>
          <w:bCs/>
          <w:color w:val="085041"/>
          <w:sz w:val="28"/>
          <w:szCs w:val="28"/>
        </w:rPr>
        <w:t xml:space="preserve">B.1  Valeur directe pour la SoBAPS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Bénéfice</w:t>
            </w:r>
          </w:p>
        </w:tc>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Tableau de bord de traçabilité</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Confirmation numérique de réception par chaque officine abonnée</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Argument documenté pour les audits FMondial / USAID / UNITAID</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Réconciliation automatique</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Détection immédiate des écarts bon de livraison vs quantités reçues</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Réduction des litiges et pertes non documentées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Traçabilité des numéros de lot</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Lots enregistrés à la réception dans chaque officine abonnée</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Conformité BPD UEMOA — traçabilité bout en bout</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Alerte rappels de lot croisée</w:t>
            </w:r>
          </w:p>
        </w:tc>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Si un lot livré par la SoBAPS fait l'objet d'un rappel DPMED, les officines concernées sont alertées en 2 minutes</w:t>
            </w:r>
          </w:p>
        </w:tc>
        <w:tc>
          <w:tcPr>
            <w:tcW w:type="dxa" w:w="3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Protection de la réputation de la SoBAPS — gestion proactive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Recommandation = adoption</w:t>
            </w:r>
          </w:p>
        </w:tc>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Plus la SoBAPS recommande MédiHelm, plus de données de traçabilité sont disponibles</w:t>
            </w:r>
          </w:p>
        </w:tc>
        <w:tc>
          <w:tcPr>
            <w:tcW w:type="dxa" w:w="3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Cercle vertueux : adoption = traçabilité = performance auditeurs</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B.2  Ce que MédiHelm offre à la SoBAPS</w:t>
      </w:r>
    </w:p>
    <w:p>
      <w:pPr>
        <w:pStyle w:val="Heading2"/>
        <w:pBdr>
          <w:bottom w:val="single" w:color="1D9E75" w:sz="6" w:space="1"/>
        </w:pBdr>
        <w:spacing w:before="220" w:after="120"/>
      </w:pPr>
      <w:r>
        <w:rPr>
          <w:rFonts w:ascii="Arial" w:cs="Arial" w:eastAsia="Arial" w:hAnsi="Arial"/>
          <w:b/>
          <w:bCs/>
          <w:color w:val="1D9E75"/>
          <w:sz w:val="24"/>
          <w:szCs w:val="24"/>
        </w:rPr>
        <w:t xml:space="preserve">B.2.1  Portail institutionnel SoBAPS — gratuit</w:t>
      </w:r>
    </w:p>
    <w:p>
      <w:pPr>
        <w:pStyle w:val="ListParagraph"/>
        <w:numPr>
          <w:ilvl w:val="0"/>
          <w:numId w:val="2"/>
        </w:numPr>
        <w:spacing w:before="0" w:after="100"/>
      </w:pPr>
      <w:r>
        <w:rPr>
          <w:rFonts w:ascii="Arial" w:cs="Arial" w:eastAsia="Arial" w:hAnsi="Arial"/>
          <w:color w:val="1A1A1A"/>
          <w:sz w:val="22"/>
          <w:szCs w:val="22"/>
        </w:rPr>
        <w:t xml:space="preserve">Confirmation de réception en temps réel pour chaque livraison vers une officine abonnée MédiHelm.</w:t>
      </w:r>
    </w:p>
    <w:p>
      <w:pPr>
        <w:pStyle w:val="ListParagraph"/>
        <w:numPr>
          <w:ilvl w:val="0"/>
          <w:numId w:val="2"/>
        </w:numPr>
        <w:spacing w:before="0" w:after="100"/>
      </w:pPr>
      <w:r>
        <w:rPr>
          <w:rFonts w:ascii="Arial" w:cs="Arial" w:eastAsia="Arial" w:hAnsi="Arial"/>
          <w:color w:val="1A1A1A"/>
          <w:sz w:val="22"/>
          <w:szCs w:val="22"/>
        </w:rPr>
        <w:t xml:space="preserve">Taux de confirmation global par période, par département, par zone de livraison.</w:t>
      </w:r>
    </w:p>
    <w:p>
      <w:pPr>
        <w:pStyle w:val="ListParagraph"/>
        <w:numPr>
          <w:ilvl w:val="0"/>
          <w:numId w:val="2"/>
        </w:numPr>
        <w:spacing w:before="0" w:after="100"/>
      </w:pPr>
      <w:r>
        <w:rPr>
          <w:rFonts w:ascii="Arial" w:cs="Arial" w:eastAsia="Arial" w:hAnsi="Arial"/>
          <w:color w:val="1A1A1A"/>
          <w:sz w:val="22"/>
          <w:szCs w:val="22"/>
        </w:rPr>
        <w:t xml:space="preserve">Rapport d'écarts : quantités manquantes, produits non conformes, motifs — exportable Excel/PDF.</w:t>
      </w:r>
    </w:p>
    <w:p>
      <w:pPr>
        <w:pStyle w:val="ListParagraph"/>
        <w:numPr>
          <w:ilvl w:val="0"/>
          <w:numId w:val="2"/>
        </w:numPr>
        <w:spacing w:before="0" w:after="100"/>
      </w:pPr>
      <w:r>
        <w:rPr>
          <w:rFonts w:ascii="Arial" w:cs="Arial" w:eastAsia="Arial" w:hAnsi="Arial"/>
          <w:color w:val="1A1A1A"/>
          <w:sz w:val="22"/>
          <w:szCs w:val="22"/>
        </w:rPr>
        <w:t xml:space="preserve">Tableau de bord de couverture : carte des officines abonnées ayant confirmé une livraison.</w:t>
      </w:r>
    </w:p>
    <w:p>
      <w:pPr>
        <w:pStyle w:val="ListParagraph"/>
        <w:numPr>
          <w:ilvl w:val="0"/>
          <w:numId w:val="2"/>
        </w:numPr>
        <w:spacing w:before="0" w:after="100"/>
      </w:pPr>
      <w:r>
        <w:rPr>
          <w:rFonts w:ascii="Arial" w:cs="Arial" w:eastAsia="Arial" w:hAnsi="Arial"/>
          <w:color w:val="1A1A1A"/>
          <w:sz w:val="22"/>
          <w:szCs w:val="22"/>
        </w:rPr>
        <w:t xml:space="preserve">Export complet des données de traçabilité pour les rapports d'audit.</w:t>
      </w:r>
    </w:p>
    <w:p>
      <w:pPr>
        <w:spacing w:before="0" w:after="80"/>
      </w:pPr>
      <w:r>
        <w:t xml:space="preserve"/>
      </w:r>
    </w:p>
    <w:p>
      <w:pPr>
        <w:pStyle w:val="Heading2"/>
        <w:pBdr>
          <w:bottom w:val="single" w:color="1D9E75" w:sz="6" w:space="1"/>
        </w:pBdr>
        <w:spacing w:before="220" w:after="120"/>
      </w:pPr>
      <w:r>
        <w:rPr>
          <w:rFonts w:ascii="Arial" w:cs="Arial" w:eastAsia="Arial" w:hAnsi="Arial"/>
          <w:b/>
          <w:bCs/>
          <w:color w:val="1D9E75"/>
          <w:sz w:val="24"/>
          <w:szCs w:val="24"/>
        </w:rPr>
        <w:t xml:space="preserve">B.2.2  Intégration technique progressive</w:t>
      </w:r>
    </w:p>
    <w:p>
      <w:pPr>
        <w:spacing w:before="0" w:after="160"/>
        <w:jc w:val="both"/>
      </w:pPr>
      <w:r>
        <w:rPr>
          <w:rFonts w:ascii="Arial" w:cs="Arial" w:eastAsia="Arial" w:hAnsi="Arial"/>
          <w:color w:val="1A1A1A"/>
          <w:sz w:val="22"/>
          <w:szCs w:val="22"/>
        </w:rPr>
        <w:t xml:space="preserve">Dans un premier temps, la réception se fait manuellement dans MédiHelm par le pharmacien. Dans un second temps, si la SoBAPS dispose d'une API ou d'un système d'information, une intégration automatique peut être mise en place pour que les bons de livraison soient pré-chargés dans MédiHelm avant même l'arrivée du camion de livraison.</w:t>
      </w:r>
    </w:p>
    <w:p>
      <w:pPr>
        <w:spacing w:before="0" w:after="80"/>
      </w:pPr>
      <w:r>
        <w:t xml:space="preserve"/>
      </w:r>
    </w:p>
    <w:p>
      <w:pPr>
        <w:pStyle w:val="Heading1"/>
        <w:spacing w:before="360" w:after="180"/>
      </w:pPr>
      <w:r>
        <w:rPr>
          <w:rFonts w:ascii="Arial" w:cs="Arial" w:eastAsia="Arial" w:hAnsi="Arial"/>
          <w:b/>
          <w:bCs/>
          <w:color w:val="085041"/>
          <w:sz w:val="28"/>
          <w:szCs w:val="28"/>
        </w:rPr>
        <w:t xml:space="preserve">B.3  Ce que MédiHelm sollicite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Sollicitation</w:t>
            </w:r>
          </w:p>
        </w:tc>
        <w:tc>
          <w:tcPr>
            <w:tcW w:type="dxa" w:w="5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Portée</w:t>
            </w:r>
          </w:p>
        </w:tc>
      </w:tr>
      <w:tr>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Recommandation de MédiHelm aux officines privées clientes SoBAPS</w:t>
            </w:r>
          </w:p>
        </w:tc>
        <w:tc>
          <w:tcPr>
            <w:tcW w:type="dxa" w:w="5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Toutes les officines privées approvisionnées par la SoBAPS</w:t>
            </w:r>
          </w:p>
        </w:tc>
      </w:tr>
      <w:tr>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Mention de partenariat dans les communications SoBAPS</w:t>
            </w:r>
          </w:p>
        </w:tc>
        <w:tc>
          <w:tcPr>
            <w:tcW w:type="dxa" w:w="5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Documents institutionnels et commerciaux SoBAPS</w:t>
            </w:r>
          </w:p>
        </w:tc>
      </w:tr>
      <w:tr>
        <w:tc>
          <w:tcPr>
            <w:tcW w:type="dxa" w:w="3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Partage du référentiel MEG (liste produits + références)</w:t>
            </w:r>
          </w:p>
        </w:tc>
        <w:tc>
          <w:tcPr>
            <w:tcW w:type="dxa" w:w="5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Pour pré-remplissage du module de réception MédiHelm</w:t>
            </w:r>
          </w:p>
        </w:tc>
      </w:tr>
      <w:tr>
        <w:tc>
          <w:tcPr>
            <w:tcW w:type="dxa" w:w="3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Désignation d'un point focal technique SoBAPS</w:t>
            </w:r>
          </w:p>
        </w:tc>
        <w:tc>
          <w:tcPr>
            <w:tcW w:type="dxa" w:w="5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Coordination pour l'intégration technique</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B.4  Coût et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Accès au portail MédiHelm Institutionnel : entièrement gratuit pour la SoBAPS.</w:t>
            </w:r>
          </w:p>
          <w:p>
            <w:pPr>
              <w:spacing w:before="0" w:after="80"/>
            </w:pPr>
            <w:r>
              <w:rPr>
                <w:rFonts w:ascii="Arial" w:cs="Arial" w:eastAsia="Arial" w:hAnsi="Arial"/>
                <w:i/>
                <w:iCs/>
                <w:color w:val="085041"/>
                <w:sz w:val="21"/>
                <w:szCs w:val="21"/>
              </w:rPr>
              <w:t xml:space="preserve">Aucune contribution financière n'est demandée.</w:t>
            </w:r>
          </w:p>
          <w:p>
            <w:pPr>
              <w:spacing w:before="0" w:after="80"/>
            </w:pPr>
            <w:r>
              <w:rPr>
                <w:rFonts w:ascii="Arial" w:cs="Arial" w:eastAsia="Arial" w:hAnsi="Arial"/>
                <w:i/>
                <w:iCs/>
                <w:color w:val="085041"/>
                <w:sz w:val="21"/>
                <w:szCs w:val="21"/>
              </w:rPr>
              <w:t xml:space="preserve">Ce partenariat est fondé exclusivement sur la valeur partagée pour la traçabilité pharmaceutique au Bénin.</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B.5  Prochaines étapes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426"/>
      </w:tblGrid>
      <w:tr>
        <w:trPr>
          <w:tblHeader/>
        </w:trPr>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Délai</w:t>
            </w:r>
          </w:p>
        </w:tc>
        <w:tc>
          <w:tcPr>
            <w:tcW w:type="dxa" w:w="6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Accord de principe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1</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Signature protocole — désignation points focaux — partage référentiel MEG</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Paramétrage portail</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2</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Configuration espace SoBAPS — test sur 5 officines pilotes à Cotonou</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Pilote fermé</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3-5</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Collecte confirmations pilotes — ajustements — rapport pilote</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Recommandation officielle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6+</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La SoBAPS recommande MédiHelm à son réseau d'officines privées</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Intégration API (optionnel)</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Mois 8+</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Automatisation complète si API SoBAPS disponible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6"/>
              <w:bottom w:val="single" w:color="1B6B3A" w:sz="6"/>
              <w:right w:val="single" w:color="1B6B3A" w:sz="6"/>
            </w:tcBorders>
            <w:shd w:fill="E8F5EE" w:val="clear"/>
            <w:tcMar>
              <w:top w:type="dxa" w:w="160"/>
              <w:left w:type="dxa" w:w="240"/>
              <w:bottom w:type="dxa" w:w="160"/>
              <w:right w:type="dxa" w:w="240"/>
            </w:tcMar>
          </w:tcPr>
          <w:p>
            <w:pPr>
              <w:spacing w:before="0" w:after="80"/>
            </w:pPr>
            <w:r>
              <w:rPr>
                <w:rFonts w:ascii="Arial" w:cs="Arial" w:eastAsia="Arial" w:hAnsi="Arial"/>
                <w:color w:val="1B6B3A"/>
                <w:sz w:val="21"/>
                <w:szCs w:val="21"/>
              </w:rPr>
              <w:t xml:space="preserve">DAWES — Fondateur, YEHI OR Tech</w:t>
            </w:r>
          </w:p>
          <w:p>
            <w:pPr>
              <w:spacing w:before="0" w:after="80"/>
            </w:pPr>
            <w:r>
              <w:rPr>
                <w:rFonts w:ascii="Arial" w:cs="Arial" w:eastAsia="Arial" w:hAnsi="Arial"/>
                <w:color w:val="1B6B3A"/>
                <w:sz w:val="21"/>
                <w:szCs w:val="21"/>
              </w:rPr>
              <w:t xml:space="preserve">Email : [votre.email@yehiortech.com]</w:t>
            </w:r>
          </w:p>
          <w:p>
            <w:pPr>
              <w:spacing w:before="0" w:after="80"/>
            </w:pPr>
            <w:r>
              <w:rPr>
                <w:rFonts w:ascii="Arial" w:cs="Arial" w:eastAsia="Arial" w:hAnsi="Arial"/>
                <w:color w:val="1B6B3A"/>
                <w:sz w:val="21"/>
                <w:szCs w:val="21"/>
              </w:rPr>
              <w:t xml:space="preserve">Téléphone : [+229 XX XX XX XX]</w:t>
            </w:r>
          </w:p>
          <w:p>
            <w:pPr>
              <w:spacing w:before="0" w:after="80"/>
            </w:pPr>
            <w:r>
              <w:rPr>
                <w:rFonts w:ascii="Arial" w:cs="Arial" w:eastAsia="Arial" w:hAnsi="Arial"/>
                <w:color w:val="1B6B3A"/>
                <w:sz w:val="21"/>
                <w:szCs w:val="21"/>
              </w:rPr>
              <w:t xml:space="preserve">Cotonou, République du Bénin</w:t>
            </w:r>
          </w:p>
        </w:tc>
      </w:tr>
    </w:tbl>
    <w:p>
      <w:r>
        <w:br w:type="page"/>
      </w:r>
    </w:p>
    <w:p>
      <w:pPr>
        <w:sectPr>
          <w:headerReference w:type="default" r:id="rId8"/>
          <w:footerReference w:type="default" r:id="rId9"/>
          <w:pgSz w:w="11906" w:h="16838" w:orient="portrait"/>
          <w:pgMar w:top="1440" w:right="1440" w:bottom="1440" w:left="1440" w:header="708" w:footer="708" w:gutter="0"/>
          <w:pgNumType/>
          <w:docGrid w:linePitch="360"/>
        </w:sectPr>
      </w:pPr>
    </w:p>
    <w:p>
      <w:pPr>
        <w:spacing w:before="0" w:after="60"/>
        <w:jc w:val="center"/>
      </w:pPr>
      <w:r>
        <w:rPr>
          <w:rFonts w:ascii="Arial" w:cs="Arial" w:eastAsia="Arial" w:hAnsi="Arial"/>
          <w:b/>
          <w:bCs/>
          <w:color w:val="FFFFFF"/>
          <w:sz w:val="20"/>
          <w:szCs w:val="20"/>
          <w:shd w:fill="1D9E75" w:val="clear"/>
        </w:rPr>
        <w:t xml:space="preserve">ANNEXE C</w:t>
      </w:r>
    </w:p>
    <w:p>
      <w:pPr>
        <w:spacing w:before="0" w:after="200"/>
        <w:jc w:val="center"/>
      </w:pPr>
      <w:r>
        <w:rPr>
          <w:rFonts w:ascii="Arial" w:cs="Arial" w:eastAsia="Arial" w:hAnsi="Arial"/>
          <w:b/>
          <w:bCs/>
          <w:color w:val="085041"/>
          <w:sz w:val="26"/>
          <w:szCs w:val="26"/>
        </w:rPr>
        <w:t xml:space="preserve">Fiche technique — Module traçabilité livraisons SoBAPS</w:t>
      </w:r>
    </w:p>
    <w:p>
      <w:pPr>
        <w:pBdr>
          <w:bottom w:val="single" w:color="1D9E75" w:sz="8" w:space="1"/>
        </w:pBdr>
        <w:spacing w:before="0" w:after="300"/>
        <w:jc w:val="center"/>
      </w:pPr>
      <w:r>
        <w:t xml:space="preserve"/>
      </w:r>
    </w:p>
    <w:p>
      <w:pPr>
        <w:spacing w:before="0" w:after="80"/>
      </w:pPr>
      <w:r>
        <w:t xml:space="preserve"/>
      </w:r>
    </w:p>
    <w:p>
      <w:pPr>
        <w:pStyle w:val="Heading1"/>
        <w:spacing w:before="360" w:after="180"/>
      </w:pPr>
      <w:r>
        <w:rPr>
          <w:rFonts w:ascii="Arial" w:cs="Arial" w:eastAsia="Arial" w:hAnsi="Arial"/>
          <w:b/>
          <w:bCs/>
          <w:color w:val="085041"/>
          <w:sz w:val="28"/>
          <w:szCs w:val="28"/>
        </w:rPr>
        <w:t xml:space="preserve">C.1  Processus de réception d'une livraison SoBAPS dans MédiHelm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826"/>
      </w:tblGrid>
      <w:tr>
        <w:trPr>
          <w:tblHeader/>
        </w:trPr>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Action pharmacien</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Résultat MédiHelm</w:t>
            </w:r>
          </w:p>
        </w:tc>
        <w:tc>
          <w:tcPr>
            <w:tcW w:type="dxa" w:w="2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Information SoBAPS</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1. Arrivée livraison</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Ouvre MédiHelm &gt; Réception &gt; Nouvelle livraison SoBAPS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Formulaire de réception affiché</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2. Saisie référence BL</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Saisit la référence du bon de livraison SoBAPS</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Pré-remplissage si référentiel SoBAPS disponible</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3. Vérification lignes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Confirme ou corrige quantités et lots reçus</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Calcul des écarts — alerte si lot sous surveillance DPMED</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w:t>
            </w:r>
          </w:p>
        </w:tc>
      </w:tr>
      <w:tr>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4. Validation</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Confirme la réception</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Mise à jour du stock — création des lots</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Confirmation automatique vers portail SoBAPS</w:t>
            </w:r>
          </w:p>
        </w:tc>
      </w:tr>
      <w:tr>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5. Ecart (si applicable)</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Saisit motif de l'écart</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Rapport d'écart généré</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Notification d'écart détaillée envoyée à la SoBAPS</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C.2  Données disponibles sur le portail SoBAPS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Donnée</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Visible par SoBAPS</w:t>
            </w:r>
          </w:p>
        </w:tc>
        <w:tc>
          <w:tcPr>
            <w:tcW w:type="dxa" w:w="4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Confirmation réception par officine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Officine, date, heure, statut conforme/écart</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Quantités réceptionnées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Par DCI, par lot, par officine</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Numéros de lot et dates d'expiration</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Enregistrés à la réception dans MédiHelm</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Ecarts signalés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Quantités manquantes, produits non conformes, motifs</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Taux global de confirmation</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085041"/>
                <w:sz w:val="21"/>
                <w:szCs w:val="21"/>
              </w:rPr>
              <w:t xml:space="preserve">Oui</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 officines abonnées ayant confirmé par période</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Données de vente de l'officine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E24B4A"/>
                <w:sz w:val="21"/>
                <w:szCs w:val="21"/>
              </w:rPr>
              <w:t xml:space="preserve">Non</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Aucune donnée commerciale transmise</w:t>
            </w:r>
          </w:p>
        </w:tc>
      </w:tr>
      <w:tr>
        <w:tc>
          <w:tcPr>
            <w:tcW w:type="dxa" w:w="3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Données financières de l'officine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bCs/>
                <w:i w:val="false"/>
                <w:iCs w:val="false"/>
                <w:color w:val="E24B4A"/>
                <w:sz w:val="21"/>
                <w:szCs w:val="21"/>
              </w:rPr>
              <w:t xml:space="preserve">Non</w:t>
            </w:r>
          </w:p>
        </w:tc>
        <w:tc>
          <w:tcPr>
            <w:tcW w:type="dxa" w:w="4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Aucune donnée financière transmise</w:t>
            </w:r>
          </w:p>
        </w:tc>
      </w:tr>
      <w:tr>
        <w:tc>
          <w:tcPr>
            <w:tcW w:type="dxa" w:w="3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Données patients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bCs/>
                <w:i w:val="false"/>
                <w:iCs w:val="false"/>
                <w:color w:val="E24B4A"/>
                <w:sz w:val="21"/>
                <w:szCs w:val="21"/>
              </w:rPr>
              <w:t xml:space="preserve">Non</w:t>
            </w:r>
          </w:p>
        </w:tc>
        <w:tc>
          <w:tcPr>
            <w:tcW w:type="dxa" w:w="4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Aucune donnée patient transmise</w:t>
            </w:r>
          </w:p>
        </w:tc>
      </w:tr>
    </w:tbl>
    <w:p>
      <w:pPr>
        <w:spacing w:before="0" w:after="80"/>
      </w:pPr>
      <w:r>
        <w:t xml:space="preserve"/>
      </w:r>
    </w:p>
    <w:p>
      <w:pPr>
        <w:pStyle w:val="Heading1"/>
        <w:spacing w:before="360" w:after="180"/>
      </w:pPr>
      <w:r>
        <w:rPr>
          <w:rFonts w:ascii="Arial" w:cs="Arial" w:eastAsia="Arial" w:hAnsi="Arial"/>
          <w:b/>
          <w:bCs/>
          <w:color w:val="085041"/>
          <w:sz w:val="28"/>
          <w:szCs w:val="28"/>
        </w:rPr>
        <w:t xml:space="preserve">C.3  Valeur pour les audits internationaux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Exigence auditeur</w:t>
            </w:r>
          </w:p>
        </w:tc>
        <w:tc>
          <w:tcPr>
            <w:tcW w:type="dxa" w:w="5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Comment MédiHelm y répond</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Fonds Mondial — Traçabilité bout en bout</w:t>
            </w:r>
          </w:p>
        </w:tc>
        <w:tc>
          <w:tcPr>
            <w:tcW w:type="dxa" w:w="5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Confirmation numérique de réception avec horodatage — export Excel pour rapport d'audit</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USAID — Qualité gestion des stocks aux points de distribution</w:t>
            </w:r>
          </w:p>
        </w:tc>
        <w:tc>
          <w:tcPr>
            <w:tcW w:type="dxa" w:w="5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Enregistrement automatique des lots et dates d'expiration — détection des écarts</w:t>
            </w:r>
          </w:p>
        </w:tc>
      </w:tr>
      <w:tr>
        <w:tc>
          <w:tcPr>
            <w:tcW w:type="dxa" w:w="3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UNITAID — Prévention des pertes et détournements</w:t>
            </w:r>
          </w:p>
        </w:tc>
        <w:tc>
          <w:tcPr>
            <w:tcW w:type="dxa" w:w="5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Réconciliation BL vs quantités reçues — écarts documentés en temps réel</w:t>
            </w:r>
          </w:p>
        </w:tc>
      </w:tr>
      <w:tr>
        <w:tc>
          <w:tcPr>
            <w:tcW w:type="dxa" w:w="3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BPD UEMOA — Traçabilité des numéros de lot</w:t>
            </w:r>
          </w:p>
        </w:tc>
        <w:tc>
          <w:tcPr>
            <w:tcW w:type="dxa" w:w="5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r>
              <w:rPr>
                <w:rFonts w:ascii="Arial" w:cs="Arial" w:eastAsia="Arial" w:hAnsi="Arial"/>
                <w:b w:val="false"/>
                <w:bCs w:val="false"/>
                <w:i w:val="false"/>
                <w:iCs w:val="false"/>
                <w:color w:val="1A1A1A"/>
                <w:sz w:val="21"/>
                <w:szCs w:val="21"/>
              </w:rPr>
              <w:t xml:space="preserve">Lots enregistrés à chaque réception — traçabilité jusqu'à la dispensation</w:t>
            </w:r>
          </w:p>
        </w:tc>
      </w:tr>
    </w:tbl>
    <w:p>
      <w:pPr>
        <w:spacing w:before="0" w:after="80"/>
      </w:pPr>
      <w:r>
        <w:t xml:space="preserve"/>
      </w:r>
    </w:p>
    <w:p>
      <w:pPr>
        <w:pBdr>
          <w:top w:val="single" w:color="9FE1CB" w:sz="4" w:space="1"/>
        </w:pBdr>
        <w:spacing w:before="200" w:after="80"/>
        <w:jc w:val="center"/>
      </w:pPr>
      <w:r>
        <w:rPr>
          <w:rFonts w:ascii="Arial" w:cs="Arial" w:eastAsia="Arial" w:hAnsi="Arial"/>
          <w:b/>
          <w:bCs/>
          <w:color w:val="1D9E75"/>
          <w:sz w:val="19"/>
          <w:szCs w:val="19"/>
        </w:rPr>
        <w:t xml:space="preserve">MédiHelm — YEHI OR Tech © 2025 — Cotonou, Bénin</w:t>
      </w:r>
    </w:p>
    <w:sectPr>
      <w:headerReference w:type="default" r:id="rId10"/>
      <w:footerReference w:type="default"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spacing w:before="100" w:after="0"/>
      <w:jc w:val="right"/>
    </w:pPr>
    <w:r>
      <w:rPr>
        <w:rFonts w:ascii="Arial" w:cs="Arial" w:eastAsia="Arial" w:hAnsi="Arial"/>
        <w:color w:val="5F5E5A"/>
        <w:sz w:val="16"/>
        <w:szCs w:val="16"/>
      </w:rPr>
      <w:t xml:space="preserve">Confidentiel — Dawes / YEHI OR Tech  |  Page </w:t>
    </w:r>
    <w:r>
      <w:rPr>
        <w:rFonts w:ascii="Arial" w:cs="Arial" w:eastAsia="Arial" w:hAnsi="Arial"/>
        <w:color w:val="1D9E75"/>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1D9E7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spacing w:before="100" w:after="0"/>
      <w:jc w:val="right"/>
    </w:pPr>
    <w:r>
      <w:rPr>
        <w:rFonts w:ascii="Arial" w:cs="Arial" w:eastAsia="Arial" w:hAnsi="Arial"/>
        <w:color w:val="5F5E5A"/>
        <w:sz w:val="16"/>
        <w:szCs w:val="16"/>
      </w:rPr>
      <w:t xml:space="preserve">Confidentiel — Dawes / YEHI OR Tech  |  Page </w:t>
    </w:r>
    <w:r>
      <w:rPr>
        <w:rFonts w:ascii="Arial" w:cs="Arial" w:eastAsia="Arial" w:hAnsi="Arial"/>
        <w:color w:val="1D9E75"/>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1D9E75"/>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spacing w:before="100" w:after="0"/>
      <w:jc w:val="right"/>
    </w:pPr>
    <w:r>
      <w:rPr>
        <w:rFonts w:ascii="Arial" w:cs="Arial" w:eastAsia="Arial" w:hAnsi="Arial"/>
        <w:color w:val="5F5E5A"/>
        <w:sz w:val="16"/>
        <w:szCs w:val="16"/>
      </w:rPr>
      <w:t xml:space="preserve">Confidentiel — Dawes / YEHI OR Tech  |  Page </w:t>
    </w:r>
    <w:r>
      <w:rPr>
        <w:rFonts w:ascii="Arial" w:cs="Arial" w:eastAsia="Arial" w:hAnsi="Arial"/>
        <w:color w:val="1D9E75"/>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 </w:t>
    </w:r>
    <w:r>
      <w:rPr>
        <w:rFonts w:ascii="Arial" w:cs="Arial" w:eastAsia="Arial" w:hAnsi="Arial"/>
        <w:color w:val="1D9E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8"/>
        <w:szCs w:val="18"/>
      </w:rPr>
      <w:t xml:space="preserve">MédiHelm — YEHI OR Tech  </w:t>
    </w:r>
    <w:r>
      <w:rPr>
        <w:rFonts w:ascii="Arial" w:cs="Arial" w:eastAsia="Arial" w:hAnsi="Arial"/>
        <w:color w:val="5F5E5A"/>
        <w:sz w:val="18"/>
        <w:szCs w:val="18"/>
      </w:rPr>
      <w:t xml:space="preserve">Dossier de partenariat — SoBAPS SA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8"/>
        <w:szCs w:val="18"/>
      </w:rPr>
      <w:t xml:space="preserve">MédiHelm — YEHI OR Tech  </w:t>
    </w:r>
    <w:r>
      <w:rPr>
        <w:rFonts w:ascii="Arial" w:cs="Arial" w:eastAsia="Arial" w:hAnsi="Arial"/>
        <w:color w:val="5F5E5A"/>
        <w:sz w:val="18"/>
        <w:szCs w:val="18"/>
      </w:rPr>
      <w:t xml:space="preserve">Dossier de partenariat — SoBAPS SA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8"/>
        <w:szCs w:val="18"/>
      </w:rPr>
      <w:t xml:space="preserve">MédiHelm — YEHI OR Tech  </w:t>
    </w:r>
    <w:r>
      <w:rPr>
        <w:rFonts w:ascii="Arial" w:cs="Arial" w:eastAsia="Arial" w:hAnsi="Arial"/>
        <w:color w:val="5F5E5A"/>
        <w:sz w:val="18"/>
        <w:szCs w:val="18"/>
      </w:rPr>
      <w:t xml:space="preserve">Dossier de partenariat — SoBAPS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28"/>
      <w:szCs w:val="28"/>
    </w:rPr>
  </w:style>
  <w:style w:type="paragraph" w:styleId="Heading2">
    <w:name w:val="Heading 2"/>
    <w:basedOn w:val="Normal"/>
    <w:next w:val="Normal"/>
    <w:qFormat/>
    <w:pPr>
      <w:spacing w:before="220" w:after="120"/>
      <w:outlineLvl w:val="1"/>
    </w:pPr>
    <w:rPr>
      <w:rFonts w:ascii="Arial" w:cs="Arial" w:eastAsia="Arial" w:hAnsi="Arial"/>
      <w:b/>
      <w:bCs/>
      <w:sz w:val="24"/>
      <w:szCs w:val="24"/>
    </w:rPr>
  </w:style>
  <w:style w:type="paragraph" w:styleId="Heading3">
    <w:name w:val="Heading 3"/>
    <w:basedOn w:val="Normal"/>
    <w:next w:val="Normal"/>
    <w:qFormat/>
    <w:pPr>
      <w:spacing w:before="16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2026-03-18T20:05:01.525Z</dcterms:created>
  <dcterms:modified xsi:type="dcterms:W3CDTF">2026-03-18T20:05:01.526Z</dcterms:modified>
</cp:coreProperties>
</file>

<file path=docProps/custom.xml><?xml version="1.0" encoding="utf-8"?>
<Properties xmlns="http://schemas.openxmlformats.org/officeDocument/2006/custom-properties" xmlns:vt="http://schemas.openxmlformats.org/officeDocument/2006/docPropsVTypes"/>
</file>