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B2B5E"/>
          <w:sz w:val="26"/>
          <w:szCs w:val="26"/>
        </w:rPr>
        <w:t xml:space="preserve">DAWES</w:t>
      </w:r>
    </w:p>
    <w:p>
      <w:pPr>
        <w:spacing w:before="0" w:after="40"/>
      </w:pPr>
      <w:r>
        <w:rPr>
          <w:rFonts w:ascii="Arial" w:cs="Arial" w:eastAsia="Arial" w:hAnsi="Arial"/>
          <w:color w:val="5F5E5A"/>
          <w:sz w:val="21"/>
          <w:szCs w:val="21"/>
        </w:rPr>
        <w:t xml:space="preserve">Fondateur — YEHI OR Tech</w:t>
      </w:r>
    </w:p>
    <w:p>
      <w:pPr>
        <w:spacing w:before="0" w:after="40"/>
      </w:pPr>
      <w:r>
        <w:rPr>
          <w:rFonts w:ascii="Arial" w:cs="Arial" w:eastAsia="Arial" w:hAnsi="Arial"/>
          <w:color w:val="5F5E5A"/>
          <w:sz w:val="21"/>
          <w:szCs w:val="21"/>
        </w:rPr>
        <w:t xml:space="preserve">Cotonou, République du Bénin</w:t>
      </w:r>
    </w:p>
    <w:p>
      <w:pPr>
        <w:spacing w:before="0" w:after="40"/>
      </w:pPr>
      <w:r>
        <w:rPr>
          <w:rFonts w:ascii="Arial" w:cs="Arial" w:eastAsia="Arial" w:hAnsi="Arial"/>
          <w:color w:val="5F5E5A"/>
          <w:sz w:val="21"/>
          <w:szCs w:val="21"/>
        </w:rPr>
        <w:t xml:space="preserve">Email : [votre.email@yehiortech.com]</w:t>
      </w:r>
    </w:p>
    <w:p>
      <w:pPr>
        <w:spacing w:before="0" w:after="40"/>
      </w:pPr>
      <w:r>
        <w:rPr>
          <w:rFonts w:ascii="Arial" w:cs="Arial" w:eastAsia="Arial" w:hAnsi="Arial"/>
          <w:color w:val="5F5E5A"/>
          <w:sz w:val="21"/>
          <w:szCs w:val="21"/>
        </w:rPr>
        <w:t xml:space="preserve">Téléphone : [+229 XX XX XX XX]</w:t>
      </w:r>
    </w:p>
    <w:p>
      <w:pPr>
        <w:spacing w:before="0" w:after="80"/>
      </w:pPr>
      <w:r>
        <w:t xml:space="preserve"/>
      </w:r>
    </w:p>
    <w:p>
      <w:pPr>
        <w:pBdr>
          <w:bottom w:val="single" w:color="1D9E75" w:sz="6" w:space="1"/>
        </w:pBdr>
        <w:spacing w:before="0" w:after="160"/>
      </w:pPr>
      <w:r>
        <w:t xml:space="preserve"/>
      </w:r>
    </w:p>
    <w:p>
      <w:pPr>
        <w:spacing w:before="0" w:after="80"/>
      </w:pPr>
      <w:r>
        <w:t xml:space="preserve"/>
      </w:r>
    </w:p>
    <w:p>
      <w:pPr>
        <w:spacing w:before="0" w:after="60"/>
      </w:pPr>
      <w:r>
        <w:rPr>
          <w:rFonts w:ascii="Arial" w:cs="Arial" w:eastAsia="Arial" w:hAnsi="Arial"/>
          <w:b/>
          <w:bCs/>
          <w:color w:val="1A1A1A"/>
          <w:sz w:val="22"/>
          <w:szCs w:val="22"/>
        </w:rPr>
        <w:t xml:space="preserve">Monsieur le Directeur</w:t>
      </w:r>
    </w:p>
    <w:p>
      <w:pPr>
        <w:spacing w:before="0" w:after="60"/>
      </w:pPr>
      <w:r>
        <w:rPr>
          <w:rFonts w:ascii="Arial" w:cs="Arial" w:eastAsia="Arial" w:hAnsi="Arial"/>
          <w:b/>
          <w:bCs/>
          <w:color w:val="1A1A1A"/>
          <w:sz w:val="22"/>
          <w:szCs w:val="22"/>
        </w:rPr>
        <w:t xml:space="preserve">Direction de la Pharmacie, du Médicament</w:t>
      </w:r>
    </w:p>
    <w:p>
      <w:pPr>
        <w:spacing w:before="0" w:after="60"/>
      </w:pPr>
      <w:r>
        <w:rPr>
          <w:rFonts w:ascii="Arial" w:cs="Arial" w:eastAsia="Arial" w:hAnsi="Arial"/>
          <w:b/>
          <w:bCs/>
          <w:color w:val="1A1A1A"/>
          <w:sz w:val="22"/>
          <w:szCs w:val="22"/>
        </w:rPr>
        <w:t xml:space="preserve">et des Explorations Diagnostiques (DPMED)</w:t>
      </w:r>
    </w:p>
    <w:p>
      <w:pPr>
        <w:spacing w:before="0" w:after="60"/>
      </w:pPr>
      <w:r>
        <w:rPr>
          <w:rFonts w:ascii="Arial" w:cs="Arial" w:eastAsia="Arial" w:hAnsi="Arial"/>
          <w:color w:val="1A1A1A"/>
          <w:sz w:val="22"/>
          <w:szCs w:val="22"/>
        </w:rPr>
        <w:t xml:space="preserve">Ministère de la Santé</w:t>
      </w:r>
    </w:p>
    <w:p>
      <w:pPr>
        <w:spacing w:before="0" w:after="60"/>
      </w:pPr>
      <w:r>
        <w:rPr>
          <w:rFonts w:ascii="Arial" w:cs="Arial" w:eastAsia="Arial" w:hAnsi="Arial"/>
          <w:color w:val="1A1A1A"/>
          <w:sz w:val="22"/>
          <w:szCs w:val="22"/>
        </w:rPr>
        <w:t xml:space="preserve">Cotonou, République du Bénin</w:t>
      </w:r>
    </w:p>
    <w:p>
      <w:pPr>
        <w:spacing w:before="0" w:after="80"/>
      </w:pPr>
      <w:r>
        <w:t xml:space="preserve"/>
      </w:r>
    </w:p>
    <w:p>
      <w:pPr>
        <w:spacing w:before="0" w:after="60"/>
      </w:pPr>
      <w:r>
        <w:rPr>
          <w:rFonts w:ascii="Arial" w:cs="Arial" w:eastAsia="Arial" w:hAnsi="Arial"/>
          <w:b/>
          <w:bCs/>
          <w:color w:val="1B2B5E"/>
          <w:sz w:val="22"/>
          <w:szCs w:val="22"/>
        </w:rPr>
        <w:t xml:space="preserve">Objet : </w:t>
      </w:r>
      <w:r>
        <w:rPr>
          <w:rFonts w:ascii="Arial" w:cs="Arial" w:eastAsia="Arial" w:hAnsi="Arial"/>
          <w:color w:val="1A1A1A"/>
          <w:sz w:val="22"/>
          <w:szCs w:val="22"/>
        </w:rPr>
        <w:t xml:space="preserve">Proposition de partenariat — MédiHelm, plateforme numérique de pharmacovigilance, de diffusion d'alertes pharmaceutiques et de traçabilité de la chaîne du médicament au Bénin</w:t>
      </w:r>
    </w:p>
    <w:p>
      <w:pPr>
        <w:spacing w:before="0" w:after="200"/>
      </w:pPr>
      <w:r>
        <w:rPr>
          <w:rFonts w:ascii="Arial" w:cs="Arial" w:eastAsia="Arial" w:hAnsi="Arial"/>
          <w:b/>
          <w:bCs/>
          <w:color w:val="1B2B5E"/>
          <w:sz w:val="22"/>
          <w:szCs w:val="22"/>
        </w:rPr>
        <w:t xml:space="preserve">Référence : </w:t>
      </w:r>
      <w:r>
        <w:rPr>
          <w:rFonts w:ascii="Arial" w:cs="Arial" w:eastAsia="Arial" w:hAnsi="Arial"/>
          <w:color w:val="1A1A1A"/>
          <w:sz w:val="22"/>
          <w:szCs w:val="22"/>
        </w:rPr>
        <w:t xml:space="preserve">MH-DPMED-2025-001</w:t>
      </w:r>
    </w:p>
    <w:p>
      <w:pPr>
        <w:spacing w:before="0" w:after="160"/>
        <w:jc w:val="both"/>
      </w:pPr>
      <w:r>
        <w:rPr>
          <w:rFonts w:ascii="Arial" w:cs="Arial" w:eastAsia="Arial" w:hAnsi="Arial"/>
          <w:color w:val="1A1A1A"/>
          <w:sz w:val="22"/>
          <w:szCs w:val="22"/>
        </w:rPr>
        <w:t xml:space="preserve">Monsieur le Directeur,</w:t>
      </w:r>
    </w:p>
    <w:p>
      <w:pPr>
        <w:spacing w:before="0" w:after="80"/>
      </w:pPr>
      <w:r>
        <w:t xml:space="preserve"/>
      </w:r>
    </w:p>
    <w:p>
      <w:pPr>
        <w:spacing w:before="0" w:after="160"/>
        <w:jc w:val="both"/>
      </w:pPr>
      <w:r>
        <w:rPr>
          <w:rFonts w:ascii="Arial" w:cs="Arial" w:eastAsia="Arial" w:hAnsi="Arial"/>
          <w:color w:val="1A1A1A"/>
          <w:sz w:val="22"/>
          <w:szCs w:val="22"/>
        </w:rPr>
        <w:t xml:space="preserve">J'ai l'honneur de vous soumettre la présente proposition de partenariat au nom de YEHI OR Tech, entreprise technologique béninoise dont je suis le fondateur. Cette démarche s'inscrit dans la continuité de mon engagement pour la santé publique au Bénin, engagement que j'ai eu l'opportunité de nourrir lors de mon stage universitaire au Laboratoire National de Contrôle Qualité des Médicaments et Consommables Médicaux (LNCQ), structure placée sous votre tutelle.</w:t>
      </w:r>
    </w:p>
    <w:p>
      <w:pPr>
        <w:spacing w:before="0" w:after="80"/>
      </w:pPr>
      <w:r>
        <w:t xml:space="preserve"/>
      </w:r>
    </w:p>
    <w:p>
      <w:pPr>
        <w:spacing w:before="0" w:after="160"/>
        <w:jc w:val="both"/>
      </w:pPr>
      <w:r>
        <w:rPr>
          <w:rFonts w:ascii="Arial" w:cs="Arial" w:eastAsia="Arial" w:hAnsi="Arial"/>
          <w:color w:val="1A1A1A"/>
          <w:sz w:val="22"/>
          <w:szCs w:val="22"/>
        </w:rPr>
        <w:t xml:space="preserve">C'est cette expérience au sein du Ministère de la Santé qui m'a permis de mesurer concrètement les difficultés opérationnelles auxquelles fait face la chaîne pharmaceutique béninoise : l'absence de canal numérique rapide pour la diffusion des alertes de retrait de lot aux officines, la collecte encore majoritairement papier des signalements de pharmacovigilance, et l'impossibilité pour les autorités sanitaires de mesurer en temps réel l'état d'approvisionnement des pharmacies sur le territoire national.</w:t>
      </w:r>
    </w:p>
    <w:p>
      <w:pPr>
        <w:spacing w:before="0" w:after="80"/>
      </w:pPr>
      <w:r>
        <w:t xml:space="preserve"/>
      </w:r>
    </w:p>
    <w:p>
      <w:pPr>
        <w:spacing w:before="0" w:after="160"/>
        <w:jc w:val="both"/>
      </w:pPr>
      <w:r>
        <w:rPr>
          <w:rFonts w:ascii="Arial" w:cs="Arial" w:eastAsia="Arial" w:hAnsi="Arial"/>
          <w:color w:val="1A1A1A"/>
          <w:sz w:val="22"/>
          <w:szCs w:val="22"/>
        </w:rPr>
        <w:t xml:space="preserve">C'est pour répondre à ces défis que YEHI OR Tech a conçu MédiHelm, une plateforme SaaS multitenant destinée à l'ensemble de l'écosystème pharmaceutique béninois. Au-delà de ses fonctions de gestion d'officine, MédiHelm intègre des modules institutionnels spécifiquement conçus pour renforcer votre capacité d'action en tant qu'autorité de tutelle :</w:t>
      </w:r>
    </w:p>
    <w:p>
      <w:pPr>
        <w:spacing w:before="0" w:after="80"/>
      </w:pPr>
      <w:r>
        <w:t xml:space="preserve"/>
      </w:r>
    </w:p>
    <w:p>
      <w:pPr>
        <w:pStyle w:val="ListParagraph"/>
        <w:numPr>
          <w:ilvl w:val="0"/>
          <w:numId w:val="2"/>
        </w:numPr>
        <w:spacing w:before="0" w:after="100"/>
      </w:pPr>
      <w:r>
        <w:rPr>
          <w:rFonts w:ascii="Arial" w:cs="Arial" w:eastAsia="Arial" w:hAnsi="Arial"/>
          <w:color w:val="1A1A1A"/>
          <w:sz w:val="22"/>
          <w:szCs w:val="22"/>
        </w:rPr>
        <w:t xml:space="preserve">un canal numérique de diffusion d'alertes pharmaceutiques permettant d'atteindre l'ensemble des pharmacies abonnées en moins de deux minutes, ainsi que les patients ayant acquis le médicament concerné ;</w:t>
      </w:r>
    </w:p>
    <w:p>
      <w:pPr>
        <w:pStyle w:val="ListParagraph"/>
        <w:numPr>
          <w:ilvl w:val="0"/>
          <w:numId w:val="2"/>
        </w:numPr>
        <w:spacing w:before="0" w:after="100"/>
      </w:pPr>
      <w:r>
        <w:rPr>
          <w:rFonts w:ascii="Arial" w:cs="Arial" w:eastAsia="Arial" w:hAnsi="Arial"/>
          <w:color w:val="1A1A1A"/>
          <w:sz w:val="22"/>
          <w:szCs w:val="22"/>
        </w:rPr>
        <w:t xml:space="preserve">un module de pharmacovigilance numérique permettant aux pharmaciens de soumettre leurs signalements d'effets indésirables directement depuis leur interface de gestion, dans le format requis par votre Direction ;</w:t>
      </w:r>
    </w:p>
    <w:p>
      <w:pPr>
        <w:pStyle w:val="ListParagraph"/>
        <w:numPr>
          <w:ilvl w:val="0"/>
          <w:numId w:val="2"/>
        </w:numPr>
        <w:spacing w:before="0" w:after="100"/>
      </w:pPr>
      <w:r>
        <w:rPr>
          <w:rFonts w:ascii="Arial" w:cs="Arial" w:eastAsia="Arial" w:hAnsi="Arial"/>
          <w:color w:val="1A1A1A"/>
          <w:sz w:val="22"/>
          <w:szCs w:val="22"/>
        </w:rPr>
        <w:t xml:space="preserve">une base de données de veille qualité alimentée par les alertes de votre Direction et du LNCQ, intégrée dans le quotidien de travail de chaque pharmacien abonné ;</w:t>
      </w:r>
    </w:p>
    <w:p>
      <w:pPr>
        <w:pStyle w:val="ListParagraph"/>
        <w:numPr>
          <w:ilvl w:val="0"/>
          <w:numId w:val="2"/>
        </w:numPr>
        <w:spacing w:before="0" w:after="100"/>
      </w:pPr>
      <w:r>
        <w:rPr>
          <w:rFonts w:ascii="Arial" w:cs="Arial" w:eastAsia="Arial" w:hAnsi="Arial"/>
          <w:color w:val="1A1A1A"/>
          <w:sz w:val="22"/>
          <w:szCs w:val="22"/>
        </w:rPr>
        <w:t xml:space="preserve">un module de conformité réglementaire permettant à chaque officine de générer en quelques secondes les documents exigés lors des inspections de votre Direction.</w:t>
      </w:r>
    </w:p>
    <w:p>
      <w:pPr>
        <w:spacing w:before="0" w:after="80"/>
      </w:pPr>
      <w:r>
        <w:t xml:space="preserve"/>
      </w:r>
    </w:p>
    <w:p>
      <w:pPr>
        <w:spacing w:before="0" w:after="160"/>
        <w:jc w:val="both"/>
      </w:pPr>
      <w:r>
        <w:rPr>
          <w:rFonts w:ascii="Arial" w:cs="Arial" w:eastAsia="Arial" w:hAnsi="Arial"/>
          <w:color w:val="1A1A1A"/>
          <w:sz w:val="22"/>
          <w:szCs w:val="22"/>
        </w:rPr>
        <w:t xml:space="preserve">Je suis convaincu que ces outils peuvent considérablement renforcer l'efficacité de vos interventions sur le terrain, sans représenter de charge financière pour votre Direction. L'accès de la DPMED à la plateforme MédiHelm est proposé à titre entièrement gratuit, dans le cadre d'un partenariat institutionnel dont les termes sont détaillés dans les annexes jointes au présent courrier.</w:t>
      </w:r>
    </w:p>
    <w:p>
      <w:pPr>
        <w:spacing w:before="0" w:after="80"/>
      </w:pPr>
      <w:r>
        <w:t xml:space="preserve"/>
      </w:r>
    </w:p>
    <w:p>
      <w:pPr>
        <w:spacing w:before="0" w:after="160"/>
        <w:jc w:val="both"/>
      </w:pPr>
      <w:r>
        <w:rPr>
          <w:rFonts w:ascii="Arial" w:cs="Arial" w:eastAsia="Arial" w:hAnsi="Arial"/>
          <w:color w:val="1A1A1A"/>
          <w:sz w:val="22"/>
          <w:szCs w:val="22"/>
        </w:rPr>
        <w:t xml:space="preserve">Je me tiens à votre disposition pour vous présenter une démonstration de la plateforme à la date et à l'heure qui vous conviendront. Je serais honoré que vous puissiez consacrer un moment à l'examen de cette proposition, dont je mesure l'importance pour l'amélioration de la surveillance pharmaceutique dans notre pays.</w:t>
      </w:r>
    </w:p>
    <w:p>
      <w:pPr>
        <w:spacing w:before="0" w:after="80"/>
      </w:pPr>
      <w:r>
        <w:t xml:space="preserve"/>
      </w:r>
    </w:p>
    <w:p>
      <w:pPr>
        <w:spacing w:before="0" w:after="160"/>
        <w:jc w:val="both"/>
      </w:pPr>
      <w:r>
        <w:rPr>
          <w:rFonts w:ascii="Arial" w:cs="Arial" w:eastAsia="Arial" w:hAnsi="Arial"/>
          <w:color w:val="1A1A1A"/>
          <w:sz w:val="22"/>
          <w:szCs w:val="22"/>
        </w:rPr>
        <w:t xml:space="preserve">Dans l'attente d'une suite favorable à la présente démarche, je vous prie d'agréer, Monsieur le Directeur, l'expression de ma très haute considération.</w:t>
      </w:r>
    </w:p>
    <w:p>
      <w:pPr>
        <w:spacing w:before="0" w:after="160"/>
      </w:pPr>
      <w:r>
        <w:t xml:space="preserve"/>
      </w:r>
    </w:p>
    <w:p>
      <w:pPr>
        <w:spacing w:before="0" w:after="60"/>
      </w:pPr>
      <w:r>
        <w:rPr>
          <w:rFonts w:ascii="Arial" w:cs="Arial" w:eastAsia="Arial" w:hAnsi="Arial"/>
          <w:color w:val="1A1A1A"/>
          <w:sz w:val="22"/>
          <w:szCs w:val="22"/>
        </w:rPr>
        <w:t xml:space="preserve">Fait à Cotonou, le _____ / _____ / 2025</w:t>
      </w:r>
    </w:p>
    <w:p>
      <w:pPr>
        <w:spacing w:before="0" w:after="160"/>
      </w:pPr>
      <w:r>
        <w:t xml:space="preserve"/>
      </w:r>
    </w:p>
    <w:p>
      <w:pPr>
        <w:spacing w:before="0" w:after="60"/>
      </w:pPr>
      <w:r>
        <w:rPr>
          <w:rFonts w:ascii="Arial" w:cs="Arial" w:eastAsia="Arial" w:hAnsi="Arial"/>
          <w:b/>
          <w:bCs/>
          <w:color w:val="1B2B5E"/>
          <w:sz w:val="22"/>
          <w:szCs w:val="22"/>
        </w:rPr>
        <w:t xml:space="preserve">DAWES</w:t>
      </w:r>
    </w:p>
    <w:p>
      <w:pPr>
        <w:spacing w:before="0" w:after="40"/>
      </w:pPr>
      <w:r>
        <w:rPr>
          <w:rFonts w:ascii="Arial" w:cs="Arial" w:eastAsia="Arial" w:hAnsi="Arial"/>
          <w:color w:val="5F5E5A"/>
          <w:sz w:val="21"/>
          <w:szCs w:val="21"/>
        </w:rPr>
        <w:t xml:space="preserve">Fondateur — YEHI OR Tech</w:t>
      </w:r>
    </w:p>
    <w:p>
      <w:pPr>
        <w:spacing w:before="0" w:after="40"/>
      </w:pPr>
      <w:r>
        <w:rPr>
          <w:rFonts w:ascii="Arial" w:cs="Arial" w:eastAsia="Arial" w:hAnsi="Arial"/>
          <w:i/>
          <w:iCs/>
          <w:color w:val="5F5E5A"/>
          <w:sz w:val="21"/>
          <w:szCs w:val="21"/>
        </w:rPr>
        <w:t xml:space="preserve">Ancien stagiaire — LNCQ / Ministère de la Santé du Bénin</w:t>
      </w:r>
    </w:p>
    <w:p>
      <w:pPr>
        <w:spacing w:before="0" w:after="160"/>
      </w:pPr>
      <w:r>
        <w:t xml:space="preserve"/>
      </w:r>
    </w:p>
    <w:p>
      <w:pPr>
        <w:pBdr>
          <w:top w:val="single" w:color="9FE1CB" w:sz="4" w:space="1"/>
        </w:pBdr>
        <w:spacing w:before="0" w:after="80"/>
      </w:pPr>
      <w:r>
        <w:rPr>
          <w:rFonts w:ascii="Arial" w:cs="Arial" w:eastAsia="Arial" w:hAnsi="Arial"/>
          <w:b/>
          <w:bCs/>
          <w:color w:val="1B2B5E"/>
          <w:sz w:val="21"/>
          <w:szCs w:val="21"/>
        </w:rPr>
        <w:t xml:space="preserve">Pièces jointes :</w:t>
      </w:r>
    </w:p>
    <w:p>
      <w:pPr>
        <w:spacing w:before="0" w:after="60"/>
      </w:pPr>
      <w:r>
        <w:rPr>
          <w:rFonts w:ascii="Arial" w:cs="Arial" w:eastAsia="Arial" w:hAnsi="Arial"/>
          <w:color w:val="1A1A1A"/>
          <w:sz w:val="21"/>
          <w:szCs w:val="21"/>
        </w:rPr>
        <w:t xml:space="preserve">Annexe A — Note de présentation de MédiHelm et de YEHI OR Tech</w:t>
      </w:r>
    </w:p>
    <w:p>
      <w:pPr>
        <w:spacing w:before="0" w:after="60"/>
      </w:pPr>
      <w:r>
        <w:rPr>
          <w:rFonts w:ascii="Arial" w:cs="Arial" w:eastAsia="Arial" w:hAnsi="Arial"/>
          <w:color w:val="1A1A1A"/>
          <w:sz w:val="21"/>
          <w:szCs w:val="21"/>
        </w:rPr>
        <w:t xml:space="preserve">Annexe B — Proposition de partenariat détaillée DPMED / MédiHelm</w:t>
      </w:r>
    </w:p>
    <w:p>
      <w:pPr>
        <w:spacing w:before="0" w:after="60"/>
      </w:pPr>
      <w:r>
        <w:rPr>
          <w:rFonts w:ascii="Arial" w:cs="Arial" w:eastAsia="Arial" w:hAnsi="Arial"/>
          <w:color w:val="1A1A1A"/>
          <w:sz w:val="21"/>
          <w:szCs w:val="21"/>
        </w:rPr>
        <w:t xml:space="preserve">Annexe C — Fiche technique des modules institutionnels (M16, M17, M18, M19)</w:t>
      </w:r>
    </w:p>
    <w:p>
      <w:r>
        <w:br w:type="page"/>
      </w:r>
    </w:p>
    <w:p>
      <w:pPr>
        <w:sectPr>
          <w:pgSz w:w="11906" w:h="16838" w:orient="portrait"/>
          <w:pgMar w:top="1800" w:right="1440" w:bottom="1440" w:left="1800" w:header="708" w:footer="708" w:gutter="0"/>
          <w:pgNumType/>
          <w:docGrid w:linePitch="360"/>
        </w:sectPr>
      </w:pPr>
    </w:p>
    <w:p>
      <w:pPr>
        <w:spacing w:before="0" w:after="60"/>
        <w:jc w:val="center"/>
      </w:pPr>
      <w:r>
        <w:rPr>
          <w:rFonts w:ascii="Arial" w:cs="Arial" w:eastAsia="Arial" w:hAnsi="Arial"/>
          <w:b/>
          <w:bCs/>
          <w:color w:val="FFFFFF"/>
          <w:sz w:val="20"/>
          <w:szCs w:val="20"/>
          <w:shd w:fill="1B2B5E" w:val="clear"/>
        </w:rPr>
        <w:t xml:space="preserve">ANNEXE A</w:t>
      </w:r>
    </w:p>
    <w:p>
      <w:pPr>
        <w:spacing w:before="0" w:after="200"/>
        <w:jc w:val="center"/>
      </w:pPr>
      <w:r>
        <w:rPr>
          <w:rFonts w:ascii="Arial" w:cs="Arial" w:eastAsia="Arial" w:hAnsi="Arial"/>
          <w:b/>
          <w:bCs/>
          <w:color w:val="1B2B5E"/>
          <w:sz w:val="30"/>
          <w:szCs w:val="30"/>
        </w:rPr>
        <w:t xml:space="preserve">Note de présentation</w:t>
      </w:r>
    </w:p>
    <w:p>
      <w:pPr>
        <w:spacing w:before="0" w:after="60"/>
        <w:jc w:val="center"/>
      </w:pPr>
      <w:r>
        <w:rPr>
          <w:rFonts w:ascii="Arial" w:cs="Arial" w:eastAsia="Arial" w:hAnsi="Arial"/>
          <w:i/>
          <w:iCs/>
          <w:color w:val="1D9E75"/>
          <w:sz w:val="24"/>
          <w:szCs w:val="24"/>
        </w:rPr>
        <w:t xml:space="preserve">MédiHelm et YEHI OR Tech</w:t>
      </w:r>
    </w:p>
    <w:p>
      <w:pPr>
        <w:pBdr>
          <w:bottom w:val="single" w:color="1D9E75" w:sz="8" w:space="1"/>
        </w:pBdr>
        <w:spacing w:before="0" w:after="300"/>
        <w:jc w:val="center"/>
      </w:pPr>
      <w:r>
        <w:t xml:space="preserve"/>
      </w:r>
    </w:p>
    <w:p>
      <w:pPr>
        <w:spacing w:before="0" w:after="80"/>
      </w:pPr>
      <w:r>
        <w:t xml:space="preserve"/>
      </w:r>
    </w:p>
    <w:p>
      <w:pPr>
        <w:pStyle w:val="Heading1"/>
        <w:spacing w:before="360" w:after="180"/>
      </w:pPr>
      <w:r>
        <w:rPr>
          <w:rFonts w:ascii="Arial" w:cs="Arial" w:eastAsia="Arial" w:hAnsi="Arial"/>
          <w:b/>
          <w:bCs/>
          <w:color w:val="1B2B5E"/>
          <w:sz w:val="28"/>
          <w:szCs w:val="28"/>
        </w:rPr>
        <w:t xml:space="preserve">A.1  Qui sommes-nous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5DED6" w:sz="6"/>
              <w:left w:val="single" w:color="C5DED6" w:sz="6"/>
              <w:bottom w:val="single" w:color="C5DED6" w:sz="6"/>
              <w:right w:val="single" w:color="C5DED6" w:sz="6"/>
            </w:tcBorders>
            <w:shd w:fill="E8ECF5" w:val="clear"/>
            <w:tcMar>
              <w:top w:type="dxa" w:w="80"/>
              <w:left w:type="dxa" w:w="120"/>
              <w:bottom w:type="dxa" w:w="80"/>
              <w:right w:type="dxa" w:w="120"/>
            </w:tcMar>
          </w:tcPr>
          <w:p>
            <w:r>
              <w:rPr>
                <w:rFonts w:ascii="Arial" w:cs="Arial" w:eastAsia="Arial" w:hAnsi="Arial"/>
                <w:b/>
                <w:bCs/>
                <w:color w:val="1B2B5E"/>
                <w:sz w:val="21"/>
                <w:szCs w:val="21"/>
              </w:rPr>
              <w:t xml:space="preserve">Structure</w:t>
            </w:r>
          </w:p>
        </w:tc>
        <w:tc>
          <w:tcPr>
            <w:tcW w:type="dxa" w:w="6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1A1A1A"/>
                <w:sz w:val="21"/>
                <w:szCs w:val="21"/>
              </w:rPr>
              <w:t xml:space="preserve">YEHI OR Tech — Entreprise technologique béninoise</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bCs/>
                <w:color w:val="1B2B5E"/>
                <w:sz w:val="21"/>
                <w:szCs w:val="21"/>
              </w:rPr>
              <w:t xml:space="preserve">Fondateur</w:t>
            </w:r>
          </w:p>
        </w:tc>
        <w:tc>
          <w:tcPr>
            <w:tcW w:type="dxa" w:w="6026"/>
            <w:tcBorders>
              <w:top w:val="single" w:color="C5DED6" w:sz="6"/>
              <w:left w:val="single" w:color="C5DED6" w:sz="6"/>
              <w:bottom w:val="single" w:color="C5DED6" w:sz="6"/>
              <w:right w:val="single" w:color="C5DED6" w:sz="6"/>
            </w:tcBorders>
            <w:shd w:fill="F5F5F4" w:val="clear"/>
            <w:tcMar>
              <w:top w:type="dxa" w:w="80"/>
              <w:left w:type="dxa" w:w="120"/>
              <w:bottom w:type="dxa" w:w="80"/>
              <w:right w:type="dxa" w:w="120"/>
            </w:tcMar>
          </w:tcPr>
          <w:p>
            <w:r>
              <w:rPr>
                <w:rFonts w:ascii="Arial" w:cs="Arial" w:eastAsia="Arial" w:hAnsi="Arial"/>
                <w:color w:val="1A1A1A"/>
                <w:sz w:val="21"/>
                <w:szCs w:val="21"/>
              </w:rPr>
              <w:t xml:space="preserve">Dawes — Ingénieur logiciel, Lead Developer</w:t>
            </w:r>
          </w:p>
        </w:tc>
      </w:tr>
      <w:tr>
        <w:tc>
          <w:tcPr>
            <w:tcW w:type="dxa" w:w="3000"/>
            <w:tcBorders>
              <w:top w:val="single" w:color="C5DED6" w:sz="6"/>
              <w:left w:val="single" w:color="C5DED6" w:sz="6"/>
              <w:bottom w:val="single" w:color="C5DED6" w:sz="6"/>
              <w:right w:val="single" w:color="C5DED6" w:sz="6"/>
            </w:tcBorders>
            <w:shd w:fill="E8ECF5" w:val="clear"/>
            <w:tcMar>
              <w:top w:type="dxa" w:w="80"/>
              <w:left w:type="dxa" w:w="120"/>
              <w:bottom w:type="dxa" w:w="80"/>
              <w:right w:type="dxa" w:w="120"/>
            </w:tcMar>
          </w:tcPr>
          <w:p>
            <w:r>
              <w:rPr>
                <w:rFonts w:ascii="Arial" w:cs="Arial" w:eastAsia="Arial" w:hAnsi="Arial"/>
                <w:b/>
                <w:bCs/>
                <w:color w:val="1B2B5E"/>
                <w:sz w:val="21"/>
                <w:szCs w:val="21"/>
              </w:rPr>
              <w:t xml:space="preserve">Profil institutionnel</w:t>
            </w:r>
          </w:p>
        </w:tc>
        <w:tc>
          <w:tcPr>
            <w:tcW w:type="dxa" w:w="6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1A1A1A"/>
                <w:sz w:val="21"/>
                <w:szCs w:val="21"/>
              </w:rPr>
              <w:t xml:space="preserve">Ancien stagiaire au Laboratoire National de Contrôle Qualité des Médicaments et Consommables Médicaux (LNCQ) — Ministère de la Santé du Bénin</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bCs/>
                <w:color w:val="1B2B5E"/>
                <w:sz w:val="21"/>
                <w:szCs w:val="21"/>
              </w:rPr>
              <w:t xml:space="preserve">Spécialité</w:t>
            </w:r>
          </w:p>
        </w:tc>
        <w:tc>
          <w:tcPr>
            <w:tcW w:type="dxa" w:w="6026"/>
            <w:tcBorders>
              <w:top w:val="single" w:color="C5DED6" w:sz="6"/>
              <w:left w:val="single" w:color="C5DED6" w:sz="6"/>
              <w:bottom w:val="single" w:color="C5DED6" w:sz="6"/>
              <w:right w:val="single" w:color="C5DED6" w:sz="6"/>
            </w:tcBorders>
            <w:shd w:fill="F5F5F4" w:val="clear"/>
            <w:tcMar>
              <w:top w:type="dxa" w:w="80"/>
              <w:left w:type="dxa" w:w="120"/>
              <w:bottom w:type="dxa" w:w="80"/>
              <w:right w:type="dxa" w:w="120"/>
            </w:tcMar>
          </w:tcPr>
          <w:p>
            <w:r>
              <w:rPr>
                <w:rFonts w:ascii="Arial" w:cs="Arial" w:eastAsia="Arial" w:hAnsi="Arial"/>
                <w:color w:val="1A1A1A"/>
                <w:sz w:val="21"/>
                <w:szCs w:val="21"/>
              </w:rPr>
              <w:t xml:space="preserve">Développement de plateformes SaaS sectorielles pour l'Afrique de l'Ouest</w:t>
            </w:r>
          </w:p>
        </w:tc>
      </w:tr>
      <w:tr>
        <w:tc>
          <w:tcPr>
            <w:tcW w:type="dxa" w:w="3000"/>
            <w:tcBorders>
              <w:top w:val="single" w:color="C5DED6" w:sz="6"/>
              <w:left w:val="single" w:color="C5DED6" w:sz="6"/>
              <w:bottom w:val="single" w:color="C5DED6" w:sz="6"/>
              <w:right w:val="single" w:color="C5DED6" w:sz="6"/>
            </w:tcBorders>
            <w:shd w:fill="E8ECF5" w:val="clear"/>
            <w:tcMar>
              <w:top w:type="dxa" w:w="80"/>
              <w:left w:type="dxa" w:w="120"/>
              <w:bottom w:type="dxa" w:w="80"/>
              <w:right w:type="dxa" w:w="120"/>
            </w:tcMar>
          </w:tcPr>
          <w:p>
            <w:r>
              <w:rPr>
                <w:rFonts w:ascii="Arial" w:cs="Arial" w:eastAsia="Arial" w:hAnsi="Arial"/>
                <w:b/>
                <w:bCs/>
                <w:color w:val="1B2B5E"/>
                <w:sz w:val="21"/>
                <w:szCs w:val="21"/>
              </w:rPr>
              <w:t xml:space="preserve">Produit phare</w:t>
            </w:r>
          </w:p>
        </w:tc>
        <w:tc>
          <w:tcPr>
            <w:tcW w:type="dxa" w:w="6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1A1A1A"/>
                <w:sz w:val="21"/>
                <w:szCs w:val="21"/>
              </w:rPr>
              <w:t xml:space="preserve">Academia Helm — ERP pour les établissements scolaires privés, en cours de déploiement</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bCs/>
                <w:color w:val="1B2B5E"/>
                <w:sz w:val="21"/>
                <w:szCs w:val="21"/>
              </w:rPr>
              <w:t xml:space="preserve">Second produit</w:t>
            </w:r>
          </w:p>
        </w:tc>
        <w:tc>
          <w:tcPr>
            <w:tcW w:type="dxa" w:w="6026"/>
            <w:tcBorders>
              <w:top w:val="single" w:color="C5DED6" w:sz="6"/>
              <w:left w:val="single" w:color="C5DED6" w:sz="6"/>
              <w:bottom w:val="single" w:color="C5DED6" w:sz="6"/>
              <w:right w:val="single" w:color="C5DED6" w:sz="6"/>
            </w:tcBorders>
            <w:shd w:fill="F5F5F4" w:val="clear"/>
            <w:tcMar>
              <w:top w:type="dxa" w:w="80"/>
              <w:left w:type="dxa" w:w="120"/>
              <w:bottom w:type="dxa" w:w="80"/>
              <w:right w:type="dxa" w:w="120"/>
            </w:tcMar>
          </w:tcPr>
          <w:p>
            <w:r>
              <w:rPr>
                <w:rFonts w:ascii="Arial" w:cs="Arial" w:eastAsia="Arial" w:hAnsi="Arial"/>
                <w:color w:val="1A1A1A"/>
                <w:sz w:val="21"/>
                <w:szCs w:val="21"/>
              </w:rPr>
              <w:t xml:space="preserve">MédiHelm — Ecosystème pharmaceutique numérique</w:t>
            </w:r>
          </w:p>
        </w:tc>
      </w:tr>
      <w:tr>
        <w:tc>
          <w:tcPr>
            <w:tcW w:type="dxa" w:w="3000"/>
            <w:tcBorders>
              <w:top w:val="single" w:color="C5DED6" w:sz="6"/>
              <w:left w:val="single" w:color="C5DED6" w:sz="6"/>
              <w:bottom w:val="single" w:color="C5DED6" w:sz="6"/>
              <w:right w:val="single" w:color="C5DED6" w:sz="6"/>
            </w:tcBorders>
            <w:shd w:fill="E8ECF5" w:val="clear"/>
            <w:tcMar>
              <w:top w:type="dxa" w:w="80"/>
              <w:left w:type="dxa" w:w="120"/>
              <w:bottom w:type="dxa" w:w="80"/>
              <w:right w:type="dxa" w:w="120"/>
            </w:tcMar>
          </w:tcPr>
          <w:p>
            <w:r>
              <w:rPr>
                <w:rFonts w:ascii="Arial" w:cs="Arial" w:eastAsia="Arial" w:hAnsi="Arial"/>
                <w:b/>
                <w:bCs/>
                <w:color w:val="1B2B5E"/>
                <w:sz w:val="21"/>
                <w:szCs w:val="21"/>
              </w:rPr>
              <w:t xml:space="preserve">Siège</w:t>
            </w:r>
          </w:p>
        </w:tc>
        <w:tc>
          <w:tcPr>
            <w:tcW w:type="dxa" w:w="6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1A1A1A"/>
                <w:sz w:val="21"/>
                <w:szCs w:val="21"/>
              </w:rPr>
              <w:t xml:space="preserve">Cotonou, République du Bénin</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bCs/>
                <w:color w:val="1B2B5E"/>
                <w:sz w:val="21"/>
                <w:szCs w:val="21"/>
              </w:rPr>
              <w:t xml:space="preserve">Technologies</w:t>
            </w:r>
          </w:p>
        </w:tc>
        <w:tc>
          <w:tcPr>
            <w:tcW w:type="dxa" w:w="6026"/>
            <w:tcBorders>
              <w:top w:val="single" w:color="C5DED6" w:sz="6"/>
              <w:left w:val="single" w:color="C5DED6" w:sz="6"/>
              <w:bottom w:val="single" w:color="C5DED6" w:sz="6"/>
              <w:right w:val="single" w:color="C5DED6" w:sz="6"/>
            </w:tcBorders>
            <w:shd w:fill="F5F5F4" w:val="clear"/>
            <w:tcMar>
              <w:top w:type="dxa" w:w="80"/>
              <w:left w:type="dxa" w:w="120"/>
              <w:bottom w:type="dxa" w:w="80"/>
              <w:right w:type="dxa" w:w="120"/>
            </w:tcMar>
          </w:tcPr>
          <w:p>
            <w:r>
              <w:rPr>
                <w:rFonts w:ascii="Arial" w:cs="Arial" w:eastAsia="Arial" w:hAnsi="Arial"/>
                <w:color w:val="1A1A1A"/>
                <w:sz w:val="21"/>
                <w:szCs w:val="21"/>
              </w:rPr>
              <w:t xml:space="preserve">Next.js · NestJS · PostgreSQL · Prisma · Fedapay (Wave, MTN Money, Moov Money)</w:t>
            </w:r>
          </w:p>
        </w:tc>
      </w:tr>
    </w:tbl>
    <w:p>
      <w:pPr>
        <w:spacing w:before="0" w:after="80"/>
      </w:pPr>
      <w:r>
        <w:t xml:space="preserve"/>
      </w:r>
    </w:p>
    <w:p>
      <w:pPr>
        <w:pStyle w:val="Heading1"/>
        <w:spacing w:before="360" w:after="180"/>
      </w:pPr>
      <w:r>
        <w:rPr>
          <w:rFonts w:ascii="Arial" w:cs="Arial" w:eastAsia="Arial" w:hAnsi="Arial"/>
          <w:b/>
          <w:bCs/>
          <w:color w:val="1B2B5E"/>
          <w:sz w:val="28"/>
          <w:szCs w:val="28"/>
        </w:rPr>
        <w:t xml:space="preserve">A.2  Qu'est-ce que MédiHelm ?</w:t>
      </w:r>
    </w:p>
    <w:p>
      <w:pPr>
        <w:spacing w:before="0" w:after="160"/>
        <w:jc w:val="both"/>
      </w:pPr>
      <w:r>
        <w:rPr>
          <w:rFonts w:ascii="Arial" w:cs="Arial" w:eastAsia="Arial" w:hAnsi="Arial"/>
          <w:color w:val="1A1A1A"/>
          <w:sz w:val="22"/>
          <w:szCs w:val="22"/>
        </w:rPr>
        <w:t xml:space="preserve">MédiHelm est une plateforme numérique multitenant dédiée à l'écosystème pharmaceutique béninois. Elle connecte, sur un seul système, les pharmacies d'officine, leurs patients, les grossistes répartisseurs, et les institutions de tutelle que sont la DPMED, la SoBAPS et l'ABRP.</w:t>
      </w:r>
    </w:p>
    <w:p>
      <w:pPr>
        <w:spacing w:before="0" w:after="80"/>
      </w:pPr>
      <w:r>
        <w:t xml:space="preserve"/>
      </w:r>
    </w:p>
    <w:p>
      <w:pPr>
        <w:spacing w:before="0" w:after="160"/>
        <w:jc w:val="both"/>
      </w:pPr>
      <w:r>
        <w:rPr>
          <w:rFonts w:ascii="Arial" w:cs="Arial" w:eastAsia="Arial" w:hAnsi="Arial"/>
          <w:color w:val="1A1A1A"/>
          <w:sz w:val="22"/>
          <w:szCs w:val="22"/>
        </w:rPr>
        <w:t xml:space="preserve">MédiHelm repose sur une conviction simple : la sécurité du médicament au Bénin ne peut progresser que si les acteurs de la chaîne disposent d'outils numériques adaptés à leur réalité — des outils abordables, fonctionnels sans connexion permanente, et directement connectés aux autorités sanitaires.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2B5E" w:sz="6"/>
              <w:left w:val="single" w:color="1B2B5E" w:sz="6"/>
              <w:bottom w:val="single" w:color="1B2B5E" w:sz="6"/>
              <w:right w:val="single" w:color="1B2B5E" w:sz="6"/>
            </w:tcBorders>
            <w:shd w:fill="E8ECF5" w:val="clear"/>
            <w:tcMar>
              <w:top w:type="dxa" w:w="160"/>
              <w:left w:type="dxa" w:w="240"/>
              <w:bottom w:type="dxa" w:w="160"/>
              <w:right w:type="dxa" w:w="240"/>
            </w:tcMar>
          </w:tcPr>
          <w:p>
            <w:pPr>
              <w:spacing w:before="0" w:after="80"/>
            </w:pPr>
            <w:r>
              <w:rPr>
                <w:rFonts w:ascii="Arial" w:cs="Arial" w:eastAsia="Arial" w:hAnsi="Arial"/>
                <w:color w:val="1B2B5E"/>
                <w:sz w:val="21"/>
                <w:szCs w:val="21"/>
              </w:rPr>
              <w:t xml:space="preserve">MédiHelm n'est pas un simple logiciel de gestion de pharmacie.</w:t>
            </w:r>
          </w:p>
          <w:p>
            <w:pPr>
              <w:spacing w:before="0" w:after="80"/>
            </w:pPr>
            <w:r>
              <w:rPr>
                <w:rFonts w:ascii="Arial" w:cs="Arial" w:eastAsia="Arial" w:hAnsi="Arial"/>
                <w:color w:val="1B2B5E"/>
                <w:sz w:val="21"/>
                <w:szCs w:val="21"/>
              </w:rPr>
              <w:t xml:space="preserve">C'est l'infrastructure numérique de la chaîne pharmaceutique béninoise,</w:t>
            </w:r>
          </w:p>
          <w:p>
            <w:pPr>
              <w:spacing w:before="0" w:after="80"/>
            </w:pPr>
            <w:r>
              <w:rPr>
                <w:rFonts w:ascii="Arial" w:cs="Arial" w:eastAsia="Arial" w:hAnsi="Arial"/>
                <w:color w:val="1B2B5E"/>
                <w:sz w:val="21"/>
                <w:szCs w:val="21"/>
              </w:rPr>
              <w:t xml:space="preserve">conçue depuis Cotonou, pour le Bénin et pour l'Afrique de l'Ouest.</w:t>
            </w:r>
          </w:p>
        </w:tc>
      </w:tr>
    </w:tbl>
    <w:p>
      <w:pPr>
        <w:spacing w:before="0" w:after="80"/>
      </w:pPr>
      <w:r>
        <w:t xml:space="preserve"/>
      </w:r>
    </w:p>
    <w:p>
      <w:pPr>
        <w:pStyle w:val="Heading1"/>
        <w:spacing w:before="360" w:after="180"/>
      </w:pPr>
      <w:r>
        <w:rPr>
          <w:rFonts w:ascii="Arial" w:cs="Arial" w:eastAsia="Arial" w:hAnsi="Arial"/>
          <w:b/>
          <w:bCs/>
          <w:color w:val="1B2B5E"/>
          <w:sz w:val="28"/>
          <w:szCs w:val="28"/>
        </w:rPr>
        <w:t xml:space="preserve">A.3  Les cinq espaces de la plateforme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Espace</w:t>
            </w:r>
          </w:p>
        </w:tc>
        <w:tc>
          <w:tcPr>
            <w:tcW w:type="dxa" w:w="24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Public cible</w:t>
            </w:r>
          </w:p>
        </w:tc>
        <w:tc>
          <w:tcPr>
            <w:tcW w:type="dxa" w:w="4426"/>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Fonctions principales</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MédiHelm Pro</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Pharmaciens, caissiers, magasiniers</w:t>
            </w:r>
          </w:p>
        </w:tc>
        <w:tc>
          <w:tcPr>
            <w:tcW w:type="dxa" w:w="4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Gestion complète de l'officine — 19 modules</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MédiHelm Patient</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Grand public, patients</w:t>
            </w:r>
          </w:p>
        </w:tc>
        <w:tc>
          <w:tcPr>
            <w:tcW w:type="dxa" w:w="4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Recherche médicaments, géolocalisation, commande en ligne</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MédiHelm Network</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Promoteurs multi-officines</w:t>
            </w:r>
          </w:p>
        </w:tc>
        <w:tc>
          <w:tcPr>
            <w:tcW w:type="dxa" w:w="4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Pilotage de réseaux de pharmacies — RH, stock, finance consolidés</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MédiHelm Analytics</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Directeurs, comptables</w:t>
            </w:r>
          </w:p>
        </w:tc>
        <w:tc>
          <w:tcPr>
            <w:tcW w:type="dxa" w:w="4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Tableau de bord IA — prédictions, scores, alertes</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MédiHelm Institutionnel</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DPMED, SoBAPS, ABRP, grossistes</w:t>
            </w:r>
          </w:p>
        </w:tc>
        <w:tc>
          <w:tcPr>
            <w:tcW w:type="dxa" w:w="4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Portails sécurisés dédiés à chaque partenaire institutionnel</w:t>
            </w:r>
          </w:p>
        </w:tc>
      </w:tr>
    </w:tbl>
    <w:p>
      <w:pPr>
        <w:spacing w:before="0" w:after="80"/>
      </w:pPr>
      <w:r>
        <w:t xml:space="preserve"/>
      </w:r>
    </w:p>
    <w:p>
      <w:pPr>
        <w:pStyle w:val="Heading1"/>
        <w:spacing w:before="360" w:after="180"/>
      </w:pPr>
      <w:r>
        <w:rPr>
          <w:rFonts w:ascii="Arial" w:cs="Arial" w:eastAsia="Arial" w:hAnsi="Arial"/>
          <w:b/>
          <w:bCs/>
          <w:color w:val="1B2B5E"/>
          <w:sz w:val="28"/>
          <w:szCs w:val="28"/>
        </w:rPr>
        <w:t xml:space="preserve">A.4  Pourquoi maintenant ?</w:t>
      </w:r>
    </w:p>
    <w:p>
      <w:pPr>
        <w:spacing w:before="0" w:after="160"/>
        <w:jc w:val="both"/>
      </w:pPr>
      <w:r>
        <w:rPr>
          <w:rFonts w:ascii="Arial" w:cs="Arial" w:eastAsia="Arial" w:hAnsi="Arial"/>
          <w:color w:val="1A1A1A"/>
          <w:sz w:val="22"/>
          <w:szCs w:val="22"/>
        </w:rPr>
        <w:t xml:space="preserve">Le Bénin compte environ 600 pharmacies d'officine agréées. À ce jour, aucun système numérique ne permet :</w:t>
      </w:r>
    </w:p>
    <w:p>
      <w:pPr>
        <w:spacing w:before="0" w:after="80"/>
      </w:pPr>
      <w:r>
        <w:t xml:space="preserve"/>
      </w:r>
    </w:p>
    <w:p>
      <w:pPr>
        <w:pStyle w:val="ListParagraph"/>
        <w:numPr>
          <w:ilvl w:val="0"/>
          <w:numId w:val="2"/>
        </w:numPr>
        <w:spacing w:before="0" w:after="100"/>
      </w:pPr>
      <w:r>
        <w:rPr>
          <w:rFonts w:ascii="Arial" w:cs="Arial" w:eastAsia="Arial" w:hAnsi="Arial"/>
          <w:color w:val="1A1A1A"/>
          <w:sz w:val="22"/>
          <w:szCs w:val="22"/>
        </w:rPr>
        <w:t xml:space="preserve">à la DPMED de diffuser une alerte de retrait de lot à toutes les officines béninoises en moins de deux minutes ;</w:t>
      </w:r>
    </w:p>
    <w:p>
      <w:pPr>
        <w:pStyle w:val="ListParagraph"/>
        <w:numPr>
          <w:ilvl w:val="0"/>
          <w:numId w:val="2"/>
        </w:numPr>
        <w:spacing w:before="0" w:after="100"/>
      </w:pPr>
      <w:r>
        <w:rPr>
          <w:rFonts w:ascii="Arial" w:cs="Arial" w:eastAsia="Arial" w:hAnsi="Arial"/>
          <w:color w:val="1A1A1A"/>
          <w:sz w:val="22"/>
          <w:szCs w:val="22"/>
        </w:rPr>
        <w:t xml:space="preserve">à un pharmacien de signaler un effet indésirable médicamenteux par voie numérique, dans le format requis par la DPMED ;</w:t>
      </w:r>
    </w:p>
    <w:p>
      <w:pPr>
        <w:pStyle w:val="ListParagraph"/>
        <w:numPr>
          <w:ilvl w:val="0"/>
          <w:numId w:val="2"/>
        </w:numPr>
        <w:spacing w:before="0" w:after="100"/>
      </w:pPr>
      <w:r>
        <w:rPr>
          <w:rFonts w:ascii="Arial" w:cs="Arial" w:eastAsia="Arial" w:hAnsi="Arial"/>
          <w:color w:val="1A1A1A"/>
          <w:sz w:val="22"/>
          <w:szCs w:val="22"/>
        </w:rPr>
        <w:t xml:space="preserve">à la SoBAPS d'obtenir une confirmation numérique de réception de ses livraisons dans les officines privées ;</w:t>
      </w:r>
    </w:p>
    <w:p>
      <w:pPr>
        <w:pStyle w:val="ListParagraph"/>
        <w:numPr>
          <w:ilvl w:val="0"/>
          <w:numId w:val="2"/>
        </w:numPr>
        <w:spacing w:before="0" w:after="100"/>
      </w:pPr>
      <w:r>
        <w:rPr>
          <w:rFonts w:ascii="Arial" w:cs="Arial" w:eastAsia="Arial" w:hAnsi="Arial"/>
          <w:color w:val="1A1A1A"/>
          <w:sz w:val="22"/>
          <w:szCs w:val="22"/>
        </w:rPr>
        <w:t xml:space="preserve">à l'ABRP de disposer d'un tableau de bord des tensions d'approvisionnement sur le territoire national ;</w:t>
      </w:r>
    </w:p>
    <w:p>
      <w:pPr>
        <w:pStyle w:val="ListParagraph"/>
        <w:numPr>
          <w:ilvl w:val="0"/>
          <w:numId w:val="2"/>
        </w:numPr>
        <w:spacing w:before="0" w:after="100"/>
      </w:pPr>
      <w:r>
        <w:rPr>
          <w:rFonts w:ascii="Arial" w:cs="Arial" w:eastAsia="Arial" w:hAnsi="Arial"/>
          <w:color w:val="1A1A1A"/>
          <w:sz w:val="22"/>
          <w:szCs w:val="22"/>
        </w:rPr>
        <w:t xml:space="preserve">à un patient béninois de savoir, depuis son téléphone, quelle pharmacie proche dispose du médicament dont il a besoin, à quelle heure elle est ouverte, et s'il peut éviter la file d'attente en commandant à l'avance.</w:t>
      </w:r>
    </w:p>
    <w:p>
      <w:pPr>
        <w:spacing w:before="0" w:after="80"/>
      </w:pPr>
      <w:r>
        <w:t xml:space="preserve"/>
      </w:r>
    </w:p>
    <w:p>
      <w:pPr>
        <w:spacing w:before="0" w:after="160"/>
        <w:jc w:val="both"/>
      </w:pPr>
      <w:r>
        <w:rPr>
          <w:rFonts w:ascii="Arial" w:cs="Arial" w:eastAsia="Arial" w:hAnsi="Arial"/>
          <w:color w:val="1A1A1A"/>
          <w:sz w:val="22"/>
          <w:szCs w:val="22"/>
        </w:rPr>
        <w:t xml:space="preserve">MédiHelm répond à l'ensemble de ces besoins dans un seul écosystème, conçu au Bénin, tarifé en FCFA, et intégrant les méthodes de paiement locales (Wave, MTN Money, Moov Money).</w:t>
      </w:r>
    </w:p>
    <w:p>
      <w:pPr>
        <w:spacing w:before="0" w:after="80"/>
      </w:pPr>
      <w:r>
        <w:t xml:space="preserve"/>
      </w:r>
    </w:p>
    <w:p>
      <w:pPr>
        <w:pStyle w:val="Heading1"/>
        <w:spacing w:before="360" w:after="180"/>
      </w:pPr>
      <w:r>
        <w:rPr>
          <w:rFonts w:ascii="Arial" w:cs="Arial" w:eastAsia="Arial" w:hAnsi="Arial"/>
          <w:b/>
          <w:bCs/>
          <w:color w:val="1B2B5E"/>
          <w:sz w:val="28"/>
          <w:szCs w:val="28"/>
        </w:rPr>
        <w:t xml:space="preserve">A.5  Etat d'avancement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18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5026"/>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Architecture technique</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Finalisée</w:t>
            </w:r>
          </w:p>
        </w:tc>
        <w:tc>
          <w:tcPr>
            <w:tcW w:type="dxa" w:w="5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Next.js + NestJS + PostgreSQL + Supabase + Prisma</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Modèle de données</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Finalisé</w:t>
            </w:r>
          </w:p>
        </w:tc>
        <w:tc>
          <w:tcPr>
            <w:tcW w:type="dxa" w:w="5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Schéma Prisma complet — 20+ entités — multitenant RLS</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Module POS (caisse)</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En développement</w:t>
            </w:r>
          </w:p>
        </w:tc>
        <w:tc>
          <w:tcPr>
            <w:tcW w:type="dxa" w:w="5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Mode offline inclus — SQLite local</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Module Stock</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En développement</w:t>
            </w:r>
          </w:p>
        </w:tc>
        <w:tc>
          <w:tcPr>
            <w:tcW w:type="dxa" w:w="5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Gestion lots, FEFO, alertes, CMUP</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Espace Patient</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En conception</w:t>
            </w:r>
          </w:p>
        </w:tc>
        <w:tc>
          <w:tcPr>
            <w:tcW w:type="dxa" w:w="5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Géolocalisation, recherche, commande, file d'attente</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Modules institutionnels M16-M19</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En conception</w:t>
            </w:r>
          </w:p>
        </w:tc>
        <w:tc>
          <w:tcPr>
            <w:tcW w:type="dxa" w:w="5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Pharmacovigilance, alertes DPMED, SoBAPS, conformité</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Beta fermée prévue</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Mois 4-5</w:t>
            </w:r>
          </w:p>
        </w:tc>
        <w:tc>
          <w:tcPr>
            <w:tcW w:type="dxa" w:w="5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5 officines pilotes à Cotonou</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Lancement public Bénin</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Mois 7-8</w:t>
            </w:r>
          </w:p>
        </w:tc>
        <w:tc>
          <w:tcPr>
            <w:tcW w:type="dxa" w:w="5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Plans STEM et BLOOM ouverts</w:t>
            </w:r>
          </w:p>
        </w:tc>
      </w:tr>
    </w:tbl>
    <w:p>
      <w:r>
        <w:br w:type="page"/>
      </w:r>
    </w:p>
    <w:p>
      <w:pPr>
        <w:sectPr>
          <w:headerReference w:type="default" r:id="rId6"/>
          <w:footerReference w:type="default" r:id="rId7"/>
          <w:pgSz w:w="11906" w:h="16838" w:orient="portrait"/>
          <w:pgMar w:top="1440" w:right="1440" w:bottom="1440" w:left="1440" w:header="708" w:footer="708" w:gutter="0"/>
          <w:pgNumType/>
          <w:docGrid w:linePitch="360"/>
        </w:sectPr>
      </w:pPr>
    </w:p>
    <w:p>
      <w:pPr>
        <w:spacing w:before="0" w:after="60"/>
        <w:jc w:val="center"/>
      </w:pPr>
      <w:r>
        <w:rPr>
          <w:rFonts w:ascii="Arial" w:cs="Arial" w:eastAsia="Arial" w:hAnsi="Arial"/>
          <w:b/>
          <w:bCs/>
          <w:color w:val="FFFFFF"/>
          <w:sz w:val="20"/>
          <w:szCs w:val="20"/>
          <w:shd w:fill="085041" w:val="clear"/>
        </w:rPr>
        <w:t xml:space="preserve">ANNEXE B</w:t>
      </w:r>
    </w:p>
    <w:p>
      <w:pPr>
        <w:spacing w:before="0" w:after="200"/>
        <w:jc w:val="center"/>
      </w:pPr>
      <w:r>
        <w:rPr>
          <w:rFonts w:ascii="Arial" w:cs="Arial" w:eastAsia="Arial" w:hAnsi="Arial"/>
          <w:b/>
          <w:bCs/>
          <w:color w:val="085041"/>
          <w:sz w:val="30"/>
          <w:szCs w:val="30"/>
        </w:rPr>
        <w:t xml:space="preserve">Proposition de partenariat</w:t>
      </w:r>
    </w:p>
    <w:p>
      <w:pPr>
        <w:spacing w:before="0" w:after="60"/>
        <w:jc w:val="center"/>
      </w:pPr>
      <w:r>
        <w:rPr>
          <w:rFonts w:ascii="Arial" w:cs="Arial" w:eastAsia="Arial" w:hAnsi="Arial"/>
          <w:b/>
          <w:bCs/>
          <w:color w:val="1D9E75"/>
          <w:sz w:val="26"/>
          <w:szCs w:val="26"/>
        </w:rPr>
        <w:t xml:space="preserve">DPMED  ×  MédiHelm</w:t>
      </w:r>
    </w:p>
    <w:p>
      <w:pPr>
        <w:pBdr>
          <w:bottom w:val="single" w:color="1D9E75" w:sz="8" w:space="1"/>
        </w:pBdr>
        <w:spacing w:before="0" w:after="300"/>
        <w:jc w:val="center"/>
      </w:pPr>
      <w:r>
        <w:t xml:space="preserve"/>
      </w:r>
    </w:p>
    <w:p>
      <w:pPr>
        <w:spacing w:before="0" w:after="80"/>
      </w:pPr>
      <w:r>
        <w:t xml:space="preserve"/>
      </w:r>
    </w:p>
    <w:p>
      <w:pPr>
        <w:pStyle w:val="Heading1"/>
        <w:spacing w:before="360" w:after="180"/>
      </w:pPr>
      <w:r>
        <w:rPr>
          <w:rFonts w:ascii="Arial" w:cs="Arial" w:eastAsia="Arial" w:hAnsi="Arial"/>
          <w:b/>
          <w:bCs/>
          <w:color w:val="1B2B5E"/>
          <w:sz w:val="28"/>
          <w:szCs w:val="28"/>
        </w:rPr>
        <w:t xml:space="preserve">B.1  Objet du partenariat</w:t>
      </w:r>
    </w:p>
    <w:p>
      <w:pPr>
        <w:spacing w:before="0" w:after="160"/>
        <w:jc w:val="both"/>
      </w:pPr>
      <w:r>
        <w:rPr>
          <w:rFonts w:ascii="Arial" w:cs="Arial" w:eastAsia="Arial" w:hAnsi="Arial"/>
          <w:color w:val="1A1A1A"/>
          <w:sz w:val="22"/>
          <w:szCs w:val="22"/>
        </w:rPr>
        <w:t xml:space="preserve">La présente proposition a pour objet d'établir un partenariat institutionnel entre la Direction de la Pharmacie, du Médicament et des Explorations Diagnostiques (DPMED) et YEHI OR Tech, dans le cadre du déploiement de la plateforme MédiHelm au Bénin.</w:t>
      </w:r>
    </w:p>
    <w:p>
      <w:pPr>
        <w:spacing w:before="0" w:after="80"/>
      </w:pPr>
      <w:r>
        <w:t xml:space="preserve"/>
      </w:r>
    </w:p>
    <w:p>
      <w:pPr>
        <w:spacing w:before="0" w:after="160"/>
        <w:jc w:val="both"/>
      </w:pPr>
      <w:r>
        <w:rPr>
          <w:rFonts w:ascii="Arial" w:cs="Arial" w:eastAsia="Arial" w:hAnsi="Arial"/>
          <w:color w:val="1A1A1A"/>
          <w:sz w:val="22"/>
          <w:szCs w:val="22"/>
        </w:rPr>
        <w:t xml:space="preserve">Ce partenariat vise à faire de MédiHelm le canal numérique officiel par lequel la DPMED communique avec les officines pharmaceutiques privées béninoises abonnées à la plateforme, notamment pour la diffusion des alertes de retrait de lot, la collecte des signalements de pharmacovigilance, et le suivi de la conformité réglementaire des officines.</w:t>
      </w:r>
    </w:p>
    <w:p>
      <w:pPr>
        <w:spacing w:before="0" w:after="80"/>
      </w:pPr>
      <w:r>
        <w:t xml:space="preserve"/>
      </w:r>
    </w:p>
    <w:p>
      <w:pPr>
        <w:pStyle w:val="Heading1"/>
        <w:spacing w:before="360" w:after="180"/>
      </w:pPr>
      <w:r>
        <w:rPr>
          <w:rFonts w:ascii="Arial" w:cs="Arial" w:eastAsia="Arial" w:hAnsi="Arial"/>
          <w:b/>
          <w:bCs/>
          <w:color w:val="1B2B5E"/>
          <w:sz w:val="28"/>
          <w:szCs w:val="28"/>
        </w:rPr>
        <w:t xml:space="preserve">B.2  Problèmes résolus par le partenariat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Problème actuel</w:t>
            </w:r>
          </w:p>
        </w:tc>
        <w:tc>
          <w:tcPr>
            <w:tcW w:type="dxa" w:w="32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Solution MédiHelm</w:t>
            </w:r>
          </w:p>
        </w:tc>
        <w:tc>
          <w:tcPr>
            <w:tcW w:type="dxa" w:w="3026"/>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Bénéfice DPMED</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Aucun canal numérique pour diffuser les alertes de retrait de lot aux 600 officines béninoises</w:t>
            </w:r>
          </w:p>
        </w:tc>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Module M18 : diffusion push + SMS à toutes les pharmacies abonnées en &lt; 2 minutes</w:t>
            </w:r>
          </w:p>
        </w:tc>
        <w:tc>
          <w:tcPr>
            <w:tcW w:type="dxa" w:w="3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Réactivité sanitaire nationale — traçabilité de la prise en connaissance</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Signalements de pharmacovigilance encore majoritairement papier</w:t>
            </w:r>
          </w:p>
        </w:tc>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Module M16 : formulaire numérique intégré dans l'interface du pharmacien — format DPMED/OMS</w:t>
            </w:r>
          </w:p>
        </w:tc>
        <w:tc>
          <w:tcPr>
            <w:tcW w:type="dxa" w:w="3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Augmentation du volume et de la qualité des signalements reçus</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Impossibilité de vérifier la conformité d'une officine avant une inspection</w:t>
            </w:r>
          </w:p>
        </w:tc>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Module M19 : score de conformité calculé quotidiennement et accessible au pharmacien</w:t>
            </w:r>
          </w:p>
        </w:tc>
        <w:tc>
          <w:tcPr>
            <w:tcW w:type="dxa" w:w="3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Officines mieux préparées — inspections plus efficaces</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Aucun tableau de bord des médicaments en tension sur le territoire national</w:t>
            </w:r>
          </w:p>
        </w:tc>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Portail ABRP avec données agrégées anonymisées</w:t>
            </w:r>
          </w:p>
        </w:tc>
        <w:tc>
          <w:tcPr>
            <w:tcW w:type="dxa" w:w="3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Pilotage proactif de l'approvisionnement national</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Pas de traçabilité numérique des destructions de médicaments périmés</w:t>
            </w:r>
          </w:p>
        </w:tc>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Module M11 + M19 : PV de destruction au format officiel DPMED</w:t>
            </w:r>
          </w:p>
        </w:tc>
        <w:tc>
          <w:tcPr>
            <w:tcW w:type="dxa" w:w="3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Meilleure conformité réglementaire des officines</w:t>
            </w:r>
          </w:p>
        </w:tc>
      </w:tr>
    </w:tbl>
    <w:p>
      <w:pPr>
        <w:spacing w:before="0" w:after="80"/>
      </w:pPr>
      <w:r>
        <w:t xml:space="preserve"/>
      </w:r>
    </w:p>
    <w:p>
      <w:pPr>
        <w:pStyle w:val="Heading1"/>
        <w:spacing w:before="360" w:after="180"/>
      </w:pPr>
      <w:r>
        <w:rPr>
          <w:rFonts w:ascii="Arial" w:cs="Arial" w:eastAsia="Arial" w:hAnsi="Arial"/>
          <w:b/>
          <w:bCs/>
          <w:color w:val="1B2B5E"/>
          <w:sz w:val="28"/>
          <w:szCs w:val="28"/>
        </w:rPr>
        <w:t xml:space="preserve">B.3  Ce que MédiHelm propose à la DPMED</w:t>
      </w:r>
    </w:p>
    <w:p>
      <w:pPr>
        <w:pStyle w:val="Heading2"/>
        <w:pBdr>
          <w:bottom w:val="single" w:color="1D9E75" w:sz="6" w:space="1"/>
        </w:pBdr>
        <w:spacing w:before="240" w:after="120"/>
      </w:pPr>
      <w:r>
        <w:rPr>
          <w:rFonts w:ascii="Arial" w:cs="Arial" w:eastAsia="Arial" w:hAnsi="Arial"/>
          <w:b/>
          <w:bCs/>
          <w:color w:val="1D9E75"/>
          <w:sz w:val="24"/>
          <w:szCs w:val="24"/>
        </w:rPr>
        <w:t xml:space="preserve">B.3.1  Un portail institutionnel dédié — gratuit</w:t>
      </w:r>
    </w:p>
    <w:p>
      <w:pPr>
        <w:spacing w:before="0" w:after="160"/>
        <w:jc w:val="both"/>
      </w:pPr>
      <w:r>
        <w:rPr>
          <w:rFonts w:ascii="Arial" w:cs="Arial" w:eastAsia="Arial" w:hAnsi="Arial"/>
          <w:color w:val="1A1A1A"/>
          <w:sz w:val="22"/>
          <w:szCs w:val="22"/>
        </w:rPr>
        <w:t xml:space="preserve">La DPMED dispose d'un accès sécurisé et gratuit au portail MédiHelm Institutionnel, accessible sur invitation de YEHI OR Tech. Ce portail comprend :</w:t>
      </w:r>
    </w:p>
    <w:p>
      <w:pPr>
        <w:spacing w:before="0" w:after="80"/>
      </w:pPr>
      <w:r>
        <w:t xml:space="preserve"/>
      </w:r>
    </w:p>
    <w:p>
      <w:pPr>
        <w:pStyle w:val="ListParagraph"/>
        <w:numPr>
          <w:ilvl w:val="0"/>
          <w:numId w:val="2"/>
        </w:numPr>
        <w:spacing w:before="0" w:after="100"/>
      </w:pPr>
      <w:r>
        <w:rPr>
          <w:rFonts w:ascii="Arial" w:cs="Arial" w:eastAsia="Arial" w:hAnsi="Arial"/>
          <w:color w:val="1A1A1A"/>
          <w:sz w:val="22"/>
          <w:szCs w:val="22"/>
        </w:rPr>
        <w:t xml:space="preserve">Interface d'émission d'alertes pharmaceutiques : saisie de l'alerte, sélection du type (retrait de lot, contrefaçon, AMM suspendue, pharmacovigilance, information réglementaire), et déclenchement immédiat de la diffusion vers toutes les officines concernées.</w:t>
      </w:r>
    </w:p>
    <w:p>
      <w:pPr>
        <w:pStyle w:val="ListParagraph"/>
        <w:numPr>
          <w:ilvl w:val="0"/>
          <w:numId w:val="2"/>
        </w:numPr>
        <w:spacing w:before="0" w:after="100"/>
      </w:pPr>
      <w:r>
        <w:rPr>
          <w:rFonts w:ascii="Arial" w:cs="Arial" w:eastAsia="Arial" w:hAnsi="Arial"/>
          <w:color w:val="1A1A1A"/>
          <w:sz w:val="22"/>
          <w:szCs w:val="22"/>
        </w:rPr>
        <w:t xml:space="preserve">Tableau de bord de suivi en temps réel : nombre d'officines notifiées, taux d'accusé de réception, actions prises par officine (mise en quarantaine, retour grossiste, destruction), carte de couverture nationale.</w:t>
      </w:r>
    </w:p>
    <w:p>
      <w:pPr>
        <w:pStyle w:val="ListParagraph"/>
        <w:numPr>
          <w:ilvl w:val="0"/>
          <w:numId w:val="2"/>
        </w:numPr>
        <w:spacing w:before="0" w:after="100"/>
      </w:pPr>
      <w:r>
        <w:rPr>
          <w:rFonts w:ascii="Arial" w:cs="Arial" w:eastAsia="Arial" w:hAnsi="Arial"/>
          <w:color w:val="1A1A1A"/>
          <w:sz w:val="22"/>
          <w:szCs w:val="22"/>
        </w:rPr>
        <w:t xml:space="preserve">Réception des signalements de pharmacovigilance : interface de consultation des signalements soumis par les pharmaciens, classés par médicament, par gravité, et par date.</w:t>
      </w:r>
    </w:p>
    <w:p>
      <w:pPr>
        <w:pStyle w:val="ListParagraph"/>
        <w:numPr>
          <w:ilvl w:val="0"/>
          <w:numId w:val="2"/>
        </w:numPr>
        <w:spacing w:before="0" w:after="100"/>
      </w:pPr>
      <w:r>
        <w:rPr>
          <w:rFonts w:ascii="Arial" w:cs="Arial" w:eastAsia="Arial" w:hAnsi="Arial"/>
          <w:color w:val="1A1A1A"/>
          <w:sz w:val="22"/>
          <w:szCs w:val="22"/>
        </w:rPr>
        <w:t xml:space="preserve">Export des données de traitement aux formats requis pour les rapports institutionnels nationaux et internationaux.</w:t>
      </w:r>
    </w:p>
    <w:p>
      <w:pPr>
        <w:spacing w:before="0" w:after="80"/>
      </w:pPr>
      <w:r>
        <w:t xml:space="preserve"/>
      </w:r>
    </w:p>
    <w:p>
      <w:pPr>
        <w:pStyle w:val="Heading2"/>
        <w:pBdr>
          <w:bottom w:val="single" w:color="1D9E75" w:sz="6" w:space="1"/>
        </w:pBdr>
        <w:spacing w:before="240" w:after="120"/>
      </w:pPr>
      <w:r>
        <w:rPr>
          <w:rFonts w:ascii="Arial" w:cs="Arial" w:eastAsia="Arial" w:hAnsi="Arial"/>
          <w:b/>
          <w:bCs/>
          <w:color w:val="1D9E75"/>
          <w:sz w:val="24"/>
          <w:szCs w:val="24"/>
        </w:rPr>
        <w:t xml:space="preserve">B.3.2  La DPMED comme source officielle de la base de veille qualité</w:t>
      </w:r>
    </w:p>
    <w:p>
      <w:pPr>
        <w:spacing w:before="0" w:after="160"/>
        <w:jc w:val="both"/>
      </w:pPr>
      <w:r>
        <w:rPr>
          <w:rFonts w:ascii="Arial" w:cs="Arial" w:eastAsia="Arial" w:hAnsi="Arial"/>
          <w:color w:val="1A1A1A"/>
          <w:sz w:val="22"/>
          <w:szCs w:val="22"/>
        </w:rPr>
        <w:t xml:space="preserve">MédiHelm propose à la DPMED de devenir la source officielle alimentant la base de données de veille qualité intégrée dans l'interface de chaque pharmacien. Chaque alerte émise par la DPMED est automatiquement visible dans le système de gestion de toutes les officines abonnées — un levier inédit de communication sanitaire directe avec le terrain.</w:t>
      </w:r>
    </w:p>
    <w:p>
      <w:pPr>
        <w:spacing w:before="0" w:after="80"/>
      </w:pPr>
      <w:r>
        <w:t xml:space="preserve"/>
      </w:r>
    </w:p>
    <w:p>
      <w:pPr>
        <w:pStyle w:val="Heading2"/>
        <w:pBdr>
          <w:bottom w:val="single" w:color="1D9E75" w:sz="6" w:space="1"/>
        </w:pBdr>
        <w:spacing w:before="240" w:after="120"/>
      </w:pPr>
      <w:r>
        <w:rPr>
          <w:rFonts w:ascii="Arial" w:cs="Arial" w:eastAsia="Arial" w:hAnsi="Arial"/>
          <w:b/>
          <w:bCs/>
          <w:color w:val="1D9E75"/>
          <w:sz w:val="24"/>
          <w:szCs w:val="24"/>
        </w:rPr>
        <w:t xml:space="preserve">B.3.3  Un processus de certification réglementaire</w:t>
      </w:r>
    </w:p>
    <w:p>
      <w:pPr>
        <w:spacing w:before="0" w:after="160"/>
        <w:jc w:val="both"/>
      </w:pPr>
      <w:r>
        <w:rPr>
          <w:rFonts w:ascii="Arial" w:cs="Arial" w:eastAsia="Arial" w:hAnsi="Arial"/>
          <w:color w:val="1A1A1A"/>
          <w:sz w:val="22"/>
          <w:szCs w:val="22"/>
        </w:rPr>
        <w:t xml:space="preserve">YEHI OR Tech s'engage à soumettre MédiHelm à un processus de certification auprès de la DPMED comme outil de gestion conforme aux exigences légales et réglementaires béninoises. Ce processus comprend la démonstration des fonctions réglementaires (registre des stupéfiants, archivage des ordonnances, procédures de destruction) sur des officines pilotes, suivie d'une période d'observation et de la délivrance d'un label de conformité.</w:t>
      </w:r>
    </w:p>
    <w:p>
      <w:pPr>
        <w:spacing w:before="0" w:after="80"/>
      </w:pPr>
      <w:r>
        <w:t xml:space="preserve"/>
      </w:r>
    </w:p>
    <w:p>
      <w:pPr>
        <w:pStyle w:val="Heading1"/>
        <w:spacing w:before="360" w:after="180"/>
      </w:pPr>
      <w:r>
        <w:rPr>
          <w:rFonts w:ascii="Arial" w:cs="Arial" w:eastAsia="Arial" w:hAnsi="Arial"/>
          <w:b/>
          <w:bCs/>
          <w:color w:val="1B2B5E"/>
          <w:sz w:val="28"/>
          <w:szCs w:val="28"/>
        </w:rPr>
        <w:t xml:space="preserve">B.4  Ce que MédiHelm sollicite de la DPMED</w:t>
      </w:r>
    </w:p>
    <w:p>
      <w:pPr>
        <w:spacing w:before="0" w:after="160"/>
        <w:jc w:val="both"/>
      </w:pPr>
      <w:r>
        <w:rPr>
          <w:rFonts w:ascii="Arial" w:cs="Arial" w:eastAsia="Arial" w:hAnsi="Arial"/>
          <w:color w:val="1A1A1A"/>
          <w:sz w:val="22"/>
          <w:szCs w:val="22"/>
        </w:rPr>
        <w:t xml:space="preserve">En contrepartie de l'accès gratuit au portail et des développements institutionnels consentis, YEHI OR Tech sollicite de la DPMED les éléments suivants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rPr>
          <w:tblHeader/>
        </w:trPr>
        <w:tc>
          <w:tcPr>
            <w:tcW w:type="dxa" w:w="28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Sollicitation</w:t>
            </w:r>
          </w:p>
        </w:tc>
        <w:tc>
          <w:tcPr>
            <w:tcW w:type="dxa" w:w="26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Nature</w:t>
            </w:r>
          </w:p>
        </w:tc>
        <w:tc>
          <w:tcPr>
            <w:tcW w:type="dxa" w:w="3626"/>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Portée</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Recommandation officielle de MédiHelm aux officines béninoises</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Communication écrite ou circulaire</w:t>
            </w:r>
          </w:p>
        </w:tc>
        <w:tc>
          <w:tcPr>
            <w:tcW w:type="dxa" w:w="3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Toutes les pharmacies agréées au Bénin</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Mention de MédiHelm dans les communications DPMED aux officines</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Mentions dans les circulaires et correspondances périodiques</w:t>
            </w:r>
          </w:p>
        </w:tc>
        <w:tc>
          <w:tcPr>
            <w:tcW w:type="dxa" w:w="3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Officines privées agréées</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Collaboration technique sur le format des données de pharmacovigilance</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Réunion technique avec le service pharmacovigilance</w:t>
            </w:r>
          </w:p>
        </w:tc>
        <w:tc>
          <w:tcPr>
            <w:tcW w:type="dxa" w:w="3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Equipe technique DPMED + YEHI OR Tech</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Délivrance du label de conformité DPMED à l'issue de l'audit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Décision administrative — label officiel</w:t>
            </w:r>
          </w:p>
        </w:tc>
        <w:tc>
          <w:tcPr>
            <w:tcW w:type="dxa" w:w="3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MédiHelm comme outil certifié conforme</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Désignation d'un point focal DPMED pour le partenariat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Contact référent au sein de la DPMED</w:t>
            </w:r>
          </w:p>
        </w:tc>
        <w:tc>
          <w:tcPr>
            <w:tcW w:type="dxa" w:w="3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Coordination technique et institutionnelle</w:t>
            </w:r>
          </w:p>
        </w:tc>
      </w:tr>
    </w:tbl>
    <w:p>
      <w:pPr>
        <w:spacing w:before="0" w:after="80"/>
      </w:pPr>
      <w:r>
        <w:t xml:space="preserve"/>
      </w:r>
    </w:p>
    <w:p>
      <w:pPr>
        <w:pStyle w:val="Heading1"/>
        <w:spacing w:before="360" w:after="180"/>
      </w:pPr>
      <w:r>
        <w:rPr>
          <w:rFonts w:ascii="Arial" w:cs="Arial" w:eastAsia="Arial" w:hAnsi="Arial"/>
          <w:b/>
          <w:bCs/>
          <w:color w:val="1B2B5E"/>
          <w:sz w:val="28"/>
          <w:szCs w:val="28"/>
        </w:rPr>
        <w:t xml:space="preserve">B.5  Modalités pratiques du partenariat</w:t>
      </w:r>
    </w:p>
    <w:p>
      <w:pPr>
        <w:pStyle w:val="Heading2"/>
        <w:pBdr>
          <w:bottom w:val="single" w:color="1D9E75" w:sz="6" w:space="1"/>
        </w:pBdr>
        <w:spacing w:before="240" w:after="120"/>
      </w:pPr>
      <w:r>
        <w:rPr>
          <w:rFonts w:ascii="Arial" w:cs="Arial" w:eastAsia="Arial" w:hAnsi="Arial"/>
          <w:b/>
          <w:bCs/>
          <w:color w:val="1D9E75"/>
          <w:sz w:val="24"/>
          <w:szCs w:val="24"/>
        </w:rPr>
        <w:t xml:space="preserve">B.5.1  Phases du partenariat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600"/>
        <w:gridCol w:w="1826"/>
      </w:tblGrid>
      <w:tr>
        <w:trPr>
          <w:tblHeader/>
        </w:trPr>
        <w:tc>
          <w:tcPr>
            <w:tcW w:type="dxa" w:w="14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Durée</w:t>
            </w:r>
          </w:p>
        </w:tc>
        <w:tc>
          <w:tcPr>
            <w:tcW w:type="dxa" w:w="46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Actions</w:t>
            </w:r>
          </w:p>
        </w:tc>
        <w:tc>
          <w:tcPr>
            <w:tcW w:type="dxa" w:w="1826"/>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r>
      <w:tr>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Phase 1 — Accord de principe</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Mois 1</w:t>
            </w:r>
          </w:p>
        </w:tc>
        <w:tc>
          <w:tcPr>
            <w:tcW w:type="dxa" w:w="4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Signature du protocole de partenariat — désignation des points focaux</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DPMED + YEHI OR Tech</w:t>
            </w:r>
          </w:p>
        </w:tc>
      </w:tr>
      <w:tr>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Phase 2 — Intégration technique</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Mois 2-3</w:t>
            </w:r>
          </w:p>
        </w:tc>
        <w:tc>
          <w:tcPr>
            <w:tcW w:type="dxa" w:w="4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Paramétrage du portail DPMED — test de diffusion d'alertes — format pharmacovigilance validé</w:t>
            </w:r>
          </w:p>
        </w:tc>
        <w:tc>
          <w:tcPr>
            <w:tcW w:type="dxa" w:w="1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YEHI OR Tech</w:t>
            </w:r>
          </w:p>
        </w:tc>
      </w:tr>
      <w:tr>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Phase 3 — Pilote fermé</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Mois 4-6</w:t>
            </w:r>
          </w:p>
        </w:tc>
        <w:tc>
          <w:tcPr>
            <w:tcW w:type="dxa" w:w="4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5 officines pilotes — test complet des modules M16, M18, M19 — retours DPMED intégrés</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YEHI OR Tech + DPMED</w:t>
            </w:r>
          </w:p>
        </w:tc>
      </w:tr>
      <w:tr>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Phase 4 — Lancement et certification</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Mois 7-12</w:t>
            </w:r>
          </w:p>
        </w:tc>
        <w:tc>
          <w:tcPr>
            <w:tcW w:type="dxa" w:w="4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Lancement public — soumission dossier certification DPMED — audit sur officines pilotes</w:t>
            </w:r>
          </w:p>
        </w:tc>
        <w:tc>
          <w:tcPr>
            <w:tcW w:type="dxa" w:w="1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YEHI OR Tech + DPMED</w:t>
            </w:r>
          </w:p>
        </w:tc>
      </w:tr>
      <w:tr>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Phase 5 — Déploiement national</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Mois 12+</w:t>
            </w:r>
          </w:p>
        </w:tc>
        <w:tc>
          <w:tcPr>
            <w:tcW w:type="dxa" w:w="4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Extension progressive — recommandation officielle DPMED — label de conformité délivré</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DPMED + YEHI OR Tech</w:t>
            </w:r>
          </w:p>
        </w:tc>
      </w:tr>
    </w:tbl>
    <w:p>
      <w:pPr>
        <w:spacing w:before="0" w:after="80"/>
      </w:pPr>
      <w:r>
        <w:t xml:space="preserve"/>
      </w:r>
    </w:p>
    <w:p>
      <w:pPr>
        <w:pStyle w:val="Heading2"/>
        <w:pBdr>
          <w:bottom w:val="single" w:color="1D9E75" w:sz="6" w:space="1"/>
        </w:pBdr>
        <w:spacing w:before="240" w:after="120"/>
      </w:pPr>
      <w:r>
        <w:rPr>
          <w:rFonts w:ascii="Arial" w:cs="Arial" w:eastAsia="Arial" w:hAnsi="Arial"/>
          <w:b/>
          <w:bCs/>
          <w:color w:val="1D9E75"/>
          <w:sz w:val="24"/>
          <w:szCs w:val="24"/>
        </w:rPr>
        <w:t xml:space="preserve">B.5.2  Confidentialité et protection des données</w:t>
      </w:r>
    </w:p>
    <w:p>
      <w:pPr>
        <w:spacing w:before="0" w:after="160"/>
        <w:jc w:val="both"/>
      </w:pPr>
      <w:r>
        <w:rPr>
          <w:rFonts w:ascii="Arial" w:cs="Arial" w:eastAsia="Arial" w:hAnsi="Arial"/>
          <w:color w:val="1A1A1A"/>
          <w:sz w:val="22"/>
          <w:szCs w:val="22"/>
        </w:rPr>
        <w:t xml:space="preserve">YEHI OR Tech s'engage formellement à ne transmettre à la DPMED aucune donnée individuelle permettant d'identifier un patient. Les signalements de pharmacovigilance sont pseudonymisés avant transmission. Les données agrégées du tableau de bord DPMED ne permettent pas d'identifier une officine individuelle dans ses résultats commerciaux. Seules les données de conformité et de traitement des alertes sont nominatives au niveau des officines.</w:t>
      </w:r>
    </w:p>
    <w:p>
      <w:pPr>
        <w:spacing w:before="0" w:after="80"/>
      </w:pPr>
      <w:r>
        <w:t xml:space="preserve"/>
      </w:r>
    </w:p>
    <w:p>
      <w:pPr>
        <w:pStyle w:val="Heading2"/>
        <w:pBdr>
          <w:bottom w:val="single" w:color="1D9E75" w:sz="6" w:space="1"/>
        </w:pBdr>
        <w:spacing w:before="240" w:after="120"/>
      </w:pPr>
      <w:r>
        <w:rPr>
          <w:rFonts w:ascii="Arial" w:cs="Arial" w:eastAsia="Arial" w:hAnsi="Arial"/>
          <w:b/>
          <w:bCs/>
          <w:color w:val="1D9E75"/>
          <w:sz w:val="24"/>
          <w:szCs w:val="24"/>
        </w:rPr>
        <w:t xml:space="preserve">B.5.3  Coût pour la DPMED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6"/>
              <w:left w:val="single" w:color="1D9E75" w:sz="24"/>
              <w:bottom w:val="single" w:color="1D9E75" w:sz="6"/>
              <w:right w:val="single" w:color="1D9E75" w:sz="6"/>
            </w:tcBorders>
            <w:shd w:fill="E1F5EE" w:val="clear"/>
            <w:tcMar>
              <w:top w:type="dxa" w:w="120"/>
              <w:left w:type="dxa" w:w="200"/>
              <w:bottom w:type="dxa" w:w="120"/>
              <w:right w:type="dxa" w:w="180"/>
            </w:tcMar>
          </w:tcPr>
          <w:p>
            <w:pPr>
              <w:spacing w:before="0" w:after="80"/>
            </w:pPr>
            <w:r>
              <w:rPr>
                <w:rFonts w:ascii="Arial" w:cs="Arial" w:eastAsia="Arial" w:hAnsi="Arial"/>
                <w:i/>
                <w:iCs/>
                <w:color w:val="085041"/>
                <w:sz w:val="21"/>
                <w:szCs w:val="21"/>
              </w:rPr>
              <w:t xml:space="preserve">L'accès au portail MédiHelm Institutionnel est proposé à titre entièrement gratuit à la DPMED, à la SoBAPS, à l'ABRP et à l'Ordre des Pharmaciens du Bénin. Ce partenariat est fondé sur la valeur partagée pour la santé publique béninoise, et non sur une relation commerciale.</w:t>
            </w:r>
          </w:p>
        </w:tc>
      </w:tr>
    </w:tbl>
    <w:p>
      <w:pPr>
        <w:spacing w:before="0" w:after="80"/>
      </w:pPr>
      <w:r>
        <w:t xml:space="preserve"/>
      </w:r>
    </w:p>
    <w:p>
      <w:pPr>
        <w:pStyle w:val="Heading1"/>
        <w:spacing w:before="360" w:after="180"/>
      </w:pPr>
      <w:r>
        <w:rPr>
          <w:rFonts w:ascii="Arial" w:cs="Arial" w:eastAsia="Arial" w:hAnsi="Arial"/>
          <w:b/>
          <w:bCs/>
          <w:color w:val="1B2B5E"/>
          <w:sz w:val="28"/>
          <w:szCs w:val="28"/>
        </w:rPr>
        <w:t xml:space="preserve">B.6  Protocole de partenariat proposé</w:t>
      </w:r>
    </w:p>
    <w:p>
      <w:pPr>
        <w:spacing w:before="0" w:after="160"/>
        <w:jc w:val="both"/>
      </w:pPr>
      <w:r>
        <w:rPr>
          <w:rFonts w:ascii="Arial" w:cs="Arial" w:eastAsia="Arial" w:hAnsi="Arial"/>
          <w:color w:val="1A1A1A"/>
          <w:sz w:val="22"/>
          <w:szCs w:val="22"/>
        </w:rPr>
        <w:t xml:space="preserve">YEHI OR Tech propose la signature d'un Protocole d'Accord de Partenariat Institutionnel entre la DPMED et YEHI OR Tech, d'une durée initiale de deux ans renouvelable par tacite reconduction. Ce protocole définit :</w:t>
      </w:r>
    </w:p>
    <w:p>
      <w:pPr>
        <w:spacing w:before="0" w:after="80"/>
      </w:pPr>
      <w:r>
        <w:t xml:space="preserve"/>
      </w:r>
    </w:p>
    <w:p>
      <w:pPr>
        <w:pStyle w:val="ListParagraph"/>
        <w:numPr>
          <w:ilvl w:val="0"/>
          <w:numId w:val="2"/>
        </w:numPr>
        <w:spacing w:before="0" w:after="100"/>
      </w:pPr>
      <w:r>
        <w:rPr>
          <w:rFonts w:ascii="Arial" w:cs="Arial" w:eastAsia="Arial" w:hAnsi="Arial"/>
          <w:color w:val="1A1A1A"/>
          <w:sz w:val="22"/>
          <w:szCs w:val="22"/>
        </w:rPr>
        <w:t xml:space="preserve">les droits et obligations de chaque partie ;</w:t>
      </w:r>
    </w:p>
    <w:p>
      <w:pPr>
        <w:pStyle w:val="ListParagraph"/>
        <w:numPr>
          <w:ilvl w:val="0"/>
          <w:numId w:val="2"/>
        </w:numPr>
        <w:spacing w:before="0" w:after="100"/>
      </w:pPr>
      <w:r>
        <w:rPr>
          <w:rFonts w:ascii="Arial" w:cs="Arial" w:eastAsia="Arial" w:hAnsi="Arial"/>
          <w:color w:val="1A1A1A"/>
          <w:sz w:val="22"/>
          <w:szCs w:val="22"/>
        </w:rPr>
        <w:t xml:space="preserve">les modalités d'accès et d'utilisation du portail institutionnel MédiHelm par la DPMED ;</w:t>
      </w:r>
    </w:p>
    <w:p>
      <w:pPr>
        <w:pStyle w:val="ListParagraph"/>
        <w:numPr>
          <w:ilvl w:val="0"/>
          <w:numId w:val="2"/>
        </w:numPr>
        <w:spacing w:before="0" w:after="100"/>
      </w:pPr>
      <w:r>
        <w:rPr>
          <w:rFonts w:ascii="Arial" w:cs="Arial" w:eastAsia="Arial" w:hAnsi="Arial"/>
          <w:color w:val="1A1A1A"/>
          <w:sz w:val="22"/>
          <w:szCs w:val="22"/>
        </w:rPr>
        <w:t xml:space="preserve">le processus de certification de la plateforme par la DPMED ;</w:t>
      </w:r>
    </w:p>
    <w:p>
      <w:pPr>
        <w:pStyle w:val="ListParagraph"/>
        <w:numPr>
          <w:ilvl w:val="0"/>
          <w:numId w:val="2"/>
        </w:numPr>
        <w:spacing w:before="0" w:after="100"/>
      </w:pPr>
      <w:r>
        <w:rPr>
          <w:rFonts w:ascii="Arial" w:cs="Arial" w:eastAsia="Arial" w:hAnsi="Arial"/>
          <w:color w:val="1A1A1A"/>
          <w:sz w:val="22"/>
          <w:szCs w:val="22"/>
        </w:rPr>
        <w:t xml:space="preserve">les conditions de confidentialité et de protection des données pharmaceutiques ;</w:t>
      </w:r>
    </w:p>
    <w:p>
      <w:pPr>
        <w:pStyle w:val="ListParagraph"/>
        <w:numPr>
          <w:ilvl w:val="0"/>
          <w:numId w:val="2"/>
        </w:numPr>
        <w:spacing w:before="0" w:after="100"/>
      </w:pPr>
      <w:r>
        <w:rPr>
          <w:rFonts w:ascii="Arial" w:cs="Arial" w:eastAsia="Arial" w:hAnsi="Arial"/>
          <w:color w:val="1A1A1A"/>
          <w:sz w:val="22"/>
          <w:szCs w:val="22"/>
        </w:rPr>
        <w:t xml:space="preserve">le mécanisme de résolution des différends ;</w:t>
      </w:r>
    </w:p>
    <w:p>
      <w:pPr>
        <w:pStyle w:val="ListParagraph"/>
        <w:numPr>
          <w:ilvl w:val="0"/>
          <w:numId w:val="2"/>
        </w:numPr>
        <w:spacing w:before="0" w:after="100"/>
      </w:pPr>
      <w:r>
        <w:rPr>
          <w:rFonts w:ascii="Arial" w:cs="Arial" w:eastAsia="Arial" w:hAnsi="Arial"/>
          <w:color w:val="1A1A1A"/>
          <w:sz w:val="22"/>
          <w:szCs w:val="22"/>
        </w:rPr>
        <w:t xml:space="preserve">les conditions de résiliation.</w:t>
      </w:r>
    </w:p>
    <w:p>
      <w:pPr>
        <w:spacing w:before="0" w:after="80"/>
      </w:pPr>
      <w:r>
        <w:t xml:space="preserve"/>
      </w:r>
    </w:p>
    <w:p>
      <w:pPr>
        <w:spacing w:before="0" w:after="160"/>
        <w:jc w:val="both"/>
      </w:pPr>
      <w:r>
        <w:rPr>
          <w:rFonts w:ascii="Arial" w:cs="Arial" w:eastAsia="Arial" w:hAnsi="Arial"/>
          <w:color w:val="1A1A1A"/>
          <w:sz w:val="22"/>
          <w:szCs w:val="22"/>
        </w:rPr>
        <w:t xml:space="preserve">Un projet de protocole peut être préparé et soumis à votre Direction dans un délai de quinze jours suivant l'expression d'un accord de principe.</w:t>
      </w:r>
    </w:p>
    <w:p>
      <w:r>
        <w:br w:type="page"/>
      </w:r>
    </w:p>
    <w:p>
      <w:pPr>
        <w:sectPr>
          <w:headerReference w:type="default" r:id="rId8"/>
          <w:footerReference w:type="default" r:id="rId9"/>
          <w:pgSz w:w="11906" w:h="16838" w:orient="portrait"/>
          <w:pgMar w:top="1440" w:right="1440" w:bottom="1440" w:left="1440" w:header="708" w:footer="708" w:gutter="0"/>
          <w:pgNumType/>
          <w:docGrid w:linePitch="360"/>
        </w:sectPr>
      </w:pPr>
    </w:p>
    <w:p>
      <w:pPr>
        <w:spacing w:before="0" w:after="60"/>
        <w:jc w:val="center"/>
      </w:pPr>
      <w:r>
        <w:rPr>
          <w:rFonts w:ascii="Arial" w:cs="Arial" w:eastAsia="Arial" w:hAnsi="Arial"/>
          <w:b/>
          <w:bCs/>
          <w:color w:val="FFFFFF"/>
          <w:sz w:val="20"/>
          <w:szCs w:val="20"/>
          <w:shd w:fill="0F6E56" w:val="clear"/>
        </w:rPr>
        <w:t xml:space="preserve">ANNEXE C</w:t>
      </w:r>
    </w:p>
    <w:p>
      <w:pPr>
        <w:spacing w:before="0" w:after="200"/>
        <w:jc w:val="center"/>
      </w:pPr>
      <w:r>
        <w:rPr>
          <w:rFonts w:ascii="Arial" w:cs="Arial" w:eastAsia="Arial" w:hAnsi="Arial"/>
          <w:b/>
          <w:bCs/>
          <w:color w:val="085041"/>
          <w:sz w:val="30"/>
          <w:szCs w:val="30"/>
        </w:rPr>
        <w:t xml:space="preserve">Fiche technique</w:t>
      </w:r>
    </w:p>
    <w:p>
      <w:pPr>
        <w:spacing w:before="0" w:after="60"/>
        <w:jc w:val="center"/>
      </w:pPr>
      <w:r>
        <w:rPr>
          <w:rFonts w:ascii="Arial" w:cs="Arial" w:eastAsia="Arial" w:hAnsi="Arial"/>
          <w:i/>
          <w:iCs/>
          <w:color w:val="1D9E75"/>
          <w:sz w:val="22"/>
          <w:szCs w:val="22"/>
        </w:rPr>
        <w:t xml:space="preserve">Modules institutionnels MédiHelm — M16, M17, M18, M19</w:t>
      </w:r>
    </w:p>
    <w:p>
      <w:pPr>
        <w:pBdr>
          <w:bottom w:val="single" w:color="1D9E75" w:sz="8" w:space="1"/>
        </w:pBdr>
        <w:spacing w:before="0" w:after="300"/>
        <w:jc w:val="center"/>
      </w:pPr>
      <w:r>
        <w:t xml:space="preserve"/>
      </w:r>
    </w:p>
    <w:p>
      <w:pPr>
        <w:spacing w:before="0" w:after="80"/>
      </w:pPr>
      <w:r>
        <w:t xml:space="preserve"/>
      </w:r>
    </w:p>
    <w:p>
      <w:pPr>
        <w:pStyle w:val="Heading1"/>
        <w:spacing w:before="360" w:after="180"/>
      </w:pPr>
      <w:r>
        <w:rPr>
          <w:rFonts w:ascii="Arial" w:cs="Arial" w:eastAsia="Arial" w:hAnsi="Arial"/>
          <w:b/>
          <w:bCs/>
          <w:color w:val="1B2B5E"/>
          <w:sz w:val="28"/>
          <w:szCs w:val="28"/>
        </w:rPr>
        <w:t xml:space="preserve">C.1  Vue d'ensemble des modules institutionnels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226"/>
      </w:tblGrid>
      <w:tr>
        <w:trPr>
          <w:tblHeader/>
        </w:trPr>
        <w:tc>
          <w:tcPr>
            <w:tcW w:type="dxa" w:w="12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8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28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Bénéficiaire principal</w:t>
            </w:r>
          </w:p>
        </w:tc>
        <w:tc>
          <w:tcPr>
            <w:tcW w:type="dxa" w:w="2226"/>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M16</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Contrôle Qualité et Pharmacovigilance</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DPMED, LNCQ, pharmaciens</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En conception</w:t>
            </w:r>
          </w:p>
        </w:tc>
      </w:tr>
      <w:tr>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M17</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Intégration SoBAPS et grossistes</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SoBAPS, UbiPharm, Promopharma</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En conception</w:t>
            </w:r>
          </w:p>
        </w:tc>
      </w:tr>
      <w:tr>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M18</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Alertes DPMED et rappels de lot</w:t>
            </w:r>
          </w:p>
        </w:tc>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DPMED, pharmaciens, patients</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En conception — PRIORITAIRE</w:t>
            </w:r>
          </w:p>
        </w:tc>
      </w:tr>
      <w:tr>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M19</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Conformité réglementaire et certification</w:t>
            </w:r>
          </w:p>
        </w:tc>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DPMED, pharmaciens, inspecteurs</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En conception</w:t>
            </w:r>
          </w:p>
        </w:tc>
      </w:tr>
    </w:tbl>
    <w:p>
      <w:pPr>
        <w:spacing w:before="0" w:after="80"/>
      </w:pPr>
      <w:r>
        <w:t xml:space="preserve"/>
      </w:r>
    </w:p>
    <w:p>
      <w:pPr>
        <w:pStyle w:val="Heading1"/>
        <w:spacing w:before="360" w:after="180"/>
      </w:pPr>
      <w:r>
        <w:rPr>
          <w:rFonts w:ascii="Arial" w:cs="Arial" w:eastAsia="Arial" w:hAnsi="Arial"/>
          <w:b/>
          <w:bCs/>
          <w:color w:val="1B2B5E"/>
          <w:sz w:val="28"/>
          <w:szCs w:val="28"/>
        </w:rPr>
        <w:t xml:space="preserve">C.2  Module M16 — Contrôle Qualité et Pharmacovigilance</w:t>
      </w:r>
    </w:p>
    <w:p>
      <w:pPr>
        <w:pStyle w:val="Heading2"/>
        <w:pBdr>
          <w:bottom w:val="single" w:color="1D9E75" w:sz="6" w:space="1"/>
        </w:pBdr>
        <w:spacing w:before="240" w:after="120"/>
      </w:pPr>
      <w:r>
        <w:rPr>
          <w:rFonts w:ascii="Arial" w:cs="Arial" w:eastAsia="Arial" w:hAnsi="Arial"/>
          <w:b/>
          <w:bCs/>
          <w:color w:val="1D9E75"/>
          <w:sz w:val="24"/>
          <w:szCs w:val="24"/>
        </w:rPr>
        <w:t xml:space="preserve">Description</w:t>
      </w:r>
    </w:p>
    <w:p>
      <w:pPr>
        <w:spacing w:before="0" w:after="160"/>
        <w:jc w:val="both"/>
      </w:pPr>
      <w:r>
        <w:rPr>
          <w:rFonts w:ascii="Arial" w:cs="Arial" w:eastAsia="Arial" w:hAnsi="Arial"/>
          <w:color w:val="1A1A1A"/>
          <w:sz w:val="22"/>
          <w:szCs w:val="22"/>
        </w:rPr>
        <w:t xml:space="preserve">Le module M16 digitalise deux processus aujourd'hui entièrement manuels au Bénin : la veille qualité des médicaments en officine et le circuit de signalement des effets indésirables médicamenteux vers la DPMED.</w:t>
      </w:r>
    </w:p>
    <w:p>
      <w:pPr>
        <w:spacing w:before="0" w:after="80"/>
      </w:pPr>
      <w:r>
        <w:t xml:space="preserve"/>
      </w:r>
    </w:p>
    <w:p>
      <w:pPr>
        <w:pStyle w:val="Heading2"/>
        <w:pBdr>
          <w:bottom w:val="single" w:color="1D9E75" w:sz="6" w:space="1"/>
        </w:pBdr>
        <w:spacing w:before="240" w:after="120"/>
      </w:pPr>
      <w:r>
        <w:rPr>
          <w:rFonts w:ascii="Arial" w:cs="Arial" w:eastAsia="Arial" w:hAnsi="Arial"/>
          <w:b/>
          <w:bCs/>
          <w:color w:val="1D9E75"/>
          <w:sz w:val="24"/>
          <w:szCs w:val="24"/>
        </w:rPr>
        <w:t xml:space="preserve">Fonctionnalités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36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26"/>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Valeur pour la DPMED</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Base de veille qualité</w:t>
            </w:r>
          </w:p>
        </w:tc>
        <w:tc>
          <w:tcPr>
            <w:tcW w:type="dxa" w:w="3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Médicaments suspects, contrefaits, rappels de lot, AMM suspendues — alimentée par la DPMED et le LNCQ</w:t>
            </w:r>
          </w:p>
        </w:tc>
        <w:tc>
          <w:tcPr>
            <w:tcW w:type="dxa" w:w="3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La DPMED devient la source officielle visible dans l'interface de 600 pharmaciens</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Vérification à la réception</w:t>
            </w:r>
          </w:p>
        </w:tc>
        <w:tc>
          <w:tcPr>
            <w:tcW w:type="dxa" w:w="3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Lors de la réception d'un lot, le système vérifie automatiquement sa conformité avec la base de veille — alerte bloquante si lot sous surveillance</w:t>
            </w:r>
          </w:p>
        </w:tc>
        <w:tc>
          <w:tcPr>
            <w:tcW w:type="dxa" w:w="3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Prévention de la mise en vente de produits non conformes</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Signalement d'effet indésirable numérique</w:t>
            </w:r>
          </w:p>
        </w:tc>
        <w:tc>
          <w:tcPr>
            <w:tcW w:type="dxa" w:w="3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Formulaire intégré — pré-rempli depuis la fiche médicament et patient — format DPMED/OMS — soumission directe par API</w:t>
            </w:r>
          </w:p>
        </w:tc>
        <w:tc>
          <w:tcPr>
            <w:tcW w:type="dxa" w:w="3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Augmentation du volume de signalements reçus — amélioration de la surveillance</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Fiche DCI enrichie</w:t>
            </w:r>
          </w:p>
        </w:tc>
        <w:tc>
          <w:tcPr>
            <w:tcW w:type="dxa" w:w="3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Interactions médicamenteuses, contre-indications, posologie standard — consultable depuis la caisse lors de la délivrance</w:t>
            </w:r>
          </w:p>
        </w:tc>
        <w:tc>
          <w:tcPr>
            <w:tcW w:type="dxa" w:w="3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Amélioration de la qualité de la dispensation</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Tableau de bord pharmacovigilance officine</w:t>
            </w:r>
          </w:p>
        </w:tc>
        <w:tc>
          <w:tcPr>
            <w:tcW w:type="dxa" w:w="3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Score de vigilance, historique des signalements, conformité veille qualité</w:t>
            </w:r>
          </w:p>
        </w:tc>
        <w:tc>
          <w:tcPr>
            <w:tcW w:type="dxa" w:w="3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Outil d'auto-évaluation du pharmacien avant inspection</w:t>
            </w:r>
          </w:p>
        </w:tc>
      </w:tr>
    </w:tbl>
    <w:p>
      <w:pPr>
        <w:spacing w:before="0" w:after="80"/>
      </w:pPr>
      <w:r>
        <w:t xml:space="preserve"/>
      </w:r>
    </w:p>
    <w:p>
      <w:pPr>
        <w:pStyle w:val="Heading2"/>
        <w:pBdr>
          <w:bottom w:val="single" w:color="1D9E75" w:sz="6" w:space="1"/>
        </w:pBdr>
        <w:spacing w:before="240" w:after="120"/>
      </w:pPr>
      <w:r>
        <w:rPr>
          <w:rFonts w:ascii="Arial" w:cs="Arial" w:eastAsia="Arial" w:hAnsi="Arial"/>
          <w:b/>
          <w:bCs/>
          <w:color w:val="1D9E75"/>
          <w:sz w:val="24"/>
          <w:szCs w:val="24"/>
        </w:rPr>
        <w:t xml:space="preserve">Flux technique — Signalement vers la DPMED</w:t>
      </w:r>
    </w:p>
    <w:p>
      <w:pPr>
        <w:spacing w:before="0" w:after="160"/>
        <w:jc w:val="both"/>
      </w:pPr>
      <w:r>
        <w:rPr>
          <w:rFonts w:ascii="Arial" w:cs="Arial" w:eastAsia="Arial" w:hAnsi="Arial"/>
          <w:color w:val="1A1A1A"/>
          <w:sz w:val="22"/>
          <w:szCs w:val="22"/>
        </w:rPr>
        <w:t xml:space="preserve">Le pharmacien remplit le formulaire de signalement depuis MédiHelm. Le système génère automatiquement un rapport au format requis. Si un accord API est en place avec la DPMED, la transmission est instantanée et un accusé de réception est retourné avec une référence DPMED. En l'absence d'API, le rapport est généré en PDF sécurisé, prêt à être transmis par voie officielle.</w:t>
      </w:r>
    </w:p>
    <w:p>
      <w:pPr>
        <w:spacing w:before="0" w:after="80"/>
      </w:pPr>
      <w:r>
        <w:t xml:space="preserve"/>
      </w:r>
    </w:p>
    <w:p>
      <w:pPr>
        <w:pStyle w:val="Heading1"/>
        <w:spacing w:before="360" w:after="180"/>
      </w:pPr>
      <w:r>
        <w:rPr>
          <w:rFonts w:ascii="Arial" w:cs="Arial" w:eastAsia="Arial" w:hAnsi="Arial"/>
          <w:b/>
          <w:bCs/>
          <w:color w:val="1B2B5E"/>
          <w:sz w:val="28"/>
          <w:szCs w:val="28"/>
        </w:rPr>
        <w:t xml:space="preserve">C.3  Module M18 — Alertes DPMED et Rappels de Lot</w:t>
      </w:r>
    </w:p>
    <w:p>
      <w:pPr>
        <w:pStyle w:val="Heading2"/>
        <w:pBdr>
          <w:bottom w:val="single" w:color="1D9E75" w:sz="6" w:space="1"/>
        </w:pBdr>
        <w:spacing w:before="240" w:after="120"/>
      </w:pPr>
      <w:r>
        <w:rPr>
          <w:rFonts w:ascii="Arial" w:cs="Arial" w:eastAsia="Arial" w:hAnsi="Arial"/>
          <w:b/>
          <w:bCs/>
          <w:color w:val="1D9E75"/>
          <w:sz w:val="24"/>
          <w:szCs w:val="24"/>
        </w:rPr>
        <w:t xml:space="preserve">Description</w:t>
      </w:r>
    </w:p>
    <w:p>
      <w:pPr>
        <w:spacing w:before="0" w:after="160"/>
        <w:jc w:val="both"/>
      </w:pPr>
      <w:r>
        <w:rPr>
          <w:rFonts w:ascii="Arial" w:cs="Arial" w:eastAsia="Arial" w:hAnsi="Arial"/>
          <w:color w:val="1A1A1A"/>
          <w:sz w:val="22"/>
          <w:szCs w:val="22"/>
        </w:rPr>
        <w:t xml:space="preserve">Le module M18 est le coeur du partenariat institutionnel MédiHelm / DPMED. Il fait de MédiHelm le canal numérique officiel par lequel votre Direction touche les officines béninoises abonnées en temps quasi réel.</w:t>
      </w:r>
    </w:p>
    <w:p>
      <w:pPr>
        <w:spacing w:before="0" w:after="80"/>
      </w:pPr>
      <w:r>
        <w:t xml:space="preserve"/>
      </w:r>
    </w:p>
    <w:p>
      <w:pPr>
        <w:pStyle w:val="Heading2"/>
        <w:pBdr>
          <w:bottom w:val="single" w:color="1D9E75" w:sz="6" w:space="1"/>
        </w:pBdr>
        <w:spacing w:before="240" w:after="120"/>
      </w:pPr>
      <w:r>
        <w:rPr>
          <w:rFonts w:ascii="Arial" w:cs="Arial" w:eastAsia="Arial" w:hAnsi="Arial"/>
          <w:b/>
          <w:bCs/>
          <w:color w:val="1D9E75"/>
          <w:sz w:val="24"/>
          <w:szCs w:val="24"/>
        </w:rPr>
        <w:t xml:space="preserve">Processus de diffusion d'une alerte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000"/>
        <w:gridCol w:w="2626"/>
      </w:tblGrid>
      <w:tr>
        <w:trPr>
          <w:tblHeader/>
        </w:trPr>
        <w:tc>
          <w:tcPr>
            <w:tcW w:type="dxa" w:w="10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Etape</w:t>
            </w:r>
          </w:p>
        </w:tc>
        <w:tc>
          <w:tcPr>
            <w:tcW w:type="dxa" w:w="14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Délai</w:t>
            </w:r>
          </w:p>
        </w:tc>
        <w:tc>
          <w:tcPr>
            <w:tcW w:type="dxa" w:w="40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626"/>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Canal</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1. Emission de l'alerte</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T+0</w:t>
            </w:r>
          </w:p>
        </w:tc>
        <w:tc>
          <w:tcPr>
            <w:tcW w:type="dxa" w:w="4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La DPMED saisit l'alerte sur le portail MédiHelm Institutionnel ou transmet via API</w:t>
            </w:r>
          </w:p>
        </w:tc>
        <w:tc>
          <w:tcPr>
            <w:tcW w:type="dxa" w:w="2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Portail sécurisé DPMED</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2. Validation et signature</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T+0</w:t>
            </w:r>
          </w:p>
        </w:tc>
        <w:tc>
          <w:tcPr>
            <w:tcW w:type="dxa" w:w="4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Signature numérique de l'alerte — vérification d'authenticité avant diffusion</w:t>
            </w:r>
          </w:p>
        </w:tc>
        <w:tc>
          <w:tcPr>
            <w:tcW w:type="dxa" w:w="2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Système automatique</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3. Identification des officines</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T+30 secondes</w:t>
            </w:r>
          </w:p>
        </w:tc>
        <w:tc>
          <w:tcPr>
            <w:tcW w:type="dxa" w:w="4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Identification de toutes les pharmacies abonnées ayant le lot concerné en stock actif</w:t>
            </w:r>
          </w:p>
        </w:tc>
        <w:tc>
          <w:tcPr>
            <w:tcW w:type="dxa" w:w="2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Base de données MédiHelm</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4. Identification des patients</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T+30 secondes</w:t>
            </w:r>
          </w:p>
        </w:tc>
        <w:tc>
          <w:tcPr>
            <w:tcW w:type="dxa" w:w="4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Identification des patients ayant acheté le médicament/lot dans les 90 derniers jours</w:t>
            </w:r>
          </w:p>
        </w:tc>
        <w:tc>
          <w:tcPr>
            <w:tcW w:type="dxa" w:w="2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Base de données MédiHelm</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5. Diffusion aux pharmaciens</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T+1 minute</w:t>
            </w:r>
          </w:p>
        </w:tc>
        <w:tc>
          <w:tcPr>
            <w:tcW w:type="dxa" w:w="4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Notification push application + SMS pour chaque pharmacien concerné</w:t>
            </w:r>
          </w:p>
        </w:tc>
        <w:tc>
          <w:tcPr>
            <w:tcW w:type="dxa" w:w="2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AfricasTalking + Firebase FCM</w:t>
            </w:r>
          </w:p>
        </w:tc>
      </w:tr>
      <w:tr>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6. Diffusion aux patients</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T+1 minute 30</w:t>
            </w:r>
          </w:p>
        </w:tc>
        <w:tc>
          <w:tcPr>
            <w:tcW w:type="dxa" w:w="4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Notification push + SMS aux patients concernés avec instructions officielles</w:t>
            </w:r>
          </w:p>
        </w:tc>
        <w:tc>
          <w:tcPr>
            <w:tcW w:type="dxa" w:w="2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AfricasTalking + Firebase FCM</w:t>
            </w:r>
          </w:p>
        </w:tc>
      </w:tr>
      <w:tr>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7. Tableau de bord DPMED</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T+2 minutes</w:t>
            </w:r>
          </w:p>
        </w:tc>
        <w:tc>
          <w:tcPr>
            <w:tcW w:type="dxa" w:w="4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Mise à jour en temps réel : taux de notification, accusés de réception</w:t>
            </w:r>
          </w:p>
        </w:tc>
        <w:tc>
          <w:tcPr>
            <w:tcW w:type="dxa" w:w="2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Portail DPMED</w:t>
            </w:r>
          </w:p>
        </w:tc>
      </w:tr>
    </w:tbl>
    <w:p>
      <w:pPr>
        <w:spacing w:before="0" w:after="80"/>
      </w:pPr>
      <w:r>
        <w:t xml:space="preserve"/>
      </w:r>
    </w:p>
    <w:p>
      <w:pPr>
        <w:pStyle w:val="Heading2"/>
        <w:pBdr>
          <w:bottom w:val="single" w:color="1D9E75" w:sz="6" w:space="1"/>
        </w:pBdr>
        <w:spacing w:before="240" w:after="120"/>
      </w:pPr>
      <w:r>
        <w:rPr>
          <w:rFonts w:ascii="Arial" w:cs="Arial" w:eastAsia="Arial" w:hAnsi="Arial"/>
          <w:b/>
          <w:bCs/>
          <w:color w:val="1D9E75"/>
          <w:sz w:val="24"/>
          <w:szCs w:val="24"/>
        </w:rPr>
        <w:t xml:space="preserve">Garantie de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6"/>
              <w:left w:val="single" w:color="1D9E75" w:sz="24"/>
              <w:bottom w:val="single" w:color="1D9E75" w:sz="6"/>
              <w:right w:val="single" w:color="1D9E75" w:sz="6"/>
            </w:tcBorders>
            <w:shd w:fill="E1F5EE" w:val="clear"/>
            <w:tcMar>
              <w:top w:type="dxa" w:w="120"/>
              <w:left w:type="dxa" w:w="200"/>
              <w:bottom w:type="dxa" w:w="120"/>
              <w:right w:type="dxa" w:w="180"/>
            </w:tcMar>
          </w:tcPr>
          <w:p>
            <w:pPr>
              <w:spacing w:before="0" w:after="80"/>
            </w:pPr>
            <w:r>
              <w:rPr>
                <w:rFonts w:ascii="Arial" w:cs="Arial" w:eastAsia="Arial" w:hAnsi="Arial"/>
                <w:i/>
                <w:iCs/>
                <w:color w:val="085041"/>
                <w:sz w:val="21"/>
                <w:szCs w:val="21"/>
              </w:rPr>
              <w:t xml:space="preserve">Délai garanti de diffusion : moins de 2 minutes entre l'émission de l'alerte par la DPMED</w:t>
            </w:r>
          </w:p>
          <w:p>
            <w:pPr>
              <w:spacing w:before="0" w:after="80"/>
            </w:pPr>
            <w:r>
              <w:rPr>
                <w:rFonts w:ascii="Arial" w:cs="Arial" w:eastAsia="Arial" w:hAnsi="Arial"/>
                <w:i/>
                <w:iCs/>
                <w:color w:val="085041"/>
                <w:sz w:val="21"/>
                <w:szCs w:val="21"/>
              </w:rPr>
              <w:t xml:space="preserve">et la réception de la notification par l'ensemble des pharmaciens et patients concernés.</w:t>
            </w:r>
          </w:p>
          <w:p>
            <w:pPr>
              <w:spacing w:before="0" w:after="80"/>
            </w:pPr>
            <w:r>
              <w:rPr>
                <w:rFonts w:ascii="Arial" w:cs="Arial" w:eastAsia="Arial" w:hAnsi="Arial"/>
                <w:i/>
                <w:iCs/>
                <w:color w:val="085041"/>
                <w:sz w:val="21"/>
                <w:szCs w:val="21"/>
              </w:rPr>
              <w:t xml:space="preserve">Cible : 100% des officines abonnées notifiées — 100% des patients concernés alertés.</w:t>
            </w:r>
          </w:p>
        </w:tc>
      </w:tr>
    </w:tbl>
    <w:p>
      <w:pPr>
        <w:spacing w:before="0" w:after="80"/>
      </w:pPr>
      <w:r>
        <w:t xml:space="preserve"/>
      </w:r>
    </w:p>
    <w:p>
      <w:pPr>
        <w:pStyle w:val="Heading2"/>
        <w:pBdr>
          <w:bottom w:val="single" w:color="1D9E75" w:sz="6" w:space="1"/>
        </w:pBdr>
        <w:spacing w:before="240" w:after="120"/>
      </w:pPr>
      <w:r>
        <w:rPr>
          <w:rFonts w:ascii="Arial" w:cs="Arial" w:eastAsia="Arial" w:hAnsi="Arial"/>
          <w:b/>
          <w:bCs/>
          <w:color w:val="1D9E75"/>
          <w:sz w:val="24"/>
          <w:szCs w:val="24"/>
        </w:rPr>
        <w:t xml:space="preserve">Types d'alertes gérées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Type d'alerte</w:t>
            </w:r>
          </w:p>
        </w:tc>
        <w:tc>
          <w:tcPr>
            <w:tcW w:type="dxa" w:w="34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Exemple</w:t>
            </w:r>
          </w:p>
        </w:tc>
        <w:tc>
          <w:tcPr>
            <w:tcW w:type="dxa" w:w="3226"/>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Diffusion</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Rappel de lot</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Lot X du médicament Y présentant une non-conformité à la fabrication</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Pharmaciens ayant le lot en stock + patients l'ayant acheté</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Médicament contrefait</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DCI Z — fabricant non agréé détecté sur le marché</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Tous les pharmaciens abonnés + alerte publique sur MédiHelm Patient</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AMM suspendue</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Retrait d'autorisation de mise sur le marché d'un produit</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Tous les pharmaciens abonnés</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Alerte pharmacovigilance</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Signal de risque identifié sur une DCI</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Pharmaciens concernés par le médicament</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Information réglementaire</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Nouvelle circulaire, modification de liste de stupéfiants</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Tous les pharmaciens abonnés</w:t>
            </w:r>
          </w:p>
        </w:tc>
      </w:tr>
    </w:tbl>
    <w:p>
      <w:pPr>
        <w:spacing w:before="0" w:after="80"/>
      </w:pPr>
      <w:r>
        <w:t xml:space="preserve"/>
      </w:r>
    </w:p>
    <w:p>
      <w:pPr>
        <w:pStyle w:val="Heading1"/>
        <w:spacing w:before="360" w:after="180"/>
      </w:pPr>
      <w:r>
        <w:rPr>
          <w:rFonts w:ascii="Arial" w:cs="Arial" w:eastAsia="Arial" w:hAnsi="Arial"/>
          <w:b/>
          <w:bCs/>
          <w:color w:val="1B2B5E"/>
          <w:sz w:val="28"/>
          <w:szCs w:val="28"/>
        </w:rPr>
        <w:t xml:space="preserve">C.4  Module M19 — Conformité Réglementaire</w:t>
      </w:r>
    </w:p>
    <w:p>
      <w:pPr>
        <w:pStyle w:val="Heading2"/>
        <w:pBdr>
          <w:bottom w:val="single" w:color="1D9E75" w:sz="6" w:space="1"/>
        </w:pBdr>
        <w:spacing w:before="240" w:after="120"/>
      </w:pPr>
      <w:r>
        <w:rPr>
          <w:rFonts w:ascii="Arial" w:cs="Arial" w:eastAsia="Arial" w:hAnsi="Arial"/>
          <w:b/>
          <w:bCs/>
          <w:color w:val="1D9E75"/>
          <w:sz w:val="24"/>
          <w:szCs w:val="24"/>
        </w:rPr>
        <w:t xml:space="preserve">Description</w:t>
      </w:r>
    </w:p>
    <w:p>
      <w:pPr>
        <w:spacing w:before="0" w:after="160"/>
        <w:jc w:val="both"/>
      </w:pPr>
      <w:r>
        <w:rPr>
          <w:rFonts w:ascii="Arial" w:cs="Arial" w:eastAsia="Arial" w:hAnsi="Arial"/>
          <w:color w:val="1A1A1A"/>
          <w:sz w:val="22"/>
          <w:szCs w:val="22"/>
        </w:rPr>
        <w:t xml:space="preserve">Le module M19 permet à chaque officine abonnée de mesurer et d'améliorer en permanence sa conformité aux exigences réglementaires de la DPMED. Il simplifie radicalement la préparation et le déroulement des inspections pharmaceutiques.</w:t>
      </w:r>
    </w:p>
    <w:p>
      <w:pPr>
        <w:spacing w:before="0" w:after="80"/>
      </w:pPr>
      <w:r>
        <w:t xml:space="preserve"/>
      </w:r>
    </w:p>
    <w:p>
      <w:pPr>
        <w:pStyle w:val="Heading2"/>
        <w:pBdr>
          <w:bottom w:val="single" w:color="1D9E75" w:sz="6" w:space="1"/>
        </w:pBdr>
        <w:spacing w:before="240" w:after="120"/>
      </w:pPr>
      <w:r>
        <w:rPr>
          <w:rFonts w:ascii="Arial" w:cs="Arial" w:eastAsia="Arial" w:hAnsi="Arial"/>
          <w:b/>
          <w:bCs/>
          <w:color w:val="1D9E75"/>
          <w:sz w:val="24"/>
          <w:szCs w:val="24"/>
        </w:rPr>
        <w:t xml:space="preserve">Documents générables pour une inspection DPMED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426"/>
      </w:tblGrid>
      <w:tr>
        <w:trPr>
          <w:tblHeader/>
        </w:trPr>
        <w:tc>
          <w:tcPr>
            <w:tcW w:type="dxa" w:w="28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20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Délai de génération</w:t>
            </w:r>
          </w:p>
        </w:tc>
        <w:tc>
          <w:tcPr>
            <w:tcW w:type="dxa" w:w="18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426"/>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Exigence légale</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Registre des stupéfiants et psychotropes</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&lt; 30 secondes</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PDF signé + Excel</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Obligatoire — contrôlé à chaque inspection DPMED</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Registre des ordonnances</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&lt; 30 secondes</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PDF</w:t>
            </w:r>
          </w:p>
        </w:tc>
        <w:tc>
          <w:tcPr>
            <w:tcW w:type="dxa" w:w="2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Archivage minimum 3 ans</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Procès-verbal de destruction de médicaments périmés</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&lt; 1 minute</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PDF format officiel DPMED</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Obligatoire avant toute destruction</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Déclaration trimestrielle des stupéfiants</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&lt; 2 minutes</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Format DPMED</w:t>
            </w:r>
          </w:p>
        </w:tc>
        <w:tc>
          <w:tcPr>
            <w:tcW w:type="dxa" w:w="2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Envoi trimestriel obligatoire à la DPMED</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Rapport de pharmacovigilance mensuel</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&lt; 2 minutes</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Format OMS / DPMED</w:t>
            </w:r>
          </w:p>
        </w:tc>
        <w:tc>
          <w:tcPr>
            <w:tcW w:type="dxa" w:w="2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Recommandé — obligatoire si effet indésirable grave</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Etat de stock à une date donnée</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&lt; 1 minute</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Excel</w:t>
            </w:r>
          </w:p>
        </w:tc>
        <w:tc>
          <w:tcPr>
            <w:tcW w:type="dxa" w:w="2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Sur demande inspecteur</w:t>
            </w:r>
          </w:p>
        </w:tc>
      </w:tr>
    </w:tbl>
    <w:p>
      <w:pPr>
        <w:spacing w:before="0" w:after="80"/>
      </w:pPr>
      <w:r>
        <w:t xml:space="preserve"/>
      </w:r>
    </w:p>
    <w:p>
      <w:pPr>
        <w:pStyle w:val="Heading2"/>
        <w:pBdr>
          <w:bottom w:val="single" w:color="1D9E75" w:sz="6" w:space="1"/>
        </w:pBdr>
        <w:spacing w:before="240" w:after="120"/>
      </w:pPr>
      <w:r>
        <w:rPr>
          <w:rFonts w:ascii="Arial" w:cs="Arial" w:eastAsia="Arial" w:hAnsi="Arial"/>
          <w:b/>
          <w:bCs/>
          <w:color w:val="1D9E75"/>
          <w:sz w:val="24"/>
          <w:szCs w:val="24"/>
        </w:rPr>
        <w:t xml:space="preserve">Score de conformité — Indicateur continu</w:t>
      </w:r>
    </w:p>
    <w:p>
      <w:pPr>
        <w:spacing w:before="0" w:after="160"/>
        <w:jc w:val="both"/>
      </w:pPr>
      <w:r>
        <w:rPr>
          <w:rFonts w:ascii="Arial" w:cs="Arial" w:eastAsia="Arial" w:hAnsi="Arial"/>
          <w:color w:val="1A1A1A"/>
          <w:sz w:val="22"/>
          <w:szCs w:val="22"/>
        </w:rPr>
        <w:t xml:space="preserve">Chaque officine abonnée dispose d'un score de conformité calculé quotidiennement sur 100 points, réparti en cinq composantes directement alignées sur les critères d'inspection DPMED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Composante</w:t>
            </w:r>
          </w:p>
        </w:tc>
        <w:tc>
          <w:tcPr>
            <w:tcW w:type="dxa" w:w="16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Pondération</w:t>
            </w:r>
          </w:p>
        </w:tc>
        <w:tc>
          <w:tcPr>
            <w:tcW w:type="dxa" w:w="5026"/>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Critère évalué</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Registre des stupéfiants</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25 points</w:t>
            </w:r>
          </w:p>
        </w:tc>
        <w:tc>
          <w:tcPr>
            <w:tcW w:type="dxa" w:w="5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Toutes les délivrances de stupéfiants ont un numéro de registre et une ordonnance liée</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Traitement des alertes DPMED</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25 points</w:t>
            </w:r>
          </w:p>
        </w:tc>
        <w:tc>
          <w:tcPr>
            <w:tcW w:type="dxa" w:w="5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Alertes acquittées et traitées en moins de 24 heures</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Documents officiels valides</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20 points</w:t>
            </w:r>
          </w:p>
        </w:tc>
        <w:tc>
          <w:tcPr>
            <w:tcW w:type="dxa" w:w="5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Licence d'exploitation, diplômes et assurance en cours de validité</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Signalements pharmacovigilance</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15 points</w:t>
            </w:r>
          </w:p>
        </w:tc>
        <w:tc>
          <w:tcPr>
            <w:tcW w:type="dxa" w:w="5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Aucun signalement d'effet indésirable grave non soumis depuis plus de 7 jours</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Destructions documentées</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15 points</w:t>
            </w:r>
          </w:p>
        </w:tc>
        <w:tc>
          <w:tcPr>
            <w:tcW w:type="dxa" w:w="5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Tous les médicaments périmés détruits ont un procès-verbal</w:t>
            </w:r>
          </w:p>
        </w:tc>
      </w:tr>
    </w:tbl>
    <w:p>
      <w:pPr>
        <w:spacing w:before="0" w:after="80"/>
      </w:pPr>
      <w:r>
        <w:t xml:space="preserve"/>
      </w:r>
    </w:p>
    <w:p>
      <w:pPr>
        <w:spacing w:before="0" w:after="160"/>
        <w:jc w:val="both"/>
      </w:pPr>
      <w:r>
        <w:rPr>
          <w:rFonts w:ascii="Arial" w:cs="Arial" w:eastAsia="Arial" w:hAnsi="Arial"/>
          <w:color w:val="1A1A1A"/>
          <w:sz w:val="22"/>
          <w:szCs w:val="22"/>
        </w:rPr>
        <w:t xml:space="preserve">Un score inférieur à 70 déclenche une alerte immédiate au directeur de l'officine avec les actions correctives recommandées. Ce mécanisme permet aux officines de se conformer proactivement, réduisant le nombre de non-conformités constatées lors des inspections DPMED.</w:t>
      </w:r>
    </w:p>
    <w:p>
      <w:pPr>
        <w:spacing w:before="0" w:after="80"/>
      </w:pPr>
      <w:r>
        <w:t xml:space="preserve"/>
      </w:r>
    </w:p>
    <w:p>
      <w:pPr>
        <w:pStyle w:val="Heading1"/>
        <w:spacing w:before="360" w:after="180"/>
      </w:pPr>
      <w:r>
        <w:rPr>
          <w:rFonts w:ascii="Arial" w:cs="Arial" w:eastAsia="Arial" w:hAnsi="Arial"/>
          <w:b/>
          <w:bCs/>
          <w:color w:val="1B2B5E"/>
          <w:sz w:val="28"/>
          <w:szCs w:val="28"/>
        </w:rPr>
        <w:t xml:space="preserve">C.5  Sécurité, confidentialité et protection des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Enjeu</w:t>
            </w:r>
          </w:p>
        </w:tc>
        <w:tc>
          <w:tcPr>
            <w:tcW w:type="dxa" w:w="38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Mesure technique</w:t>
            </w:r>
          </w:p>
        </w:tc>
        <w:tc>
          <w:tcPr>
            <w:tcW w:type="dxa" w:w="3026"/>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Garantie</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Authenticité des alertes DPMED</w:t>
            </w:r>
          </w:p>
        </w:tc>
        <w:tc>
          <w:tcPr>
            <w:tcW w:type="dxa" w:w="3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Signature numérique RSA-256 de chaque alerte — vérification avant diffusion</w:t>
            </w:r>
          </w:p>
        </w:tc>
        <w:tc>
          <w:tcPr>
            <w:tcW w:type="dxa" w:w="3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Impossibilité d'injection de fausses alertes dans le système</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Confidentialité des données patients</w:t>
            </w:r>
          </w:p>
        </w:tc>
        <w:tc>
          <w:tcPr>
            <w:tcW w:type="dxa" w:w="3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Pseudonymisation systématique dans les signalements EI transmis à la DPMED</w:t>
            </w:r>
          </w:p>
        </w:tc>
        <w:tc>
          <w:tcPr>
            <w:tcW w:type="dxa" w:w="3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La DPMED ne reçoit jamais de données nominatives patients</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Isolation des données institutionnelles</w:t>
            </w:r>
          </w:p>
        </w:tc>
        <w:tc>
          <w:tcPr>
            <w:tcW w:type="dxa" w:w="3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Schéma PostgreSQL séparé pour les données institutionnelles — aucune jointure avec les données commerciales des officines</w:t>
            </w:r>
          </w:p>
        </w:tc>
        <w:tc>
          <w:tcPr>
            <w:tcW w:type="dxa" w:w="3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Les données des portails institutionnels sont architecturalement isolées</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Accès au portail DPMED</w:t>
            </w:r>
          </w:p>
        </w:tc>
        <w:tc>
          <w:tcPr>
            <w:tcW w:type="dxa" w:w="3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Authentification mutuelle par certificat (mTLS) + JWT — accès sur invitation YEHI OR Tech uniquement</w:t>
            </w:r>
          </w:p>
        </w:tc>
        <w:tc>
          <w:tcPr>
            <w:tcW w:type="dxa" w:w="3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Accès strictement réservé aux agents DPMED désignés</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Conservation des données</w:t>
            </w:r>
          </w:p>
        </w:tc>
        <w:tc>
          <w:tcPr>
            <w:tcW w:type="dxa" w:w="3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Rapports et alertes conservés 5 ans — conformément aux exigences de la pharmacovigilance internationale</w:t>
            </w:r>
          </w:p>
        </w:tc>
        <w:tc>
          <w:tcPr>
            <w:tcW w:type="dxa" w:w="3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Traçabilité complète sur la durée légale</w:t>
            </w:r>
          </w:p>
        </w:tc>
      </w:tr>
    </w:tbl>
    <w:p>
      <w:pPr>
        <w:spacing w:before="0" w:after="80"/>
      </w:pPr>
      <w:r>
        <w:t xml:space="preserve"/>
      </w:r>
    </w:p>
    <w:p>
      <w:pPr>
        <w:pStyle w:val="Heading1"/>
        <w:spacing w:before="360" w:after="180"/>
      </w:pPr>
      <w:r>
        <w:rPr>
          <w:rFonts w:ascii="Arial" w:cs="Arial" w:eastAsia="Arial" w:hAnsi="Arial"/>
          <w:b/>
          <w:bCs/>
          <w:color w:val="1B2B5E"/>
          <w:sz w:val="28"/>
          <w:szCs w:val="28"/>
        </w:rPr>
        <w:t xml:space="preserve">C.6  Contacts et prochaines étapes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2B5E" w:sz="6"/>
              <w:left w:val="single" w:color="1B2B5E" w:sz="6"/>
              <w:bottom w:val="single" w:color="1B2B5E" w:sz="6"/>
              <w:right w:val="single" w:color="1B2B5E" w:sz="6"/>
            </w:tcBorders>
            <w:shd w:fill="E8ECF5" w:val="clear"/>
            <w:tcMar>
              <w:top w:type="dxa" w:w="160"/>
              <w:left w:type="dxa" w:w="240"/>
              <w:bottom w:type="dxa" w:w="160"/>
              <w:right w:type="dxa" w:w="240"/>
            </w:tcMar>
          </w:tcPr>
          <w:p>
            <w:pPr>
              <w:spacing w:before="0" w:after="80"/>
            </w:pPr>
            <w:r>
              <w:rPr>
                <w:rFonts w:ascii="Arial" w:cs="Arial" w:eastAsia="Arial" w:hAnsi="Arial"/>
                <w:color w:val="1B2B5E"/>
                <w:sz w:val="21"/>
                <w:szCs w:val="21"/>
              </w:rPr>
              <w:t xml:space="preserve">Pour organiser une démonstration de la plateforme ou pour toute demande d'information complémentaire :</w:t>
            </w:r>
          </w:p>
          <w:p>
            <w:pPr>
              <w:spacing w:before="0" w:after="80"/>
            </w:pPr>
            <w:r>
              <w:rPr>
                <w:rFonts w:ascii="Arial" w:cs="Arial" w:eastAsia="Arial" w:hAnsi="Arial"/>
                <w:color w:val="1B2B5E"/>
                <w:sz w:val="21"/>
                <w:szCs w:val="21"/>
              </w:rPr>
              <w:t xml:space="preserve"/>
            </w:r>
          </w:p>
          <w:p>
            <w:pPr>
              <w:spacing w:before="0" w:after="80"/>
            </w:pPr>
            <w:r>
              <w:rPr>
                <w:rFonts w:ascii="Arial" w:cs="Arial" w:eastAsia="Arial" w:hAnsi="Arial"/>
                <w:color w:val="1B2B5E"/>
                <w:sz w:val="21"/>
                <w:szCs w:val="21"/>
              </w:rPr>
              <w:t xml:space="preserve">DAWES — Fondateur, YEHI OR Tech</w:t>
            </w:r>
          </w:p>
          <w:p>
            <w:pPr>
              <w:spacing w:before="0" w:after="80"/>
            </w:pPr>
            <w:r>
              <w:rPr>
                <w:rFonts w:ascii="Arial" w:cs="Arial" w:eastAsia="Arial" w:hAnsi="Arial"/>
                <w:color w:val="1B2B5E"/>
                <w:sz w:val="21"/>
                <w:szCs w:val="21"/>
              </w:rPr>
              <w:t xml:space="preserve">Email : [votre.email@yehiortech.com]</w:t>
            </w:r>
          </w:p>
          <w:p>
            <w:pPr>
              <w:spacing w:before="0" w:after="80"/>
            </w:pPr>
            <w:r>
              <w:rPr>
                <w:rFonts w:ascii="Arial" w:cs="Arial" w:eastAsia="Arial" w:hAnsi="Arial"/>
                <w:color w:val="1B2B5E"/>
                <w:sz w:val="21"/>
                <w:szCs w:val="21"/>
              </w:rPr>
              <w:t xml:space="preserve">Téléphone : [+229 XX XX XX XX]</w:t>
            </w:r>
          </w:p>
          <w:p>
            <w:pPr>
              <w:spacing w:before="0" w:after="80"/>
            </w:pPr>
            <w:r>
              <w:rPr>
                <w:rFonts w:ascii="Arial" w:cs="Arial" w:eastAsia="Arial" w:hAnsi="Arial"/>
                <w:color w:val="1B2B5E"/>
                <w:sz w:val="21"/>
                <w:szCs w:val="21"/>
              </w:rPr>
              <w:t xml:space="preserve">Cotonou, République du Bénin</w:t>
            </w:r>
          </w:p>
        </w:tc>
      </w:tr>
    </w:tbl>
    <w:p>
      <w:pPr>
        <w:spacing w:before="0" w:after="80"/>
      </w:pPr>
      <w:r>
        <w:t xml:space="preserve"/>
      </w:r>
    </w:p>
    <w:p>
      <w:pPr>
        <w:pStyle w:val="Heading2"/>
        <w:pBdr>
          <w:bottom w:val="single" w:color="1D9E75" w:sz="6" w:space="1"/>
        </w:pBdr>
        <w:spacing w:before="240" w:after="120"/>
      </w:pPr>
      <w:r>
        <w:rPr>
          <w:rFonts w:ascii="Arial" w:cs="Arial" w:eastAsia="Arial" w:hAnsi="Arial"/>
          <w:b/>
          <w:bCs/>
          <w:color w:val="1D9E75"/>
          <w:sz w:val="24"/>
          <w:szCs w:val="24"/>
        </w:rPr>
        <w:t xml:space="preserve">Prochaines étapes proposées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426"/>
      </w:tblGrid>
      <w:tr>
        <w:trPr>
          <w:tblHeader/>
        </w:trPr>
        <w:tc>
          <w:tcPr>
            <w:tcW w:type="dxa" w:w="16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Etape</w:t>
            </w:r>
          </w:p>
        </w:tc>
        <w:tc>
          <w:tcPr>
            <w:tcW w:type="dxa" w:w="2000"/>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Délai proposé</w:t>
            </w:r>
          </w:p>
        </w:tc>
        <w:tc>
          <w:tcPr>
            <w:tcW w:type="dxa" w:w="5426"/>
            <w:tcBorders>
              <w:top w:val="single" w:color="1B2B5E" w:sz="6"/>
              <w:left w:val="single" w:color="1B2B5E" w:sz="6"/>
              <w:bottom w:val="single" w:color="1B2B5E" w:sz="6"/>
              <w:right w:val="single" w:color="1B2B5E" w:sz="6"/>
            </w:tcBorders>
            <w:shd w:fill="1B2B5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Accusé de réception</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Dès réception du dossier</w:t>
            </w:r>
          </w:p>
        </w:tc>
        <w:tc>
          <w:tcPr>
            <w:tcW w:type="dxa" w:w="5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Confirmation de la prise en charge du dossier par la DPMED</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Réunion de présentation</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Dans les 30 jours</w:t>
            </w:r>
          </w:p>
        </w:tc>
        <w:tc>
          <w:tcPr>
            <w:tcW w:type="dxa" w:w="5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Démonstration live de la plateforme — présence du Directeur ou de son représentant</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Désignation du point focal DPMED</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A l'issue de la réunion</w:t>
            </w:r>
          </w:p>
        </w:tc>
        <w:tc>
          <w:tcPr>
            <w:tcW w:type="dxa" w:w="5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Identification du référent technique DPMED pour le partenariat</w:t>
            </w:r>
          </w:p>
        </w:tc>
      </w:tr>
      <w:tr>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Accord de principe</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Dans les 45 jours</w:t>
            </w:r>
          </w:p>
        </w:tc>
        <w:tc>
          <w:tcPr>
            <w:tcW w:type="dxa" w:w="5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Signature d'une lettre d'intention ou d'un protocole d'accord simplifié</w:t>
            </w:r>
          </w:p>
        </w:tc>
      </w:tr>
      <w:tr>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Démarrage Phase 1</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Dans les 60 jours</w:t>
            </w:r>
          </w:p>
        </w:tc>
        <w:tc>
          <w:tcPr>
            <w:tcW w:type="dxa" w:w="5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1"/>
                <w:szCs w:val="21"/>
              </w:rPr>
              <w:t xml:space="preserve">Paramétrage du portail DPMED + test de diffusion d'alertes</w:t>
            </w:r>
          </w:p>
        </w:tc>
      </w:tr>
    </w:tbl>
    <w:p>
      <w:pPr>
        <w:spacing w:before="0" w:after="80"/>
      </w:pPr>
      <w:r>
        <w:t xml:space="preserve"/>
      </w:r>
    </w:p>
    <w:p>
      <w:pPr>
        <w:pBdr>
          <w:top w:val="single" w:color="9FE1CB" w:sz="4" w:space="1"/>
        </w:pBdr>
        <w:spacing w:before="200" w:after="80"/>
        <w:jc w:val="center"/>
      </w:pPr>
      <w:r>
        <w:rPr>
          <w:rFonts w:ascii="Arial" w:cs="Arial" w:eastAsia="Arial" w:hAnsi="Arial"/>
          <w:i/>
          <w:iCs/>
          <w:color w:val="5F5E5A"/>
          <w:sz w:val="21"/>
          <w:szCs w:val="21"/>
        </w:rPr>
        <w:t xml:space="preserve">Ce dossier a été préparé avec soin et dans un esprit de service public.</w:t>
      </w:r>
    </w:p>
    <w:p>
      <w:pPr>
        <w:spacing w:before="0" w:after="60"/>
        <w:jc w:val="center"/>
      </w:pPr>
      <w:r>
        <w:rPr>
          <w:rFonts w:ascii="Arial" w:cs="Arial" w:eastAsia="Arial" w:hAnsi="Arial"/>
          <w:i/>
          <w:iCs/>
          <w:color w:val="5F5E5A"/>
          <w:sz w:val="21"/>
          <w:szCs w:val="21"/>
        </w:rPr>
        <w:t xml:space="preserve">Il ne représente aucun coût pour la DPMED et vise uniquement à renforcer la sécurité sanitaire au Bénin.</w:t>
      </w:r>
    </w:p>
    <w:p>
      <w:pPr>
        <w:spacing w:before="0" w:after="80"/>
      </w:pPr>
      <w:r>
        <w:t xml:space="preserve"/>
      </w:r>
    </w:p>
    <w:p>
      <w:pPr>
        <w:spacing w:before="0" w:after="60"/>
        <w:jc w:val="center"/>
      </w:pPr>
      <w:r>
        <w:rPr>
          <w:rFonts w:ascii="Arial" w:cs="Arial" w:eastAsia="Arial" w:hAnsi="Arial"/>
          <w:b/>
          <w:bCs/>
          <w:color w:val="1D9E75"/>
          <w:sz w:val="19"/>
          <w:szCs w:val="19"/>
        </w:rPr>
        <w:t xml:space="preserve">MédiHelm — YEHI OR Tech © 2025 — Cotonou, Bénin</w:t>
      </w:r>
    </w:p>
    <w:sectPr>
      <w:headerReference w:type="default" r:id="rId10"/>
      <w:footerReference w:type="default" r:id="rId11"/>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E1CB" w:sz="4" w:space="1"/>
      </w:pBdr>
      <w:spacing w:before="100" w:after="0"/>
      <w:jc w:val="right"/>
    </w:pPr>
    <w:r>
      <w:rPr>
        <w:rFonts w:ascii="Arial" w:cs="Arial" w:eastAsia="Arial" w:hAnsi="Arial"/>
        <w:color w:val="5F5E5A"/>
        <w:sz w:val="16"/>
        <w:szCs w:val="16"/>
      </w:rPr>
      <w:t xml:space="preserve">Confidentiel — Dawes / YEHI OR Tech  |  Page </w:t>
    </w:r>
    <w:r>
      <w:rPr>
        <w:rFonts w:ascii="Arial" w:cs="Arial" w:eastAsia="Arial" w:hAnsi="Arial"/>
        <w:color w:val="1D9E75"/>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 </w:t>
    </w:r>
    <w:r>
      <w:rPr>
        <w:rFonts w:ascii="Arial" w:cs="Arial" w:eastAsia="Arial" w:hAnsi="Arial"/>
        <w:color w:val="1D9E7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E1CB" w:sz="4" w:space="1"/>
      </w:pBdr>
      <w:spacing w:before="100" w:after="0"/>
      <w:jc w:val="right"/>
    </w:pPr>
    <w:r>
      <w:rPr>
        <w:rFonts w:ascii="Arial" w:cs="Arial" w:eastAsia="Arial" w:hAnsi="Arial"/>
        <w:color w:val="5F5E5A"/>
        <w:sz w:val="16"/>
        <w:szCs w:val="16"/>
      </w:rPr>
      <w:t xml:space="preserve">Confidentiel — Dawes / YEHI OR Tech  |  Page </w:t>
    </w:r>
    <w:r>
      <w:rPr>
        <w:rFonts w:ascii="Arial" w:cs="Arial" w:eastAsia="Arial" w:hAnsi="Arial"/>
        <w:color w:val="1D9E75"/>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 </w:t>
    </w:r>
    <w:r>
      <w:rPr>
        <w:rFonts w:ascii="Arial" w:cs="Arial" w:eastAsia="Arial" w:hAnsi="Arial"/>
        <w:color w:val="1D9E75"/>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E1CB" w:sz="4" w:space="1"/>
      </w:pBdr>
      <w:spacing w:before="100" w:after="0"/>
      <w:jc w:val="right"/>
    </w:pPr>
    <w:r>
      <w:rPr>
        <w:rFonts w:ascii="Arial" w:cs="Arial" w:eastAsia="Arial" w:hAnsi="Arial"/>
        <w:color w:val="5F5E5A"/>
        <w:sz w:val="16"/>
        <w:szCs w:val="16"/>
      </w:rPr>
      <w:t xml:space="preserve">Confidentiel — Dawes / YEHI OR Tech  |  Page </w:t>
    </w:r>
    <w:r>
      <w:rPr>
        <w:rFonts w:ascii="Arial" w:cs="Arial" w:eastAsia="Arial" w:hAnsi="Arial"/>
        <w:color w:val="1D9E75"/>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 </w:t>
    </w:r>
    <w:r>
      <w:rPr>
        <w:rFonts w:ascii="Arial" w:cs="Arial" w:eastAsia="Arial" w:hAnsi="Arial"/>
        <w:color w:val="1D9E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1"/>
      </w:pBdr>
      <w:spacing w:before="0" w:after="100"/>
    </w:pPr>
    <w:r>
      <w:rPr>
        <w:rFonts w:ascii="Arial" w:cs="Arial" w:eastAsia="Arial" w:hAnsi="Arial"/>
        <w:b/>
        <w:bCs/>
        <w:color w:val="1D9E75"/>
        <w:sz w:val="18"/>
        <w:szCs w:val="18"/>
      </w:rPr>
      <w:t xml:space="preserve">MédiHelm — YEHI OR Tech  </w:t>
    </w:r>
    <w:r>
      <w:rPr>
        <w:rFonts w:ascii="Arial" w:cs="Arial" w:eastAsia="Arial" w:hAnsi="Arial"/>
        <w:color w:val="5F5E5A"/>
        <w:sz w:val="18"/>
        <w:szCs w:val="18"/>
      </w:rPr>
      <w:t xml:space="preserve">Dossier de partenariat — DPMED Bénin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1"/>
      </w:pBdr>
      <w:spacing w:before="0" w:after="100"/>
    </w:pPr>
    <w:r>
      <w:rPr>
        <w:rFonts w:ascii="Arial" w:cs="Arial" w:eastAsia="Arial" w:hAnsi="Arial"/>
        <w:b/>
        <w:bCs/>
        <w:color w:val="1D9E75"/>
        <w:sz w:val="18"/>
        <w:szCs w:val="18"/>
      </w:rPr>
      <w:t xml:space="preserve">MédiHelm — YEHI OR Tech  </w:t>
    </w:r>
    <w:r>
      <w:rPr>
        <w:rFonts w:ascii="Arial" w:cs="Arial" w:eastAsia="Arial" w:hAnsi="Arial"/>
        <w:color w:val="5F5E5A"/>
        <w:sz w:val="18"/>
        <w:szCs w:val="18"/>
      </w:rPr>
      <w:t xml:space="preserve">Dossier de partenariat — DPMED Bénin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1"/>
      </w:pBdr>
      <w:spacing w:before="0" w:after="100"/>
    </w:pPr>
    <w:r>
      <w:rPr>
        <w:rFonts w:ascii="Arial" w:cs="Arial" w:eastAsia="Arial" w:hAnsi="Arial"/>
        <w:b/>
        <w:bCs/>
        <w:color w:val="1D9E75"/>
        <w:sz w:val="18"/>
        <w:szCs w:val="18"/>
      </w:rPr>
      <w:t xml:space="preserve">MédiHelm — YEHI OR Tech  </w:t>
    </w:r>
    <w:r>
      <w:rPr>
        <w:rFonts w:ascii="Arial" w:cs="Arial" w:eastAsia="Arial" w:hAnsi="Arial"/>
        <w:color w:val="5F5E5A"/>
        <w:sz w:val="18"/>
        <w:szCs w:val="18"/>
      </w:rPr>
      <w:t xml:space="preserve">Dossier de partenariat — DPMED Bénin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2026-03-18T19:29:05.087Z</dcterms:created>
  <dcterms:modified xsi:type="dcterms:W3CDTF">2026-03-18T19:29:05.087Z</dcterms:modified>
</cp:coreProperties>
</file>

<file path=docProps/custom.xml><?xml version="1.0" encoding="utf-8"?>
<Properties xmlns="http://schemas.openxmlformats.org/officeDocument/2006/custom-properties" xmlns:vt="http://schemas.openxmlformats.org/officeDocument/2006/docPropsVTypes"/>
</file>