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20"/>
      </w:pPr>
      <w:r>
        <w:t xml:space="preserve"/>
      </w:r>
    </w:p>
    <w:p>
      <w:pPr>
        <w:spacing w:before="0" w:after="80"/>
        <w:jc w:val="center"/>
      </w:pPr>
      <w:r>
        <w:rPr>
          <w:rFonts w:ascii="Arial" w:cs="Arial" w:eastAsia="Arial" w:hAnsi="Arial"/>
          <w:b/>
          <w:bCs/>
          <w:color w:val="888780"/>
          <w:spacing w:val="200"/>
          <w:sz w:val="20"/>
          <w:szCs w:val="20"/>
        </w:rPr>
        <w:t xml:space="preserve">YEHI OR TECH</w:t>
      </w:r>
    </w:p>
    <w:p>
      <w:pPr>
        <w:spacing w:before="80" w:after="80"/>
        <w:jc w:val="center"/>
      </w:pPr>
      <w:r>
        <w:rPr>
          <w:rFonts w:ascii="Arial" w:cs="Arial" w:eastAsia="Arial" w:hAnsi="Arial"/>
          <w:b/>
          <w:bCs/>
          <w:color w:val="1D9E75"/>
          <w:sz w:val="72"/>
          <w:szCs w:val="72"/>
        </w:rPr>
        <w:t xml:space="preserve">MédiHelm</w:t>
      </w:r>
    </w:p>
    <w:p>
      <w:pPr>
        <w:spacing w:before="0" w:after="160"/>
        <w:jc w:val="center"/>
      </w:pPr>
      <w:r>
        <w:rPr>
          <w:rFonts w:ascii="Arial" w:cs="Arial" w:eastAsia="Arial" w:hAnsi="Arial"/>
          <w:color w:val="085041"/>
          <w:sz w:val="36"/>
          <w:szCs w:val="36"/>
        </w:rPr>
        <w:t xml:space="preserve">Guide de l'Identité de Marque</w:t>
      </w:r>
    </w:p>
    <w:p>
      <w:pPr>
        <w:pBdr>
          <w:bottom w:val="single" w:color="9FE1CB" w:sz="6" w:space="1"/>
        </w:pBdr>
        <w:spacing w:before="0" w:after="80"/>
        <w:jc w:val="center"/>
      </w:pPr>
      <w:r>
        <w:rPr>
          <w:rFonts w:ascii="Arial" w:cs="Arial" w:eastAsia="Arial" w:hAnsi="Arial"/>
          <w:i/>
          <w:iCs/>
          <w:color w:val="888780"/>
          <w:sz w:val="22"/>
          <w:szCs w:val="22"/>
        </w:rPr>
        <w:t xml:space="preserve">Brand Guidelines — Version 1.0</w:t>
      </w:r>
    </w:p>
    <w:p>
      <w:pPr>
        <w:spacing w:before="0" w:after="160"/>
      </w:pPr>
      <w:r>
        <w:t xml:space="preserve"/>
      </w:r>
    </w:p>
    <w:p>
      <w:pPr>
        <w:spacing w:before="0" w:after="80"/>
        <w:jc w:val="center"/>
      </w:pPr>
      <w:r>
        <w:rPr>
          <w:rFonts w:ascii="Arial" w:cs="Arial" w:eastAsia="Arial" w:hAnsi="Arial"/>
          <w:b/>
          <w:bCs/>
          <w:color w:val="0F6E56"/>
          <w:spacing w:val="150"/>
          <w:sz w:val="24"/>
          <w:szCs w:val="24"/>
        </w:rPr>
        <w:t xml:space="preserve">L'ÉCOSYSTÈME SANTÉ DE CONFIANCE</w:t>
      </w:r>
    </w:p>
    <w:p>
      <w:pPr>
        <w:spacing w:before="0" w:after="320"/>
      </w:pPr>
      <w:r>
        <w:t xml:space="preserve"/>
      </w:r>
    </w:p>
    <w:p>
      <w:pPr>
        <w:spacing w:before="0" w:after="80"/>
        <w:jc w:val="center"/>
      </w:pPr>
      <w:r>
        <w:rPr>
          <w:rFonts w:ascii="Arial" w:cs="Arial" w:eastAsia="Arial" w:hAnsi="Arial"/>
          <w:color w:val="888780"/>
          <w:sz w:val="18"/>
          <w:szCs w:val="18"/>
        </w:rPr>
        <w:t xml:space="preserve">Document confidentiel — YEHI OR Tech © 2025</w:t>
      </w:r>
    </w:p>
    <w:p>
      <w:r>
        <w:br w:type="page"/>
      </w:r>
    </w:p>
    <w:p>
      <w:pPr>
        <w:pStyle w:val="Heading1"/>
        <w:spacing w:before="360" w:after="200"/>
      </w:pPr>
      <w:r>
        <w:rPr>
          <w:rFonts w:ascii="Arial" w:cs="Arial" w:eastAsia="Arial" w:hAnsi="Arial"/>
          <w:b/>
          <w:bCs/>
          <w:color w:val="085041"/>
          <w:sz w:val="32"/>
          <w:szCs w:val="32"/>
        </w:rPr>
        <w:t xml:space="preserve">1. Introduction et Contexte</w:t>
      </w:r>
    </w:p>
    <w:p>
      <w:pPr>
        <w:spacing w:before="0" w:after="140"/>
      </w:pPr>
      <w:r>
        <w:rPr>
          <w:rFonts w:ascii="Arial" w:cs="Arial" w:eastAsia="Arial" w:hAnsi="Arial"/>
          <w:color w:val="2C2C2A"/>
          <w:sz w:val="22"/>
          <w:szCs w:val="22"/>
        </w:rPr>
        <w:t xml:space="preserve">MédiHelm est une plateforme SaaS multitenant dédiée à l'écosystème pharmaceutique en Afrique de l'Ouest, développée par YEHI OR Tech. Elle constitue le second produit de la suite YEHI OR Tech, après Academia Helm, et en adopte la logique de marque : un nom composé, la signature Helm, une promesse sectorielle forte.</w:t>
      </w:r>
    </w:p>
    <w:p>
      <w:pPr>
        <w:spacing w:before="0" w:after="80"/>
      </w:pPr>
      <w:r>
        <w:t xml:space="preserve"/>
      </w:r>
    </w:p>
    <w:p>
      <w:pPr>
        <w:spacing w:before="0" w:after="140"/>
      </w:pPr>
      <w:r>
        <w:rPr>
          <w:rFonts w:ascii="Arial" w:cs="Arial" w:eastAsia="Arial" w:hAnsi="Arial"/>
          <w:color w:val="2C2C2A"/>
          <w:sz w:val="22"/>
          <w:szCs w:val="22"/>
        </w:rPr>
        <w:t xml:space="preserve">Ce document définit les règles d'usage de la marque MédiHelm : nom, logo, couleurs, typographie, ton de communication et déclinaisons produit. Il constitue la référence officielle pour tout usage interne ou externe de l'identité visuelle.</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9E75" w:sz="6"/>
              <w:left w:val="single" w:color="1D9E75" w:sz="18"/>
              <w:bottom w:val="single" w:color="1D9E75" w:sz="6"/>
              <w:right w:val="single" w:color="1D9E75" w:sz="6"/>
            </w:tcBorders>
            <w:shd w:fill="E1F5EE" w:val="clear"/>
            <w:tcMar>
              <w:top w:type="dxa" w:w="120"/>
              <w:left w:type="dxa" w:w="180"/>
              <w:bottom w:type="dxa" w:w="120"/>
              <w:right w:type="dxa" w:w="180"/>
            </w:tcMar>
          </w:tcPr>
          <w:p>
            <w:pPr>
              <w:spacing w:before="0" w:after="80"/>
            </w:pPr>
            <w:r>
              <w:rPr>
                <w:rFonts w:ascii="Arial" w:cs="Arial" w:eastAsia="Arial" w:hAnsi="Arial"/>
                <w:i/>
                <w:iCs/>
                <w:color w:val="085041"/>
                <w:sz w:val="22"/>
                <w:szCs w:val="22"/>
              </w:rPr>
              <w:t xml:space="preserve">Positionnement : Écosystème santé complet — gestion de pharmacie (professionnel) + recherche de médicaments (patient).</w:t>
            </w:r>
          </w:p>
          <w:p>
            <w:pPr>
              <w:spacing w:before="0" w:after="80"/>
            </w:pPr>
            <w:r>
              <w:rPr>
                <w:rFonts w:ascii="Arial" w:cs="Arial" w:eastAsia="Arial" w:hAnsi="Arial"/>
                <w:i/>
                <w:iCs/>
                <w:color w:val="085041"/>
                <w:sz w:val="22"/>
                <w:szCs w:val="22"/>
              </w:rPr>
              <w:t xml:space="preserve">Territoire : Bénin, puis Afrique de l'Ouest francophone.</w:t>
            </w:r>
          </w:p>
          <w:p>
            <w:pPr>
              <w:spacing w:before="0" w:after="80"/>
            </w:pPr>
            <w:r>
              <w:rPr>
                <w:rFonts w:ascii="Arial" w:cs="Arial" w:eastAsia="Arial" w:hAnsi="Arial"/>
                <w:i/>
                <w:iCs/>
                <w:color w:val="085041"/>
                <w:sz w:val="22"/>
                <w:szCs w:val="22"/>
              </w:rPr>
              <w:t xml:space="preserve">Éditeur : YEHI OR Tech — Cotonou, Bénin.</w:t>
            </w:r>
          </w:p>
        </w:tc>
      </w:tr>
    </w:tbl>
    <w:p>
      <w:pPr>
        <w:spacing w:before="0" w:after="80"/>
      </w:pPr>
      <w:r>
        <w:t xml:space="preserve"/>
      </w:r>
    </w:p>
    <w:p>
      <w:pPr>
        <w:pStyle w:val="Heading1"/>
        <w:spacing w:before="360" w:after="200"/>
      </w:pPr>
      <w:r>
        <w:rPr>
          <w:rFonts w:ascii="Arial" w:cs="Arial" w:eastAsia="Arial" w:hAnsi="Arial"/>
          <w:b/>
          <w:bCs/>
          <w:color w:val="085041"/>
          <w:sz w:val="32"/>
          <w:szCs w:val="32"/>
        </w:rPr>
        <w:t xml:space="preserve">2. Le Nom — MédiHelm</w:t>
      </w:r>
    </w:p>
    <w:p>
      <w:pPr>
        <w:pStyle w:val="Heading2"/>
        <w:pBdr>
          <w:bottom w:val="single" w:color="9FE1CB" w:sz="6" w:space="1"/>
        </w:pBdr>
        <w:spacing w:before="280" w:after="160"/>
      </w:pPr>
      <w:r>
        <w:rPr>
          <w:rFonts w:ascii="Arial" w:cs="Arial" w:eastAsia="Arial" w:hAnsi="Arial"/>
          <w:b/>
          <w:bCs/>
          <w:color w:val="1D9E75"/>
          <w:sz w:val="26"/>
          <w:szCs w:val="26"/>
        </w:rPr>
        <w:t xml:space="preserve">2.1 Étymologie et sens</w:t>
      </w:r>
    </w:p>
    <w:p>
      <w:pPr>
        <w:spacing w:before="0" w:after="140"/>
      </w:pPr>
      <w:r>
        <w:rPr>
          <w:rFonts w:ascii="Arial" w:cs="Arial" w:eastAsia="Arial" w:hAnsi="Arial"/>
          <w:color w:val="2C2C2A"/>
          <w:sz w:val="22"/>
          <w:szCs w:val="22"/>
        </w:rPr>
        <w:t xml:space="preserve">Le nom MédiHelm est formé de deux composantes sémantiquement complémentaires :</w:t>
      </w:r>
    </w:p>
    <w:p>
      <w:pPr>
        <w:spacing w:before="0" w:after="80"/>
      </w:pPr>
      <w:r>
        <w:t xml:space="preserve"/>
      </w:r>
    </w:p>
    <w:p>
      <w:pPr>
        <w:pStyle w:val="ListParagraph"/>
        <w:numPr>
          <w:ilvl w:val="0"/>
          <w:numId w:val="2"/>
        </w:numPr>
        <w:spacing w:before="0" w:after="100"/>
      </w:pPr>
      <w:r>
        <w:rPr>
          <w:rFonts w:ascii="Arial" w:cs="Arial" w:eastAsia="Arial" w:hAnsi="Arial"/>
          <w:b/>
          <w:bCs/>
          <w:color w:val="085041"/>
          <w:sz w:val="22"/>
          <w:szCs w:val="22"/>
        </w:rPr>
        <w:t xml:space="preserve">Médi </w:t>
      </w:r>
      <w:r>
        <w:rPr>
          <w:rFonts w:ascii="Arial" w:cs="Arial" w:eastAsia="Arial" w:hAnsi="Arial"/>
          <w:color w:val="2C2C2A"/>
          <w:sz w:val="22"/>
          <w:szCs w:val="22"/>
        </w:rPr>
        <w:t xml:space="preserve">Médi — contraction de médical / médicament. Ancre immédiatement le produit dans le domaine de la santé, avec un accent particulièrement lisible en français.</w:t>
      </w:r>
    </w:p>
    <w:p>
      <w:pPr>
        <w:pStyle w:val="ListParagraph"/>
        <w:numPr>
          <w:ilvl w:val="0"/>
          <w:numId w:val="2"/>
        </w:numPr>
        <w:spacing w:before="0" w:after="100"/>
      </w:pPr>
      <w:r>
        <w:rPr>
          <w:rFonts w:ascii="Arial" w:cs="Arial" w:eastAsia="Arial" w:hAnsi="Arial"/>
          <w:b/>
          <w:bCs/>
          <w:color w:val="085041"/>
          <w:sz w:val="22"/>
          <w:szCs w:val="22"/>
        </w:rPr>
        <w:t xml:space="preserve">Helm </w:t>
      </w:r>
      <w:r>
        <w:rPr>
          <w:rFonts w:ascii="Arial" w:cs="Arial" w:eastAsia="Arial" w:hAnsi="Arial"/>
          <w:color w:val="2C2C2A"/>
          <w:sz w:val="22"/>
          <w:szCs w:val="22"/>
        </w:rPr>
        <w:t xml:space="preserve">Helm — terme anglais signifiant gouvernail, barre de pilotage. Métaphore du contrôle, de la navigation maîtrisée, de la direction stratégique. Signature commune à la suite YEHI OR Tech.</w:t>
      </w:r>
    </w:p>
    <w:p>
      <w:pPr>
        <w:spacing w:before="0" w:after="80"/>
      </w:pPr>
      <w:r>
        <w:t xml:space="preserve"/>
      </w:r>
    </w:p>
    <w:p>
      <w:pPr>
        <w:spacing w:before="0" w:after="140"/>
      </w:pPr>
      <w:r>
        <w:rPr>
          <w:rFonts w:ascii="Arial" w:cs="Arial" w:eastAsia="Arial" w:hAnsi="Arial"/>
          <w:color w:val="2C2C2A"/>
          <w:sz w:val="22"/>
          <w:szCs w:val="22"/>
        </w:rPr>
        <w:t xml:space="preserve">MédiHelm signifie ainsi : piloter la santé avec confiance et précision.</w:t>
      </w:r>
    </w:p>
    <w:p>
      <w:pPr>
        <w:spacing w:before="0" w:after="80"/>
      </w:pPr>
      <w:r>
        <w:t xml:space="preserve"/>
      </w:r>
    </w:p>
    <w:p>
      <w:pPr>
        <w:pStyle w:val="Heading2"/>
        <w:pBdr>
          <w:bottom w:val="single" w:color="9FE1CB" w:sz="6" w:space="1"/>
        </w:pBdr>
        <w:spacing w:before="280" w:after="160"/>
      </w:pPr>
      <w:r>
        <w:rPr>
          <w:rFonts w:ascii="Arial" w:cs="Arial" w:eastAsia="Arial" w:hAnsi="Arial"/>
          <w:b/>
          <w:bCs/>
          <w:color w:val="1D9E75"/>
          <w:sz w:val="26"/>
          <w:szCs w:val="26"/>
        </w:rPr>
        <w:t xml:space="preserve">2.2 Graphie officielle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2826"/>
      </w:tblGrid>
      <w:tr>
        <w:trPr>
          <w:tblHeader/>
        </w:trPr>
        <w:tc>
          <w:tcPr>
            <w:tcW w:type="dxa" w:w="3600"/>
            <w:tcBorders>
              <w:top w:val="single" w:color="1D9E75" w:sz="6"/>
              <w:left w:val="single" w:color="1D9E75" w:sz="6"/>
              <w:bottom w:val="single" w:color="1D9E75" w:sz="6"/>
              <w:right w:val="single" w:color="1D9E75"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Contexte</w:t>
            </w:r>
          </w:p>
        </w:tc>
        <w:tc>
          <w:tcPr>
            <w:tcW w:type="dxa" w:w="2600"/>
            <w:tcBorders>
              <w:top w:val="single" w:color="1D9E75" w:sz="6"/>
              <w:left w:val="single" w:color="1D9E75" w:sz="6"/>
              <w:bottom w:val="single" w:color="1D9E75" w:sz="6"/>
              <w:right w:val="single" w:color="1D9E75"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Graphie correcte</w:t>
            </w:r>
          </w:p>
        </w:tc>
        <w:tc>
          <w:tcPr>
            <w:tcW w:type="dxa" w:w="2826"/>
            <w:tcBorders>
              <w:top w:val="single" w:color="1D9E75" w:sz="6"/>
              <w:left w:val="single" w:color="1D9E75" w:sz="6"/>
              <w:bottom w:val="single" w:color="1D9E75" w:sz="6"/>
              <w:right w:val="single" w:color="1D9E75"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À éviter</w:t>
            </w:r>
          </w:p>
        </w:tc>
      </w:tr>
      <w:tr>
        <w:tc>
          <w:tcPr>
            <w:tcW w:type="dxa" w:w="3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Nom du produit (titre)</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MédiHelm</w:t>
            </w:r>
          </w:p>
        </w:tc>
        <w:tc>
          <w:tcPr>
            <w:tcW w:type="dxa" w:w="2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Medihelm / MEDIHELM / médihelm</w:t>
            </w:r>
          </w:p>
        </w:tc>
      </w:tr>
      <w:tr>
        <w:tc>
          <w:tcPr>
            <w:tcW w:type="dxa" w:w="3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Texte courant</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MédiHelm</w:t>
            </w:r>
          </w:p>
        </w:tc>
        <w:tc>
          <w:tcPr>
            <w:tcW w:type="dxa" w:w="2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Medi Helm / Medi-Helm</w:t>
            </w:r>
          </w:p>
        </w:tc>
      </w:tr>
      <w:tr>
        <w:tc>
          <w:tcPr>
            <w:tcW w:type="dxa" w:w="3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URL / slug</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medihelm</w:t>
            </w:r>
          </w:p>
        </w:tc>
        <w:tc>
          <w:tcPr>
            <w:tcW w:type="dxa" w:w="2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medi-helm / medi_helm</w:t>
            </w:r>
          </w:p>
        </w:tc>
      </w:tr>
      <w:tr>
        <w:tc>
          <w:tcPr>
            <w:tcW w:type="dxa" w:w="3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Nom de domaine</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medihelm.com / .africa</w:t>
            </w:r>
          </w:p>
        </w:tc>
        <w:tc>
          <w:tcPr>
            <w:tcW w:type="dxa" w:w="2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medihelm.net (non recommandé)</w:t>
            </w:r>
          </w:p>
        </w:tc>
      </w:tr>
    </w:tbl>
    <w:p>
      <w:pPr>
        <w:spacing w:before="0" w:after="80"/>
      </w:pPr>
      <w:r>
        <w:t xml:space="preserve"/>
      </w:r>
    </w:p>
    <w:p>
      <w:pPr>
        <w:pStyle w:val="Heading2"/>
        <w:pBdr>
          <w:bottom w:val="single" w:color="9FE1CB" w:sz="6" w:space="1"/>
        </w:pBdr>
        <w:spacing w:before="280" w:after="160"/>
      </w:pPr>
      <w:r>
        <w:rPr>
          <w:rFonts w:ascii="Arial" w:cs="Arial" w:eastAsia="Arial" w:hAnsi="Arial"/>
          <w:b/>
          <w:bCs/>
          <w:color w:val="1D9E75"/>
          <w:sz w:val="26"/>
          <w:szCs w:val="26"/>
        </w:rPr>
        <w:t xml:space="preserve">2.3 Suite YEHI OR Tech</w:t>
      </w:r>
    </w:p>
    <w:p>
      <w:pPr>
        <w:spacing w:before="0" w:after="140"/>
      </w:pPr>
      <w:r>
        <w:rPr>
          <w:rFonts w:ascii="Arial" w:cs="Arial" w:eastAsia="Arial" w:hAnsi="Arial"/>
          <w:color w:val="2C2C2A"/>
          <w:sz w:val="22"/>
          <w:szCs w:val="22"/>
        </w:rPr>
        <w:t xml:space="preserve">MédiHelm s'inscrit dans une famille de produits SaaS verticaux partageant la signature Helm :</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426"/>
        <w:gridCol w:w="2000"/>
      </w:tblGrid>
      <w:tr>
        <w:trPr>
          <w:tblHeader/>
        </w:trPr>
        <w:tc>
          <w:tcPr>
            <w:tcW w:type="dxa" w:w="2600"/>
            <w:tcBorders>
              <w:top w:val="single" w:color="1D9E75" w:sz="6"/>
              <w:left w:val="single" w:color="1D9E75" w:sz="6"/>
              <w:bottom w:val="single" w:color="1D9E75" w:sz="6"/>
              <w:right w:val="single" w:color="1D9E75"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Produit</w:t>
            </w:r>
          </w:p>
        </w:tc>
        <w:tc>
          <w:tcPr>
            <w:tcW w:type="dxa" w:w="4426"/>
            <w:tcBorders>
              <w:top w:val="single" w:color="1D9E75" w:sz="6"/>
              <w:left w:val="single" w:color="1D9E75" w:sz="6"/>
              <w:bottom w:val="single" w:color="1D9E75" w:sz="6"/>
              <w:right w:val="single" w:color="1D9E75"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Secteur</w:t>
            </w:r>
          </w:p>
        </w:tc>
        <w:tc>
          <w:tcPr>
            <w:tcW w:type="dxa" w:w="2000"/>
            <w:tcBorders>
              <w:top w:val="single" w:color="1D9E75" w:sz="6"/>
              <w:left w:val="single" w:color="1D9E75" w:sz="6"/>
              <w:bottom w:val="single" w:color="1D9E75" w:sz="6"/>
              <w:right w:val="single" w:color="1D9E75"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Academia Helm</w:t>
            </w:r>
          </w:p>
        </w:tc>
        <w:tc>
          <w:tcPr>
            <w:tcW w:type="dxa" w:w="4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ERP écoles privées — Afrique de l'Ouest</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En production</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MédiHelm</w:t>
            </w:r>
          </w:p>
        </w:tc>
        <w:tc>
          <w:tcPr>
            <w:tcW w:type="dxa" w:w="4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Écosystème santé — Pharmacies + Patients</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En développement</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 X ] Helm</w:t>
            </w:r>
          </w:p>
        </w:tc>
        <w:tc>
          <w:tcPr>
            <w:tcW w:type="dxa" w:w="4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Prochain vertical YEHI OR Tech</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À définir</w:t>
            </w:r>
          </w:p>
        </w:tc>
      </w:tr>
    </w:tbl>
    <w:p>
      <w:pPr>
        <w:spacing w:before="0" w:after="80"/>
      </w:pPr>
      <w:r>
        <w:t xml:space="preserve"/>
      </w:r>
    </w:p>
    <w:p>
      <w:r>
        <w:br w:type="page"/>
      </w:r>
    </w:p>
    <w:p>
      <w:pPr>
        <w:pStyle w:val="Heading1"/>
        <w:spacing w:before="360" w:after="200"/>
      </w:pPr>
      <w:r>
        <w:rPr>
          <w:rFonts w:ascii="Arial" w:cs="Arial" w:eastAsia="Arial" w:hAnsi="Arial"/>
          <w:b/>
          <w:bCs/>
          <w:color w:val="085041"/>
          <w:sz w:val="32"/>
          <w:szCs w:val="32"/>
        </w:rPr>
        <w:t xml:space="preserve">3. Logo et Icône</w:t>
      </w:r>
    </w:p>
    <w:p>
      <w:pPr>
        <w:pStyle w:val="Heading2"/>
        <w:pBdr>
          <w:bottom w:val="single" w:color="9FE1CB" w:sz="6" w:space="1"/>
        </w:pBdr>
        <w:spacing w:before="280" w:after="160"/>
      </w:pPr>
      <w:r>
        <w:rPr>
          <w:rFonts w:ascii="Arial" w:cs="Arial" w:eastAsia="Arial" w:hAnsi="Arial"/>
          <w:b/>
          <w:bCs/>
          <w:color w:val="1D9E75"/>
          <w:sz w:val="26"/>
          <w:szCs w:val="26"/>
        </w:rPr>
        <w:t xml:space="preserve">3.1 Construction de l'icône</w:t>
      </w:r>
    </w:p>
    <w:p>
      <w:pPr>
        <w:spacing w:before="0" w:after="140"/>
      </w:pPr>
      <w:r>
        <w:rPr>
          <w:rFonts w:ascii="Arial" w:cs="Arial" w:eastAsia="Arial" w:hAnsi="Arial"/>
          <w:color w:val="2C2C2A"/>
          <w:sz w:val="22"/>
          <w:szCs w:val="22"/>
        </w:rPr>
        <w:t xml:space="preserve">L'icône MédiHelm est composée de deux éléments superposés sur un fond carré aux coins arrondis :</w:t>
      </w:r>
    </w:p>
    <w:p>
      <w:pPr>
        <w:spacing w:before="0" w:after="80"/>
      </w:pPr>
      <w:r>
        <w:t xml:space="preserve"/>
      </w:r>
    </w:p>
    <w:p>
      <w:pPr>
        <w:pStyle w:val="ListParagraph"/>
        <w:numPr>
          <w:ilvl w:val="0"/>
          <w:numId w:val="2"/>
        </w:numPr>
        <w:spacing w:before="0" w:after="100"/>
      </w:pPr>
      <w:r>
        <w:rPr>
          <w:rFonts w:ascii="Arial" w:cs="Arial" w:eastAsia="Arial" w:hAnsi="Arial"/>
          <w:b/>
          <w:bCs/>
          <w:color w:val="085041"/>
          <w:sz w:val="22"/>
          <w:szCs w:val="22"/>
        </w:rPr>
        <w:t xml:space="preserve">Croix </w:t>
      </w:r>
      <w:r>
        <w:rPr>
          <w:rFonts w:ascii="Arial" w:cs="Arial" w:eastAsia="Arial" w:hAnsi="Arial"/>
          <w:color w:val="2C2C2A"/>
          <w:sz w:val="22"/>
          <w:szCs w:val="22"/>
        </w:rPr>
        <w:t xml:space="preserve">Une croix médicale blanche — symbole universel de la santé, centré dans le carré.</w:t>
      </w:r>
    </w:p>
    <w:p>
      <w:pPr>
        <w:pStyle w:val="ListParagraph"/>
        <w:numPr>
          <w:ilvl w:val="0"/>
          <w:numId w:val="2"/>
        </w:numPr>
        <w:spacing w:before="0" w:after="100"/>
      </w:pPr>
      <w:r>
        <w:rPr>
          <w:rFonts w:ascii="Arial" w:cs="Arial" w:eastAsia="Arial" w:hAnsi="Arial"/>
          <w:b/>
          <w:bCs/>
          <w:color w:val="085041"/>
          <w:sz w:val="22"/>
          <w:szCs w:val="22"/>
        </w:rPr>
        <w:t xml:space="preserve">ECG </w:t>
      </w:r>
      <w:r>
        <w:rPr>
          <w:rFonts w:ascii="Arial" w:cs="Arial" w:eastAsia="Arial" w:hAnsi="Arial"/>
          <w:color w:val="2C2C2A"/>
          <w:sz w:val="22"/>
          <w:szCs w:val="22"/>
        </w:rPr>
        <w:t xml:space="preserve">Une ligne ECG stylisée — tracé de pouls cardiaque passant sous la croix. Symbolise la vie, le monitoring, la technologie médicale.</w:t>
      </w:r>
    </w:p>
    <w:p>
      <w:pPr>
        <w:spacing w:before="0" w:after="80"/>
      </w:pPr>
      <w:r>
        <w:t xml:space="preserve"/>
      </w:r>
    </w:p>
    <w:p>
      <w:pPr>
        <w:spacing w:before="0" w:after="140"/>
      </w:pPr>
      <w:r>
        <w:rPr>
          <w:rFonts w:ascii="Arial" w:cs="Arial" w:eastAsia="Arial" w:hAnsi="Arial"/>
          <w:color w:val="2C2C2A"/>
          <w:sz w:val="22"/>
          <w:szCs w:val="22"/>
        </w:rPr>
        <w:t xml:space="preserve">Le fond est coloré en Teal 400 (#1D9E75), couleur primaire de la marque. La croix et l'ECG sont en blanc pur (#FFFFFF).</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9E75" w:sz="6"/>
              <w:left w:val="single" w:color="1D9E75" w:sz="18"/>
              <w:bottom w:val="single" w:color="1D9E75" w:sz="6"/>
              <w:right w:val="single" w:color="1D9E75" w:sz="6"/>
            </w:tcBorders>
            <w:shd w:fill="E1F5EE" w:val="clear"/>
            <w:tcMar>
              <w:top w:type="dxa" w:w="120"/>
              <w:left w:type="dxa" w:w="180"/>
              <w:bottom w:type="dxa" w:w="120"/>
              <w:right w:type="dxa" w:w="180"/>
            </w:tcMar>
          </w:tcPr>
          <w:p>
            <w:pPr>
              <w:spacing w:before="0" w:after="80"/>
            </w:pPr>
            <w:r>
              <w:rPr>
                <w:rFonts w:ascii="Arial" w:cs="Arial" w:eastAsia="Arial" w:hAnsi="Arial"/>
                <w:i/>
                <w:iCs/>
                <w:color w:val="085041"/>
                <w:sz w:val="22"/>
                <w:szCs w:val="22"/>
              </w:rPr>
              <w:t xml:space="preserve">L'icône doit toujours être reproduite avec ses deux éléments (croix + ECG). Ne jamais utiliser la croix seule sans l'ECG, sauf en version monochrome validée.</w:t>
            </w:r>
          </w:p>
        </w:tc>
      </w:tr>
    </w:tbl>
    <w:p>
      <w:pPr>
        <w:spacing w:before="0" w:after="80"/>
      </w:pPr>
      <w:r>
        <w:t xml:space="preserve"/>
      </w:r>
    </w:p>
    <w:p>
      <w:pPr>
        <w:pStyle w:val="Heading2"/>
        <w:pBdr>
          <w:bottom w:val="single" w:color="9FE1CB" w:sz="6" w:space="1"/>
        </w:pBdr>
        <w:spacing w:before="280" w:after="160"/>
      </w:pPr>
      <w:r>
        <w:rPr>
          <w:rFonts w:ascii="Arial" w:cs="Arial" w:eastAsia="Arial" w:hAnsi="Arial"/>
          <w:b/>
          <w:bCs/>
          <w:color w:val="1D9E75"/>
          <w:sz w:val="26"/>
          <w:szCs w:val="26"/>
        </w:rPr>
        <w:t xml:space="preserve">3.2 Wordmark</w:t>
      </w:r>
    </w:p>
    <w:p>
      <w:pPr>
        <w:spacing w:before="0" w:after="140"/>
      </w:pPr>
      <w:r>
        <w:rPr>
          <w:rFonts w:ascii="Arial" w:cs="Arial" w:eastAsia="Arial" w:hAnsi="Arial"/>
          <w:color w:val="2C2C2A"/>
          <w:sz w:val="22"/>
          <w:szCs w:val="22"/>
        </w:rPr>
        <w:t xml:space="preserve">Le wordmark associe l'icône au nom MédiHelm selon la règle typographique suivante :</w:t>
      </w:r>
    </w:p>
    <w:p>
      <w:pPr>
        <w:spacing w:before="0" w:after="80"/>
      </w:pPr>
      <w:r>
        <w:t xml:space="preserve"/>
      </w:r>
    </w:p>
    <w:p>
      <w:pPr>
        <w:pStyle w:val="ListParagraph"/>
        <w:numPr>
          <w:ilvl w:val="0"/>
          <w:numId w:val="2"/>
        </w:numPr>
        <w:spacing w:before="0" w:after="100"/>
      </w:pPr>
      <w:r>
        <w:rPr>
          <w:rFonts w:ascii="Arial" w:cs="Arial" w:eastAsia="Arial" w:hAnsi="Arial"/>
          <w:b/>
          <w:bCs/>
          <w:color w:val="085041"/>
          <w:sz w:val="22"/>
          <w:szCs w:val="22"/>
        </w:rPr>
        <w:t xml:space="preserve">Médi </w:t>
      </w:r>
      <w:r>
        <w:rPr>
          <w:rFonts w:ascii="Arial" w:cs="Arial" w:eastAsia="Arial" w:hAnsi="Arial"/>
          <w:color w:val="2C2C2A"/>
          <w:sz w:val="22"/>
          <w:szCs w:val="22"/>
        </w:rPr>
        <w:t xml:space="preserve">Médi — Georgia Serif, graisse Bold (700), couleur Teal 400 (#1D9E75).</w:t>
      </w:r>
    </w:p>
    <w:p>
      <w:pPr>
        <w:pStyle w:val="ListParagraph"/>
        <w:numPr>
          <w:ilvl w:val="0"/>
          <w:numId w:val="2"/>
        </w:numPr>
        <w:spacing w:before="0" w:after="100"/>
      </w:pPr>
      <w:r>
        <w:rPr>
          <w:rFonts w:ascii="Arial" w:cs="Arial" w:eastAsia="Arial" w:hAnsi="Arial"/>
          <w:b/>
          <w:bCs/>
          <w:color w:val="085041"/>
          <w:sz w:val="22"/>
          <w:szCs w:val="22"/>
        </w:rPr>
        <w:t xml:space="preserve">Helm </w:t>
      </w:r>
      <w:r>
        <w:rPr>
          <w:rFonts w:ascii="Arial" w:cs="Arial" w:eastAsia="Arial" w:hAnsi="Arial"/>
          <w:color w:val="2C2C2A"/>
          <w:sz w:val="22"/>
          <w:szCs w:val="22"/>
        </w:rPr>
        <w:t xml:space="preserve">Helm — Georgia Serif, graisse Regular (400), couleur Teal 800 (#085041).</w:t>
      </w:r>
    </w:p>
    <w:p>
      <w:pPr>
        <w:spacing w:before="0" w:after="80"/>
      </w:pPr>
      <w:r>
        <w:t xml:space="preserve"/>
      </w:r>
    </w:p>
    <w:p>
      <w:pPr>
        <w:spacing w:before="0" w:after="140"/>
      </w:pPr>
      <w:r>
        <w:rPr>
          <w:rFonts w:ascii="Arial" w:cs="Arial" w:eastAsia="Arial" w:hAnsi="Arial"/>
          <w:color w:val="2C2C2A"/>
          <w:sz w:val="22"/>
          <w:szCs w:val="22"/>
        </w:rPr>
        <w:t xml:space="preserve">Le contraste de graisse entre Médi (bold) et Helm (regular) crée une hiérarchie visuelle naturelle : le domaine médical est mis en avant, Helm s'intègre avec sobriété.</w:t>
      </w:r>
    </w:p>
    <w:p>
      <w:pPr>
        <w:spacing w:before="0" w:after="80"/>
      </w:pPr>
      <w:r>
        <w:t xml:space="preserve"/>
      </w:r>
    </w:p>
    <w:p>
      <w:pPr>
        <w:pStyle w:val="Heading2"/>
        <w:pBdr>
          <w:bottom w:val="single" w:color="9FE1CB" w:sz="6" w:space="1"/>
        </w:pBdr>
        <w:spacing w:before="280" w:after="160"/>
      </w:pPr>
      <w:r>
        <w:rPr>
          <w:rFonts w:ascii="Arial" w:cs="Arial" w:eastAsia="Arial" w:hAnsi="Arial"/>
          <w:b/>
          <w:bCs/>
          <w:color w:val="1D9E75"/>
          <w:sz w:val="26"/>
          <w:szCs w:val="26"/>
        </w:rPr>
        <w:t xml:space="preserve">3.3 Tagline officielle</w:t>
      </w:r>
    </w:p>
    <w:p>
      <w:pPr>
        <w:spacing w:before="0" w:after="100"/>
      </w:pPr>
      <w:r>
        <w:rPr>
          <w:rFonts w:ascii="Arial" w:cs="Arial" w:eastAsia="Arial" w:hAnsi="Arial"/>
          <w:b/>
          <w:bCs/>
          <w:color w:val="085041"/>
          <w:sz w:val="22"/>
          <w:szCs w:val="22"/>
        </w:rPr>
        <w:t xml:space="preserve">Tagline principale : </w:t>
      </w:r>
      <w:r>
        <w:rPr>
          <w:rFonts w:ascii="Arial" w:cs="Arial" w:eastAsia="Arial" w:hAnsi="Arial"/>
          <w:i/>
          <w:iCs/>
          <w:color w:val="0F6E56"/>
          <w:sz w:val="22"/>
          <w:szCs w:val="22"/>
        </w:rPr>
        <w:t xml:space="preserve">L'ÉCOSYSTÈME SANTÉ DE CONFIANCE</w:t>
      </w:r>
    </w:p>
    <w:p>
      <w:pPr>
        <w:spacing w:before="0" w:after="80"/>
      </w:pPr>
      <w:r>
        <w:t xml:space="preserve"/>
      </w:r>
    </w:p>
    <w:p>
      <w:pPr>
        <w:spacing w:before="0" w:after="140"/>
      </w:pPr>
      <w:r>
        <w:rPr>
          <w:rFonts w:ascii="Arial" w:cs="Arial" w:eastAsia="Arial" w:hAnsi="Arial"/>
          <w:color w:val="2C2C2A"/>
          <w:sz w:val="22"/>
          <w:szCs w:val="22"/>
        </w:rPr>
        <w:t xml:space="preserve">La tagline est composée en capitales espacées (letter-spacing élevé), taille 13px en contexte digital, corps 9pt en impression. Elle accompagne toujours le logo complet en communication externe.</w:t>
      </w:r>
    </w:p>
    <w:p>
      <w:pPr>
        <w:spacing w:before="0" w:after="80"/>
      </w:pPr>
      <w:r>
        <w:t xml:space="preserve"/>
      </w:r>
    </w:p>
    <w:p>
      <w:pPr>
        <w:pStyle w:val="Heading2"/>
        <w:pBdr>
          <w:bottom w:val="single" w:color="9FE1CB" w:sz="6" w:space="1"/>
        </w:pBdr>
        <w:spacing w:before="280" w:after="160"/>
      </w:pPr>
      <w:r>
        <w:rPr>
          <w:rFonts w:ascii="Arial" w:cs="Arial" w:eastAsia="Arial" w:hAnsi="Arial"/>
          <w:b/>
          <w:bCs/>
          <w:color w:val="1D9E75"/>
          <w:sz w:val="26"/>
          <w:szCs w:val="26"/>
        </w:rPr>
        <w:t xml:space="preserve">3.4 Variantes du logo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626"/>
        <w:gridCol w:w="2600"/>
      </w:tblGrid>
      <w:tr>
        <w:trPr>
          <w:tblHeader/>
        </w:trPr>
        <w:tc>
          <w:tcPr>
            <w:tcW w:type="dxa" w:w="2800"/>
            <w:tcBorders>
              <w:top w:val="single" w:color="1D9E75" w:sz="6"/>
              <w:left w:val="single" w:color="1D9E75" w:sz="6"/>
              <w:bottom w:val="single" w:color="1D9E75" w:sz="6"/>
              <w:right w:val="single" w:color="1D9E75"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Variante</w:t>
            </w:r>
          </w:p>
        </w:tc>
        <w:tc>
          <w:tcPr>
            <w:tcW w:type="dxa" w:w="3626"/>
            <w:tcBorders>
              <w:top w:val="single" w:color="1D9E75" w:sz="6"/>
              <w:left w:val="single" w:color="1D9E75" w:sz="6"/>
              <w:bottom w:val="single" w:color="1D9E75" w:sz="6"/>
              <w:right w:val="single" w:color="1D9E75"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2600"/>
            <w:tcBorders>
              <w:top w:val="single" w:color="1D9E75" w:sz="6"/>
              <w:left w:val="single" w:color="1D9E75" w:sz="6"/>
              <w:bottom w:val="single" w:color="1D9E75" w:sz="6"/>
              <w:right w:val="single" w:color="1D9E75"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Fond autorisé</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Logo complet (icône + wordmark + tagline)</w:t>
            </w:r>
          </w:p>
        </w:tc>
        <w:tc>
          <w:tcPr>
            <w:tcW w:type="dxa" w:w="3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Communication externe, site web, en-têtes officiels</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Blanc, Teal 50</w:t>
            </w:r>
          </w:p>
        </w:tc>
      </w:tr>
      <w:tr>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Logo fond sombre (icône + wordmark blancs/clairs)</w:t>
            </w:r>
          </w:p>
        </w:tc>
        <w:tc>
          <w:tcPr>
            <w:tcW w:type="dxa" w:w="36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Fonds Teal 800, fonds sombres, applis dark mode</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Teal 800, noir</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Icône seule</w:t>
            </w:r>
          </w:p>
        </w:tc>
        <w:tc>
          <w:tcPr>
            <w:tcW w:type="dxa" w:w="3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Favicon, avatar, app icon, badge</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Teal 400, blanc, Teal 800</w:t>
            </w:r>
          </w:p>
        </w:tc>
      </w:tr>
      <w:tr>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Monochrome noir</w:t>
            </w:r>
          </w:p>
        </w:tc>
        <w:tc>
          <w:tcPr>
            <w:tcW w:type="dxa" w:w="36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Impression N&amp;B, tampons, documents administratifs</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Blanc, gris clair</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Badge / pill</w:t>
            </w:r>
          </w:p>
        </w:tc>
        <w:tc>
          <w:tcPr>
            <w:tcW w:type="dxa" w:w="3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Notifications, étiquettes, UI chips</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Teal 400</w:t>
            </w:r>
          </w:p>
        </w:tc>
      </w:tr>
    </w:tbl>
    <w:p>
      <w:pPr>
        <w:spacing w:before="0" w:after="80"/>
      </w:pPr>
      <w:r>
        <w:t xml:space="preserve"/>
      </w:r>
    </w:p>
    <w:p>
      <w:pPr>
        <w:pStyle w:val="Heading2"/>
        <w:pBdr>
          <w:bottom w:val="single" w:color="9FE1CB" w:sz="6" w:space="1"/>
        </w:pBdr>
        <w:spacing w:before="280" w:after="160"/>
      </w:pPr>
      <w:r>
        <w:rPr>
          <w:rFonts w:ascii="Arial" w:cs="Arial" w:eastAsia="Arial" w:hAnsi="Arial"/>
          <w:b/>
          <w:bCs/>
          <w:color w:val="1D9E75"/>
          <w:sz w:val="26"/>
          <w:szCs w:val="26"/>
        </w:rPr>
        <w:t xml:space="preserve">3.5 Zones de protection et usages interdits</w:t>
      </w:r>
    </w:p>
    <w:p>
      <w:pPr>
        <w:spacing w:before="0" w:after="140"/>
      </w:pPr>
      <w:r>
        <w:rPr>
          <w:rFonts w:ascii="Arial" w:cs="Arial" w:eastAsia="Arial" w:hAnsi="Arial"/>
          <w:color w:val="2C2C2A"/>
          <w:sz w:val="22"/>
          <w:szCs w:val="22"/>
        </w:rPr>
        <w:t xml:space="preserve">Zone de protection minimale : l'espace libre autour du logo doit être au minimum égal à la hauteur de la lettre M du wordmark de chaque côté.</w:t>
      </w:r>
    </w:p>
    <w:p>
      <w:pPr>
        <w:spacing w:before="0" w:after="80"/>
      </w:pPr>
      <w:r>
        <w:t xml:space="preserve"/>
      </w:r>
    </w:p>
    <w:p>
      <w:pPr>
        <w:spacing w:before="0" w:after="140"/>
      </w:pPr>
      <w:r>
        <w:rPr>
          <w:rFonts w:ascii="Arial" w:cs="Arial" w:eastAsia="Arial" w:hAnsi="Arial"/>
          <w:color w:val="2C2C2A"/>
          <w:sz w:val="22"/>
          <w:szCs w:val="22"/>
        </w:rPr>
        <w:t xml:space="preserve">Usages interdits :</w:t>
      </w:r>
    </w:p>
    <w:p>
      <w:pPr>
        <w:pStyle w:val="ListParagraph"/>
        <w:numPr>
          <w:ilvl w:val="0"/>
          <w:numId w:val="2"/>
        </w:numPr>
        <w:spacing w:before="0" w:after="100"/>
      </w:pPr>
      <w:r>
        <w:rPr>
          <w:rFonts w:ascii="Arial" w:cs="Arial" w:eastAsia="Arial" w:hAnsi="Arial"/>
          <w:color w:val="2C2C2A"/>
          <w:sz w:val="22"/>
          <w:szCs w:val="22"/>
        </w:rPr>
        <w:t xml:space="preserve">Déformer ou étirer le logo dans l'une ou l'autre dimension.</w:t>
      </w:r>
    </w:p>
    <w:p>
      <w:pPr>
        <w:pStyle w:val="ListParagraph"/>
        <w:numPr>
          <w:ilvl w:val="0"/>
          <w:numId w:val="2"/>
        </w:numPr>
        <w:spacing w:before="0" w:after="100"/>
      </w:pPr>
      <w:r>
        <w:rPr>
          <w:rFonts w:ascii="Arial" w:cs="Arial" w:eastAsia="Arial" w:hAnsi="Arial"/>
          <w:color w:val="2C2C2A"/>
          <w:sz w:val="22"/>
          <w:szCs w:val="22"/>
        </w:rPr>
        <w:t xml:space="preserve">Modifier les couleurs hors des variantes officielles définies à la section 3.4.</w:t>
      </w:r>
    </w:p>
    <w:p>
      <w:pPr>
        <w:pStyle w:val="ListParagraph"/>
        <w:numPr>
          <w:ilvl w:val="0"/>
          <w:numId w:val="2"/>
        </w:numPr>
        <w:spacing w:before="0" w:after="100"/>
      </w:pPr>
      <w:r>
        <w:rPr>
          <w:rFonts w:ascii="Arial" w:cs="Arial" w:eastAsia="Arial" w:hAnsi="Arial"/>
          <w:color w:val="2C2C2A"/>
          <w:sz w:val="22"/>
          <w:szCs w:val="22"/>
        </w:rPr>
        <w:t xml:space="preserve">Placer le logo sur un fond dont le contraste est insuffisant (ratio &lt; 4,5:1).</w:t>
      </w:r>
    </w:p>
    <w:p>
      <w:pPr>
        <w:pStyle w:val="ListParagraph"/>
        <w:numPr>
          <w:ilvl w:val="0"/>
          <w:numId w:val="2"/>
        </w:numPr>
        <w:spacing w:before="0" w:after="100"/>
      </w:pPr>
      <w:r>
        <w:rPr>
          <w:rFonts w:ascii="Arial" w:cs="Arial" w:eastAsia="Arial" w:hAnsi="Arial"/>
          <w:color w:val="2C2C2A"/>
          <w:sz w:val="22"/>
          <w:szCs w:val="22"/>
        </w:rPr>
        <w:t xml:space="preserve">Ajouter des effets (ombre portée, biseautage, contour lumineux, dégradé).</w:t>
      </w:r>
    </w:p>
    <w:p>
      <w:pPr>
        <w:pStyle w:val="ListParagraph"/>
        <w:numPr>
          <w:ilvl w:val="0"/>
          <w:numId w:val="2"/>
        </w:numPr>
        <w:spacing w:before="0" w:after="100"/>
      </w:pPr>
      <w:r>
        <w:rPr>
          <w:rFonts w:ascii="Arial" w:cs="Arial" w:eastAsia="Arial" w:hAnsi="Arial"/>
          <w:color w:val="2C2C2A"/>
          <w:sz w:val="22"/>
          <w:szCs w:val="22"/>
        </w:rPr>
        <w:t xml:space="preserve">Utiliser la croix médicale seule sans l'ECG, en dehors de la variante monochrome validée.</w:t>
      </w:r>
    </w:p>
    <w:p>
      <w:pPr>
        <w:pStyle w:val="ListParagraph"/>
        <w:numPr>
          <w:ilvl w:val="0"/>
          <w:numId w:val="2"/>
        </w:numPr>
        <w:spacing w:before="0" w:after="100"/>
      </w:pPr>
      <w:r>
        <w:rPr>
          <w:rFonts w:ascii="Arial" w:cs="Arial" w:eastAsia="Arial" w:hAnsi="Arial"/>
          <w:color w:val="2C2C2A"/>
          <w:sz w:val="22"/>
          <w:szCs w:val="22"/>
        </w:rPr>
        <w:t xml:space="preserve">Reproduire le logo dans une taille inférieure à 80px de largeur en digital ou 2 cm en impression.</w:t>
      </w:r>
    </w:p>
    <w:p>
      <w:pPr>
        <w:spacing w:before="0" w:after="80"/>
      </w:pPr>
      <w:r>
        <w:t xml:space="preserve"/>
      </w:r>
    </w:p>
    <w:p>
      <w:r>
        <w:br w:type="page"/>
      </w:r>
    </w:p>
    <w:p>
      <w:pPr>
        <w:pStyle w:val="Heading1"/>
        <w:spacing w:before="360" w:after="200"/>
      </w:pPr>
      <w:r>
        <w:rPr>
          <w:rFonts w:ascii="Arial" w:cs="Arial" w:eastAsia="Arial" w:hAnsi="Arial"/>
          <w:b/>
          <w:bCs/>
          <w:color w:val="085041"/>
          <w:sz w:val="32"/>
          <w:szCs w:val="32"/>
        </w:rPr>
        <w:t xml:space="preserve">4. Palette de Couleurs</w:t>
      </w:r>
    </w:p>
    <w:p>
      <w:pPr>
        <w:pStyle w:val="Heading2"/>
        <w:pBdr>
          <w:bottom w:val="single" w:color="9FE1CB" w:sz="6" w:space="1"/>
        </w:pBdr>
        <w:spacing w:before="280" w:after="160"/>
      </w:pPr>
      <w:r>
        <w:rPr>
          <w:rFonts w:ascii="Arial" w:cs="Arial" w:eastAsia="Arial" w:hAnsi="Arial"/>
          <w:b/>
          <w:bCs/>
          <w:color w:val="1D9E75"/>
          <w:sz w:val="26"/>
          <w:szCs w:val="26"/>
        </w:rPr>
        <w:t xml:space="preserve">4.1 Palette principale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1826"/>
      </w:tblGrid>
      <w:tr>
        <w:trPr>
          <w:tblHeader/>
        </w:trPr>
        <w:tc>
          <w:tcPr>
            <w:tcW w:type="dxa" w:w="3200"/>
            <w:tcBorders>
              <w:top w:val="single" w:color="1D9E75" w:sz="6"/>
              <w:left w:val="single" w:color="1D9E75" w:sz="6"/>
              <w:bottom w:val="single" w:color="1D9E75" w:sz="6"/>
              <w:right w:val="single" w:color="1D9E75" w:sz="6"/>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2000"/>
            <w:tcBorders>
              <w:top w:val="single" w:color="1D9E75" w:sz="6"/>
              <w:left w:val="single" w:color="1D9E75" w:sz="6"/>
              <w:bottom w:val="single" w:color="1D9E75" w:sz="6"/>
              <w:right w:val="single" w:color="1D9E75" w:sz="6"/>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Nom</w:t>
            </w:r>
          </w:p>
        </w:tc>
        <w:tc>
          <w:tcPr>
            <w:tcW w:type="dxa" w:w="2000"/>
            <w:tcBorders>
              <w:top w:val="single" w:color="1D9E75" w:sz="6"/>
              <w:left w:val="single" w:color="1D9E75" w:sz="6"/>
              <w:bottom w:val="single" w:color="1D9E75" w:sz="6"/>
              <w:right w:val="single" w:color="1D9E75" w:sz="6"/>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Code HEX</w:t>
            </w:r>
          </w:p>
        </w:tc>
        <w:tc>
          <w:tcPr>
            <w:tcW w:type="dxa" w:w="1826"/>
            <w:tcBorders>
              <w:top w:val="single" w:color="1D9E75" w:sz="6"/>
              <w:left w:val="single" w:color="1D9E75" w:sz="6"/>
              <w:bottom w:val="single" w:color="1D9E75" w:sz="6"/>
              <w:right w:val="single" w:color="1D9E75" w:sz="6"/>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Primaire</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Teal 400</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b/>
                <w:bCs/>
                <w:color w:val="1D9E75"/>
                <w:sz w:val="20"/>
                <w:szCs w:val="20"/>
              </w:rPr>
              <w:t xml:space="preserve">#1D9E75</w:t>
            </w:r>
          </w:p>
        </w:tc>
        <w:tc>
          <w:tcPr>
            <w:tcW w:type="dxa" w:w="1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Boutons, liens, icônes actifs, fond icône logo</w:t>
            </w:r>
          </w:p>
        </w:tc>
      </w:tr>
      <w:tr>
        <w:tc>
          <w:tcPr>
            <w:tcW w:type="dxa" w:w="3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b w:val="false"/>
                <w:bCs w:val="false"/>
                <w:color w:val="2C2C2A"/>
                <w:sz w:val="20"/>
                <w:szCs w:val="20"/>
              </w:rPr>
              <w:t xml:space="preserve">Secondaire</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b w:val="false"/>
                <w:bCs w:val="false"/>
                <w:color w:val="2C2C2A"/>
                <w:sz w:val="20"/>
                <w:szCs w:val="20"/>
              </w:rPr>
              <w:t xml:space="preserve">Teal 800</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b/>
                <w:bCs/>
                <w:color w:val="1D9E75"/>
                <w:sz w:val="20"/>
                <w:szCs w:val="20"/>
              </w:rPr>
              <w:t xml:space="preserve">#085041</w:t>
            </w:r>
          </w:p>
        </w:tc>
        <w:tc>
          <w:tcPr>
            <w:tcW w:type="dxa" w:w="1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b w:val="false"/>
                <w:bCs w:val="false"/>
                <w:color w:val="2C2C2A"/>
                <w:sz w:val="20"/>
                <w:szCs w:val="20"/>
              </w:rPr>
              <w:t xml:space="preserve">Titres, textes forts, fond logo version sombre</w:t>
            </w:r>
          </w:p>
        </w:tc>
      </w:tr>
      <w:tr>
        <w:tc>
          <w:tcPr>
            <w:tcW w:type="dxa" w:w="3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Tertiaire</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Teal 600</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b/>
                <w:bCs/>
                <w:color w:val="1D9E75"/>
                <w:sz w:val="20"/>
                <w:szCs w:val="20"/>
              </w:rPr>
              <w:t xml:space="preserve">#0F6E56</w:t>
            </w:r>
          </w:p>
        </w:tc>
        <w:tc>
          <w:tcPr>
            <w:tcW w:type="dxa" w:w="1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Bordures, états hover, sous-titres accentués</w:t>
            </w:r>
          </w:p>
        </w:tc>
      </w:tr>
      <w:tr>
        <w:tc>
          <w:tcPr>
            <w:tcW w:type="dxa" w:w="3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b w:val="false"/>
                <w:bCs w:val="false"/>
                <w:color w:val="2C2C2A"/>
                <w:sz w:val="20"/>
                <w:szCs w:val="20"/>
              </w:rPr>
              <w:t xml:space="preserve">Surface</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b w:val="false"/>
                <w:bCs w:val="false"/>
                <w:color w:val="2C2C2A"/>
                <w:sz w:val="20"/>
                <w:szCs w:val="20"/>
              </w:rPr>
              <w:t xml:space="preserve">Teal 50</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b/>
                <w:bCs/>
                <w:color w:val="1D9E75"/>
                <w:sz w:val="20"/>
                <w:szCs w:val="20"/>
              </w:rPr>
              <w:t xml:space="preserve">#E1F5EE</w:t>
            </w:r>
          </w:p>
        </w:tc>
        <w:tc>
          <w:tcPr>
            <w:tcW w:type="dxa" w:w="1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b w:val="false"/>
                <w:bCs w:val="false"/>
                <w:color w:val="2C2C2A"/>
                <w:sz w:val="20"/>
                <w:szCs w:val="20"/>
              </w:rPr>
              <w:t xml:space="preserve">Fonds de cartes, zones d'information, tableaux pairs</w:t>
            </w:r>
          </w:p>
        </w:tc>
      </w:tr>
      <w:tr>
        <w:tc>
          <w:tcPr>
            <w:tcW w:type="dxa" w:w="3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Intermédiaire</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Teal 200</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b/>
                <w:bCs/>
                <w:color w:val="1D9E75"/>
                <w:sz w:val="20"/>
                <w:szCs w:val="20"/>
              </w:rPr>
              <w:t xml:space="preserve">#9FE1CB</w:t>
            </w:r>
          </w:p>
        </w:tc>
        <w:tc>
          <w:tcPr>
            <w:tcW w:type="dxa" w:w="1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Séparateurs, bordures légères, éléments discrets</w:t>
            </w:r>
          </w:p>
        </w:tc>
      </w:tr>
    </w:tbl>
    <w:p>
      <w:pPr>
        <w:spacing w:before="0" w:after="80"/>
      </w:pPr>
      <w:r>
        <w:t xml:space="preserve"/>
      </w:r>
    </w:p>
    <w:p>
      <w:pPr>
        <w:pStyle w:val="Heading2"/>
        <w:pBdr>
          <w:bottom w:val="single" w:color="9FE1CB" w:sz="6" w:space="1"/>
        </w:pBdr>
        <w:spacing w:before="280" w:after="160"/>
      </w:pPr>
      <w:r>
        <w:rPr>
          <w:rFonts w:ascii="Arial" w:cs="Arial" w:eastAsia="Arial" w:hAnsi="Arial"/>
          <w:b/>
          <w:bCs/>
          <w:color w:val="1D9E75"/>
          <w:sz w:val="26"/>
          <w:szCs w:val="26"/>
        </w:rPr>
        <w:t xml:space="preserve">4.2 Couleurs d'accent et neutres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1826"/>
      </w:tblGrid>
      <w:tr>
        <w:trPr>
          <w:tblHeader/>
        </w:trPr>
        <w:tc>
          <w:tcPr>
            <w:tcW w:type="dxa" w:w="3200"/>
            <w:tcBorders>
              <w:top w:val="single" w:color="1D9E75" w:sz="6"/>
              <w:left w:val="single" w:color="1D9E75" w:sz="6"/>
              <w:bottom w:val="single" w:color="1D9E75" w:sz="6"/>
              <w:right w:val="single" w:color="1D9E75" w:sz="6"/>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2000"/>
            <w:tcBorders>
              <w:top w:val="single" w:color="1D9E75" w:sz="6"/>
              <w:left w:val="single" w:color="1D9E75" w:sz="6"/>
              <w:bottom w:val="single" w:color="1D9E75" w:sz="6"/>
              <w:right w:val="single" w:color="1D9E75" w:sz="6"/>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Nom</w:t>
            </w:r>
          </w:p>
        </w:tc>
        <w:tc>
          <w:tcPr>
            <w:tcW w:type="dxa" w:w="2000"/>
            <w:tcBorders>
              <w:top w:val="single" w:color="1D9E75" w:sz="6"/>
              <w:left w:val="single" w:color="1D9E75" w:sz="6"/>
              <w:bottom w:val="single" w:color="1D9E75" w:sz="6"/>
              <w:right w:val="single" w:color="1D9E75" w:sz="6"/>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Code HEX</w:t>
            </w:r>
          </w:p>
        </w:tc>
        <w:tc>
          <w:tcPr>
            <w:tcW w:type="dxa" w:w="1826"/>
            <w:tcBorders>
              <w:top w:val="single" w:color="1D9E75" w:sz="6"/>
              <w:left w:val="single" w:color="1D9E75" w:sz="6"/>
              <w:bottom w:val="single" w:color="1D9E75" w:sz="6"/>
              <w:right w:val="single" w:color="1D9E75" w:sz="6"/>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Accent / Alerte</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Amber 400</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b/>
                <w:bCs/>
                <w:color w:val="1D9E75"/>
                <w:sz w:val="20"/>
                <w:szCs w:val="20"/>
              </w:rPr>
              <w:t xml:space="preserve">#EF9F27</w:t>
            </w:r>
          </w:p>
        </w:tc>
        <w:tc>
          <w:tcPr>
            <w:tcW w:type="dxa" w:w="1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Alertes stock, péremptions, indicateurs d'attention</w:t>
            </w:r>
          </w:p>
        </w:tc>
      </w:tr>
      <w:tr>
        <w:tc>
          <w:tcPr>
            <w:tcW w:type="dxa" w:w="3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b w:val="false"/>
                <w:bCs w:val="false"/>
                <w:color w:val="2C2C2A"/>
                <w:sz w:val="20"/>
                <w:szCs w:val="20"/>
              </w:rPr>
              <w:t xml:space="preserve">Neutre principal</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b w:val="false"/>
                <w:bCs w:val="false"/>
                <w:color w:val="2C2C2A"/>
                <w:sz w:val="20"/>
                <w:szCs w:val="20"/>
              </w:rPr>
              <w:t xml:space="preserve">Gray 400</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b/>
                <w:bCs/>
                <w:color w:val="1D9E75"/>
                <w:sz w:val="20"/>
                <w:szCs w:val="20"/>
              </w:rPr>
              <w:t xml:space="preserve">#888780</w:t>
            </w:r>
          </w:p>
        </w:tc>
        <w:tc>
          <w:tcPr>
            <w:tcW w:type="dxa" w:w="1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b w:val="false"/>
                <w:bCs w:val="false"/>
                <w:color w:val="2C2C2A"/>
                <w:sz w:val="20"/>
                <w:szCs w:val="20"/>
              </w:rPr>
              <w:t xml:space="preserve">Textes secondaires, métadonnées, labels inactifs</w:t>
            </w:r>
          </w:p>
        </w:tc>
      </w:tr>
      <w:tr>
        <w:tc>
          <w:tcPr>
            <w:tcW w:type="dxa" w:w="3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Neutre clair</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Gray 50</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b/>
                <w:bCs/>
                <w:color w:val="1D9E75"/>
                <w:sz w:val="20"/>
                <w:szCs w:val="20"/>
              </w:rPr>
              <w:t xml:space="preserve">#F1EFE8</w:t>
            </w:r>
          </w:p>
        </w:tc>
        <w:tc>
          <w:tcPr>
            <w:tcW w:type="dxa" w:w="1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Fonds de page, zones neutres</w:t>
            </w:r>
          </w:p>
        </w:tc>
      </w:tr>
      <w:tr>
        <w:tc>
          <w:tcPr>
            <w:tcW w:type="dxa" w:w="3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b w:val="false"/>
                <w:bCs w:val="false"/>
                <w:color w:val="2C2C2A"/>
                <w:sz w:val="20"/>
                <w:szCs w:val="20"/>
              </w:rPr>
              <w:t xml:space="preserve">Fond pur</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b w:val="false"/>
                <w:bCs w:val="false"/>
                <w:color w:val="2C2C2A"/>
                <w:sz w:val="20"/>
                <w:szCs w:val="20"/>
              </w:rPr>
              <w:t xml:space="preserve">Blanc</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b/>
                <w:bCs/>
                <w:color w:val="1D9E75"/>
                <w:sz w:val="20"/>
                <w:szCs w:val="20"/>
              </w:rPr>
              <w:t xml:space="preserve">#FFFFFF</w:t>
            </w:r>
          </w:p>
        </w:tc>
        <w:tc>
          <w:tcPr>
            <w:tcW w:type="dxa" w:w="1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b w:val="false"/>
                <w:bCs w:val="false"/>
                <w:color w:val="2C2C2A"/>
                <w:sz w:val="20"/>
                <w:szCs w:val="20"/>
              </w:rPr>
              <w:t xml:space="preserve">Cartes, modales, surfaces principales</w:t>
            </w:r>
          </w:p>
        </w:tc>
      </w:tr>
      <w:tr>
        <w:tc>
          <w:tcPr>
            <w:tcW w:type="dxa" w:w="3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Texte fort</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Gray 900</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b/>
                <w:bCs/>
                <w:color w:val="1D9E75"/>
                <w:sz w:val="20"/>
                <w:szCs w:val="20"/>
              </w:rPr>
              <w:t xml:space="preserve">#2C2C2A</w:t>
            </w:r>
          </w:p>
        </w:tc>
        <w:tc>
          <w:tcPr>
            <w:tcW w:type="dxa" w:w="1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Corps de texte, contenu principal</w:t>
            </w:r>
          </w:p>
        </w:tc>
      </w:tr>
    </w:tbl>
    <w:p>
      <w:pPr>
        <w:spacing w:before="0" w:after="80"/>
      </w:pPr>
      <w:r>
        <w:t xml:space="preserve"/>
      </w:r>
    </w:p>
    <w:p>
      <w:pPr>
        <w:pStyle w:val="Heading2"/>
        <w:pBdr>
          <w:bottom w:val="single" w:color="9FE1CB" w:sz="6" w:space="1"/>
        </w:pBdr>
        <w:spacing w:before="280" w:after="160"/>
      </w:pPr>
      <w:r>
        <w:rPr>
          <w:rFonts w:ascii="Arial" w:cs="Arial" w:eastAsia="Arial" w:hAnsi="Arial"/>
          <w:b/>
          <w:bCs/>
          <w:color w:val="1D9E75"/>
          <w:sz w:val="26"/>
          <w:szCs w:val="26"/>
        </w:rPr>
        <w:t xml:space="preserve">4.3 Couleurs sémantiques UI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26"/>
        <w:gridCol w:w="3000"/>
      </w:tblGrid>
      <w:tr>
        <w:trPr>
          <w:tblHeader/>
        </w:trPr>
        <w:tc>
          <w:tcPr>
            <w:tcW w:type="dxa" w:w="2200"/>
            <w:tcBorders>
              <w:top w:val="single" w:color="1D9E75" w:sz="6"/>
              <w:left w:val="single" w:color="1D9E75" w:sz="6"/>
              <w:bottom w:val="single" w:color="1D9E75" w:sz="6"/>
              <w:right w:val="single" w:color="1D9E75"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Sémantique</w:t>
            </w:r>
          </w:p>
        </w:tc>
        <w:tc>
          <w:tcPr>
            <w:tcW w:type="dxa" w:w="3826"/>
            <w:tcBorders>
              <w:top w:val="single" w:color="1D9E75" w:sz="6"/>
              <w:left w:val="single" w:color="1D9E75" w:sz="6"/>
              <w:bottom w:val="single" w:color="1D9E75" w:sz="6"/>
              <w:right w:val="single" w:color="1D9E75"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3000"/>
            <w:tcBorders>
              <w:top w:val="single" w:color="1D9E75" w:sz="6"/>
              <w:left w:val="single" w:color="1D9E75" w:sz="6"/>
              <w:bottom w:val="single" w:color="1D9E75" w:sz="6"/>
              <w:right w:val="single" w:color="1D9E75"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Couleur recommandée</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Succès / Disponible</w:t>
            </w:r>
          </w:p>
        </w:tc>
        <w:tc>
          <w:tcPr>
            <w:tcW w:type="dxa" w:w="3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Médicament en stock, paiement validé</w:t>
            </w:r>
          </w:p>
        </w:tc>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Teal 400 (#1D9E75)</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Avertissement / Attention</w:t>
            </w:r>
          </w:p>
        </w:tc>
        <w:tc>
          <w:tcPr>
            <w:tcW w:type="dxa" w:w="3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Stock faible, péremption &lt; 3 mois</w:t>
            </w:r>
          </w:p>
        </w:tc>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Amber 400 (#EF9F27)</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Danger / Rupture</w:t>
            </w:r>
          </w:p>
        </w:tc>
        <w:tc>
          <w:tcPr>
            <w:tcW w:type="dxa" w:w="3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Rupture de stock, erreur critique</w:t>
            </w:r>
          </w:p>
        </w:tc>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Rouge #E24B4A</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Information</w:t>
            </w:r>
          </w:p>
        </w:tc>
        <w:tc>
          <w:tcPr>
            <w:tcW w:type="dxa" w:w="3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Notifications, mises à jour</w:t>
            </w:r>
          </w:p>
        </w:tc>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Bleu #378ADD</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Inactif / Archivé</w:t>
            </w:r>
          </w:p>
        </w:tc>
        <w:tc>
          <w:tcPr>
            <w:tcW w:type="dxa" w:w="3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Médicament retiré, compte suspendu</w:t>
            </w:r>
          </w:p>
        </w:tc>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Gray 400 (#888780)</w:t>
            </w:r>
          </w:p>
        </w:tc>
      </w:tr>
    </w:tbl>
    <w:p>
      <w:pPr>
        <w:spacing w:before="0" w:after="80"/>
      </w:pPr>
      <w:r>
        <w:t xml:space="preserve"/>
      </w:r>
    </w:p>
    <w:p>
      <w:pPr>
        <w:pStyle w:val="Heading2"/>
        <w:pBdr>
          <w:bottom w:val="single" w:color="9FE1CB" w:sz="6" w:space="1"/>
        </w:pBdr>
        <w:spacing w:before="280" w:after="160"/>
      </w:pPr>
      <w:r>
        <w:rPr>
          <w:rFonts w:ascii="Arial" w:cs="Arial" w:eastAsia="Arial" w:hAnsi="Arial"/>
          <w:b/>
          <w:bCs/>
          <w:color w:val="1D9E75"/>
          <w:sz w:val="26"/>
          <w:szCs w:val="26"/>
        </w:rPr>
        <w:t xml:space="preserve">4.4 Règles d'accessibilité</w:t>
      </w:r>
    </w:p>
    <w:p>
      <w:pPr>
        <w:spacing w:before="0" w:after="140"/>
      </w:pPr>
      <w:r>
        <w:rPr>
          <w:rFonts w:ascii="Arial" w:cs="Arial" w:eastAsia="Arial" w:hAnsi="Arial"/>
          <w:color w:val="2C2C2A"/>
          <w:sz w:val="22"/>
          <w:szCs w:val="22"/>
        </w:rPr>
        <w:t xml:space="preserve">Toutes les combinaisons texte/fond respectent les seuils WCAG 2.1 :</w:t>
      </w:r>
    </w:p>
    <w:p>
      <w:pPr>
        <w:pStyle w:val="ListParagraph"/>
        <w:numPr>
          <w:ilvl w:val="0"/>
          <w:numId w:val="2"/>
        </w:numPr>
        <w:spacing w:before="0" w:after="100"/>
      </w:pPr>
      <w:r>
        <w:rPr>
          <w:rFonts w:ascii="Arial" w:cs="Arial" w:eastAsia="Arial" w:hAnsi="Arial"/>
          <w:color w:val="2C2C2A"/>
          <w:sz w:val="22"/>
          <w:szCs w:val="22"/>
        </w:rPr>
        <w:t xml:space="preserve">Texte normal (&lt; 18pt) : ratio de contraste minimum 4,5:1.</w:t>
      </w:r>
    </w:p>
    <w:p>
      <w:pPr>
        <w:pStyle w:val="ListParagraph"/>
        <w:numPr>
          <w:ilvl w:val="0"/>
          <w:numId w:val="2"/>
        </w:numPr>
        <w:spacing w:before="0" w:after="100"/>
      </w:pPr>
      <w:r>
        <w:rPr>
          <w:rFonts w:ascii="Arial" w:cs="Arial" w:eastAsia="Arial" w:hAnsi="Arial"/>
          <w:color w:val="2C2C2A"/>
          <w:sz w:val="22"/>
          <w:szCs w:val="22"/>
        </w:rPr>
        <w:t xml:space="preserve">Texte grand (≥ 18pt bold) : ratio minimum 3:1.</w:t>
      </w:r>
    </w:p>
    <w:p>
      <w:pPr>
        <w:pStyle w:val="ListParagraph"/>
        <w:numPr>
          <w:ilvl w:val="0"/>
          <w:numId w:val="2"/>
        </w:numPr>
        <w:spacing w:before="0" w:after="100"/>
      </w:pPr>
      <w:r>
        <w:rPr>
          <w:rFonts w:ascii="Arial" w:cs="Arial" w:eastAsia="Arial" w:hAnsi="Arial"/>
          <w:color w:val="2C2C2A"/>
          <w:sz w:val="22"/>
          <w:szCs w:val="22"/>
        </w:rPr>
        <w:t xml:space="preserve">Éléments d'interface (bordures, icônes) : ratio minimum 3:1.</w:t>
      </w:r>
    </w:p>
    <w:p>
      <w:pPr>
        <w:spacing w:before="0" w:after="80"/>
      </w:pPr>
      <w:r>
        <w:t xml:space="preserve"/>
      </w:r>
    </w:p>
    <w:p>
      <w:pPr>
        <w:spacing w:before="0" w:after="140"/>
      </w:pPr>
      <w:r>
        <w:rPr>
          <w:rFonts w:ascii="Arial" w:cs="Arial" w:eastAsia="Arial" w:hAnsi="Arial"/>
          <w:color w:val="2C2C2A"/>
          <w:sz w:val="22"/>
          <w:szCs w:val="22"/>
        </w:rPr>
        <w:t xml:space="preserve">Combinaisons validées : blanc sur Teal 400, blanc sur Teal 800, Teal 800 sur Teal 50, Gray 900 sur blanc, Amber 400 sur Teal 800.</w:t>
      </w:r>
    </w:p>
    <w:p>
      <w:pPr>
        <w:spacing w:before="0" w:after="80"/>
      </w:pPr>
      <w:r>
        <w:t xml:space="preserve"/>
      </w:r>
    </w:p>
    <w:p>
      <w:r>
        <w:br w:type="page"/>
      </w:r>
    </w:p>
    <w:p>
      <w:pPr>
        <w:pStyle w:val="Heading1"/>
        <w:spacing w:before="360" w:after="200"/>
      </w:pPr>
      <w:r>
        <w:rPr>
          <w:rFonts w:ascii="Arial" w:cs="Arial" w:eastAsia="Arial" w:hAnsi="Arial"/>
          <w:b/>
          <w:bCs/>
          <w:color w:val="085041"/>
          <w:sz w:val="32"/>
          <w:szCs w:val="32"/>
        </w:rPr>
        <w:t xml:space="preserve">5. Typographie</w:t>
      </w:r>
    </w:p>
    <w:p>
      <w:pPr>
        <w:pStyle w:val="Heading2"/>
        <w:pBdr>
          <w:bottom w:val="single" w:color="9FE1CB" w:sz="6" w:space="1"/>
        </w:pBdr>
        <w:spacing w:before="280" w:after="160"/>
      </w:pPr>
      <w:r>
        <w:rPr>
          <w:rFonts w:ascii="Arial" w:cs="Arial" w:eastAsia="Arial" w:hAnsi="Arial"/>
          <w:b/>
          <w:bCs/>
          <w:color w:val="1D9E75"/>
          <w:sz w:val="26"/>
          <w:szCs w:val="26"/>
        </w:rPr>
        <w:t xml:space="preserve">5.1 Famille Display — Georgia Serif</w:t>
      </w:r>
    </w:p>
    <w:p>
      <w:pPr>
        <w:spacing w:before="0" w:after="140"/>
      </w:pPr>
      <w:r>
        <w:rPr>
          <w:rFonts w:ascii="Arial" w:cs="Arial" w:eastAsia="Arial" w:hAnsi="Arial"/>
          <w:color w:val="2C2C2A"/>
          <w:sz w:val="22"/>
          <w:szCs w:val="22"/>
        </w:rPr>
        <w:t xml:space="preserve">Georgia Serif est réservée au wordmark, aux titres de communication externe (landing page, affiches, campagnes) et aux accroches publicitaires. Elle confère à la marque une dimension de confiance, de sérieux et d'institution — qualités attendues dans le domaine de la santé.</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400"/>
        <w:gridCol w:w="2426"/>
      </w:tblGrid>
      <w:tr>
        <w:trPr>
          <w:tblHeader/>
        </w:trPr>
        <w:tc>
          <w:tcPr>
            <w:tcW w:type="dxa" w:w="2600"/>
            <w:tcBorders>
              <w:top w:val="single" w:color="1D9E75" w:sz="6"/>
              <w:left w:val="single" w:color="1D9E75" w:sz="6"/>
              <w:bottom w:val="single" w:color="1D9E75" w:sz="6"/>
              <w:right w:val="single" w:color="1D9E75"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1600"/>
            <w:tcBorders>
              <w:top w:val="single" w:color="1D9E75" w:sz="6"/>
              <w:left w:val="single" w:color="1D9E75" w:sz="6"/>
              <w:bottom w:val="single" w:color="1D9E75" w:sz="6"/>
              <w:right w:val="single" w:color="1D9E75"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Graisse</w:t>
            </w:r>
          </w:p>
        </w:tc>
        <w:tc>
          <w:tcPr>
            <w:tcW w:type="dxa" w:w="2400"/>
            <w:tcBorders>
              <w:top w:val="single" w:color="1D9E75" w:sz="6"/>
              <w:left w:val="single" w:color="1D9E75" w:sz="6"/>
              <w:bottom w:val="single" w:color="1D9E75" w:sz="6"/>
              <w:right w:val="single" w:color="1D9E75"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Taille recommandée</w:t>
            </w:r>
          </w:p>
        </w:tc>
        <w:tc>
          <w:tcPr>
            <w:tcW w:type="dxa" w:w="2426"/>
            <w:tcBorders>
              <w:top w:val="single" w:color="1D9E75" w:sz="6"/>
              <w:left w:val="single" w:color="1D9E75" w:sz="6"/>
              <w:bottom w:val="single" w:color="1D9E75" w:sz="6"/>
              <w:right w:val="single" w:color="1D9E75"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Couleur</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Wordmark — Médi</w:t>
            </w:r>
          </w:p>
        </w:tc>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Bold (700)</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Display / variable</w:t>
            </w:r>
          </w:p>
        </w:tc>
        <w:tc>
          <w:tcPr>
            <w:tcW w:type="dxa" w:w="2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Teal 400</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Wordmark — Helm</w:t>
            </w:r>
          </w:p>
        </w:tc>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Regular (400)</w:t>
            </w:r>
          </w:p>
        </w:tc>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Display / variable</w:t>
            </w:r>
          </w:p>
        </w:tc>
        <w:tc>
          <w:tcPr>
            <w:tcW w:type="dxa" w:w="2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Teal 800</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Accroche / headline</w:t>
            </w:r>
          </w:p>
        </w:tc>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Bold (700)</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32–48pt / 40–60px</w:t>
            </w:r>
          </w:p>
        </w:tc>
        <w:tc>
          <w:tcPr>
            <w:tcW w:type="dxa" w:w="2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Teal 800 ou Teal 400</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Sous-titre communication</w:t>
            </w:r>
          </w:p>
        </w:tc>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Regular (400)</w:t>
            </w:r>
          </w:p>
        </w:tc>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18–24pt / 22–30px</w:t>
            </w:r>
          </w:p>
        </w:tc>
        <w:tc>
          <w:tcPr>
            <w:tcW w:type="dxa" w:w="2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Teal 600</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Citation / tagline</w:t>
            </w:r>
          </w:p>
        </w:tc>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Italic Regular</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13–16pt / 16–20px</w:t>
            </w:r>
          </w:p>
        </w:tc>
        <w:tc>
          <w:tcPr>
            <w:tcW w:type="dxa" w:w="2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Teal 600</w:t>
            </w:r>
          </w:p>
        </w:tc>
      </w:tr>
    </w:tbl>
    <w:p>
      <w:pPr>
        <w:spacing w:before="0" w:after="80"/>
      </w:pPr>
      <w:r>
        <w:t xml:space="preserve"/>
      </w:r>
    </w:p>
    <w:p>
      <w:pPr>
        <w:pStyle w:val="Heading2"/>
        <w:pBdr>
          <w:bottom w:val="single" w:color="9FE1CB" w:sz="6" w:space="1"/>
        </w:pBdr>
        <w:spacing w:before="280" w:after="160"/>
      </w:pPr>
      <w:r>
        <w:rPr>
          <w:rFonts w:ascii="Arial" w:cs="Arial" w:eastAsia="Arial" w:hAnsi="Arial"/>
          <w:b/>
          <w:bCs/>
          <w:color w:val="1D9E75"/>
          <w:sz w:val="26"/>
          <w:szCs w:val="26"/>
        </w:rPr>
        <w:t xml:space="preserve">5.2 Famille Interface — System Sans-Serif</w:t>
      </w:r>
    </w:p>
    <w:p>
      <w:pPr>
        <w:spacing w:before="0" w:after="140"/>
      </w:pPr>
      <w:r>
        <w:rPr>
          <w:rFonts w:ascii="Arial" w:cs="Arial" w:eastAsia="Arial" w:hAnsi="Arial"/>
          <w:color w:val="2C2C2A"/>
          <w:sz w:val="22"/>
          <w:szCs w:val="22"/>
        </w:rPr>
        <w:t xml:space="preserve">Toutes les interfaces utilisateur (dashboard, navigation, formulaires, tableaux, étiquettes, notifications) utilisent la police système sans-serif par défaut (correspondant à Anthropic Sans en contexte web YEHI OR Tech, ou Arial en documents bureautiques). Cette approche garantit performance, lisibilité et cohérence cross-plateforme.</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600"/>
        <w:gridCol w:w="3226"/>
      </w:tblGrid>
      <w:tr>
        <w:trPr>
          <w:tblHeader/>
        </w:trPr>
        <w:tc>
          <w:tcPr>
            <w:tcW w:type="dxa" w:w="2800"/>
            <w:tcBorders>
              <w:top w:val="single" w:color="1D9E75" w:sz="6"/>
              <w:left w:val="single" w:color="1D9E75" w:sz="6"/>
              <w:bottom w:val="single" w:color="1D9E75" w:sz="6"/>
              <w:right w:val="single" w:color="1D9E75"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1400"/>
            <w:tcBorders>
              <w:top w:val="single" w:color="1D9E75" w:sz="6"/>
              <w:left w:val="single" w:color="1D9E75" w:sz="6"/>
              <w:bottom w:val="single" w:color="1D9E75" w:sz="6"/>
              <w:right w:val="single" w:color="1D9E75"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Graisse</w:t>
            </w:r>
          </w:p>
        </w:tc>
        <w:tc>
          <w:tcPr>
            <w:tcW w:type="dxa" w:w="1600"/>
            <w:tcBorders>
              <w:top w:val="single" w:color="1D9E75" w:sz="6"/>
              <w:left w:val="single" w:color="1D9E75" w:sz="6"/>
              <w:bottom w:val="single" w:color="1D9E75" w:sz="6"/>
              <w:right w:val="single" w:color="1D9E75"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Taille</w:t>
            </w:r>
          </w:p>
        </w:tc>
        <w:tc>
          <w:tcPr>
            <w:tcW w:type="dxa" w:w="3226"/>
            <w:tcBorders>
              <w:top w:val="single" w:color="1D9E75" w:sz="6"/>
              <w:left w:val="single" w:color="1D9E75" w:sz="6"/>
              <w:bottom w:val="single" w:color="1D9E75" w:sz="6"/>
              <w:right w:val="single" w:color="1D9E75"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Couleur</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Titres de section UI (H1)</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Medium (500)</w:t>
            </w:r>
          </w:p>
        </w:tc>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22–24px / 18pt</w:t>
            </w:r>
          </w:p>
        </w:tc>
        <w:tc>
          <w:tcPr>
            <w:tcW w:type="dxa" w:w="3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Teal 800</w:t>
            </w:r>
          </w:p>
        </w:tc>
      </w:tr>
      <w:tr>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Titres de carte / module (H2)</w:t>
            </w:r>
          </w:p>
        </w:tc>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Medium (500)</w:t>
            </w:r>
          </w:p>
        </w:tc>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16–18px / 14pt</w:t>
            </w:r>
          </w:p>
        </w:tc>
        <w:tc>
          <w:tcPr>
            <w:tcW w:type="dxa" w:w="3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Teal 600</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Corps de texte principal</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Regular (400)</w:t>
            </w:r>
          </w:p>
        </w:tc>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14–16px / 12pt</w:t>
            </w:r>
          </w:p>
        </w:tc>
        <w:tc>
          <w:tcPr>
            <w:tcW w:type="dxa" w:w="3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Gray 900</w:t>
            </w:r>
          </w:p>
        </w:tc>
      </w:tr>
      <w:tr>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Labels, métadonnées</w:t>
            </w:r>
          </w:p>
        </w:tc>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Regular (400)</w:t>
            </w:r>
          </w:p>
        </w:tc>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12–13px / 10pt</w:t>
            </w:r>
          </w:p>
        </w:tc>
        <w:tc>
          <w:tcPr>
            <w:tcW w:type="dxa" w:w="3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Gray 400</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Boutons, CTAs</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Medium (500)</w:t>
            </w:r>
          </w:p>
        </w:tc>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13–14px / 11pt</w:t>
            </w:r>
          </w:p>
        </w:tc>
        <w:tc>
          <w:tcPr>
            <w:tcW w:type="dxa" w:w="3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Blanc (sur fond Teal)</w:t>
            </w:r>
          </w:p>
        </w:tc>
      </w:tr>
      <w:tr>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Données chiffrées (KPI)</w:t>
            </w:r>
          </w:p>
        </w:tc>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Medium (500)</w:t>
            </w:r>
          </w:p>
        </w:tc>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24–32px / 20pt</w:t>
            </w:r>
          </w:p>
        </w:tc>
        <w:tc>
          <w:tcPr>
            <w:tcW w:type="dxa" w:w="3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Teal 800 ou Amber</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Alertes, badges</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Medium (500)</w:t>
            </w:r>
          </w:p>
        </w:tc>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11–12px / 9pt</w:t>
            </w:r>
          </w:p>
        </w:tc>
        <w:tc>
          <w:tcPr>
            <w:tcW w:type="dxa" w:w="3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Contextuel sémantique</w:t>
            </w:r>
          </w:p>
        </w:tc>
      </w:tr>
    </w:tbl>
    <w:p>
      <w:pPr>
        <w:spacing w:before="0" w:after="80"/>
      </w:pPr>
      <w:r>
        <w:t xml:space="preserve"/>
      </w:r>
    </w:p>
    <w:p>
      <w:pPr>
        <w:pStyle w:val="Heading2"/>
        <w:pBdr>
          <w:bottom w:val="single" w:color="9FE1CB" w:sz="6" w:space="1"/>
        </w:pBdr>
        <w:spacing w:before="280" w:after="160"/>
      </w:pPr>
      <w:r>
        <w:rPr>
          <w:rFonts w:ascii="Arial" w:cs="Arial" w:eastAsia="Arial" w:hAnsi="Arial"/>
          <w:b/>
          <w:bCs/>
          <w:color w:val="1D9E75"/>
          <w:sz w:val="26"/>
          <w:szCs w:val="26"/>
        </w:rPr>
        <w:t xml:space="preserve">5.3 Règles typographiques</w:t>
      </w:r>
    </w:p>
    <w:p>
      <w:pPr>
        <w:pStyle w:val="ListParagraph"/>
        <w:numPr>
          <w:ilvl w:val="0"/>
          <w:numId w:val="2"/>
        </w:numPr>
        <w:spacing w:before="0" w:after="100"/>
      </w:pPr>
      <w:r>
        <w:rPr>
          <w:rFonts w:ascii="Arial" w:cs="Arial" w:eastAsia="Arial" w:hAnsi="Arial"/>
          <w:color w:val="2C2C2A"/>
          <w:sz w:val="22"/>
          <w:szCs w:val="22"/>
        </w:rPr>
        <w:t xml:space="preserve">Ne jamais utiliser plus de deux familles typographiques simultanément dans un même support.</w:t>
      </w:r>
    </w:p>
    <w:p>
      <w:pPr>
        <w:pStyle w:val="ListParagraph"/>
        <w:numPr>
          <w:ilvl w:val="0"/>
          <w:numId w:val="2"/>
        </w:numPr>
        <w:spacing w:before="0" w:after="100"/>
      </w:pPr>
      <w:r>
        <w:rPr>
          <w:rFonts w:ascii="Arial" w:cs="Arial" w:eastAsia="Arial" w:hAnsi="Arial"/>
          <w:color w:val="2C2C2A"/>
          <w:sz w:val="22"/>
          <w:szCs w:val="22"/>
        </w:rPr>
        <w:t xml:space="preserve">Toujours appliquer Georgia Serif exclusivement à des fins de marque et de communication externe — jamais dans les interfaces de gestion.</w:t>
      </w:r>
    </w:p>
    <w:p>
      <w:pPr>
        <w:pStyle w:val="ListParagraph"/>
        <w:numPr>
          <w:ilvl w:val="0"/>
          <w:numId w:val="2"/>
        </w:numPr>
        <w:spacing w:before="0" w:after="100"/>
      </w:pPr>
      <w:r>
        <w:rPr>
          <w:rFonts w:ascii="Arial" w:cs="Arial" w:eastAsia="Arial" w:hAnsi="Arial"/>
          <w:color w:val="2C2C2A"/>
          <w:sz w:val="22"/>
          <w:szCs w:val="22"/>
        </w:rPr>
        <w:t xml:space="preserve">Le texte de corps ne dépasse jamais Bold (700) ; réserver Medium (500) pour les labels et titres d'interface.</w:t>
      </w:r>
    </w:p>
    <w:p>
      <w:pPr>
        <w:pStyle w:val="ListParagraph"/>
        <w:numPr>
          <w:ilvl w:val="0"/>
          <w:numId w:val="2"/>
        </w:numPr>
        <w:spacing w:before="0" w:after="100"/>
      </w:pPr>
      <w:r>
        <w:rPr>
          <w:rFonts w:ascii="Arial" w:cs="Arial" w:eastAsia="Arial" w:hAnsi="Arial"/>
          <w:color w:val="2C2C2A"/>
          <w:sz w:val="22"/>
          <w:szCs w:val="22"/>
        </w:rPr>
        <w:t xml:space="preserve">Interligne recommandé : 1,6 à 1,7 pour le corps de texte. Titres : 1,2 à 1,3.</w:t>
      </w:r>
    </w:p>
    <w:p>
      <w:pPr>
        <w:pStyle w:val="ListParagraph"/>
        <w:numPr>
          <w:ilvl w:val="0"/>
          <w:numId w:val="2"/>
        </w:numPr>
        <w:spacing w:before="0" w:after="100"/>
      </w:pPr>
      <w:r>
        <w:rPr>
          <w:rFonts w:ascii="Arial" w:cs="Arial" w:eastAsia="Arial" w:hAnsi="Arial"/>
          <w:color w:val="2C2C2A"/>
          <w:sz w:val="22"/>
          <w:szCs w:val="22"/>
        </w:rPr>
        <w:t xml:space="preserve">Espacement de lettres (letter-spacing) : 0 pour le corps, +1,5 à +2 pour les labels en capitales.</w:t>
      </w:r>
    </w:p>
    <w:p>
      <w:pPr>
        <w:spacing w:before="0" w:after="80"/>
      </w:pPr>
      <w:r>
        <w:t xml:space="preserve"/>
      </w:r>
    </w:p>
    <w:p>
      <w:r>
        <w:br w:type="page"/>
      </w:r>
    </w:p>
    <w:p>
      <w:pPr>
        <w:pStyle w:val="Heading1"/>
        <w:spacing w:before="360" w:after="200"/>
      </w:pPr>
      <w:r>
        <w:rPr>
          <w:rFonts w:ascii="Arial" w:cs="Arial" w:eastAsia="Arial" w:hAnsi="Arial"/>
          <w:b/>
          <w:bCs/>
          <w:color w:val="085041"/>
          <w:sz w:val="32"/>
          <w:szCs w:val="32"/>
        </w:rPr>
        <w:t xml:space="preserve">6. Ton et Voix de Marque</w:t>
      </w:r>
    </w:p>
    <w:p>
      <w:pPr>
        <w:pStyle w:val="Heading2"/>
        <w:pBdr>
          <w:bottom w:val="single" w:color="9FE1CB" w:sz="6" w:space="1"/>
        </w:pBdr>
        <w:spacing w:before="280" w:after="160"/>
      </w:pPr>
      <w:r>
        <w:rPr>
          <w:rFonts w:ascii="Arial" w:cs="Arial" w:eastAsia="Arial" w:hAnsi="Arial"/>
          <w:b/>
          <w:bCs/>
          <w:color w:val="1D9E75"/>
          <w:sz w:val="26"/>
          <w:szCs w:val="26"/>
        </w:rPr>
        <w:t xml:space="preserve">6.1 Positionnement éditorial</w:t>
      </w:r>
    </w:p>
    <w:p>
      <w:pPr>
        <w:spacing w:before="0" w:after="140"/>
      </w:pPr>
      <w:r>
        <w:rPr>
          <w:rFonts w:ascii="Arial" w:cs="Arial" w:eastAsia="Arial" w:hAnsi="Arial"/>
          <w:color w:val="2C2C2A"/>
          <w:sz w:val="22"/>
          <w:szCs w:val="22"/>
        </w:rPr>
        <w:t xml:space="preserve">MédiHelm s'adresse à deux publics distincts avec un ton adapté à chacun, tout en maintenant une cohérence de marque globale fondée sur la confiance, la clarté et la proximité.</w:t>
      </w:r>
    </w:p>
    <w:p>
      <w:pPr>
        <w:spacing w:before="0" w:after="80"/>
      </w:pPr>
      <w:r>
        <w:t xml:space="preserve"/>
      </w:r>
    </w:p>
    <w:p>
      <w:pPr>
        <w:pStyle w:val="Heading2"/>
        <w:pBdr>
          <w:bottom w:val="single" w:color="9FE1CB" w:sz="6" w:space="1"/>
        </w:pBdr>
        <w:spacing w:before="280" w:after="160"/>
      </w:pPr>
      <w:r>
        <w:rPr>
          <w:rFonts w:ascii="Arial" w:cs="Arial" w:eastAsia="Arial" w:hAnsi="Arial"/>
          <w:b/>
          <w:bCs/>
          <w:color w:val="1D9E75"/>
          <w:sz w:val="26"/>
          <w:szCs w:val="26"/>
        </w:rPr>
        <w:t xml:space="preserve">6.2 Ton vers les pharmaciens (MédiHelm Pro)</w:t>
      </w:r>
    </w:p>
    <w:p>
      <w:pPr>
        <w:spacing w:before="0" w:after="140"/>
      </w:pPr>
      <w:r>
        <w:rPr>
          <w:rFonts w:ascii="Arial" w:cs="Arial" w:eastAsia="Arial" w:hAnsi="Arial"/>
          <w:color w:val="2C2C2A"/>
          <w:sz w:val="22"/>
          <w:szCs w:val="22"/>
        </w:rPr>
        <w:t xml:space="preserve">Le pharmacien est un professionnel de santé et un chef d'entreprise. Le ton est :</w:t>
      </w:r>
    </w:p>
    <w:p>
      <w:pPr>
        <w:pStyle w:val="ListParagraph"/>
        <w:numPr>
          <w:ilvl w:val="0"/>
          <w:numId w:val="2"/>
        </w:numPr>
        <w:spacing w:before="0" w:after="100"/>
      </w:pPr>
      <w:r>
        <w:rPr>
          <w:rFonts w:ascii="Arial" w:cs="Arial" w:eastAsia="Arial" w:hAnsi="Arial"/>
          <w:color w:val="2C2C2A"/>
          <w:sz w:val="22"/>
          <w:szCs w:val="22"/>
        </w:rPr>
        <w:t xml:space="preserve">Professionnel et direct — aller à l'essentiel, respecter le temps de l'utilisateur.</w:t>
      </w:r>
    </w:p>
    <w:p>
      <w:pPr>
        <w:pStyle w:val="ListParagraph"/>
        <w:numPr>
          <w:ilvl w:val="0"/>
          <w:numId w:val="2"/>
        </w:numPr>
        <w:spacing w:before="0" w:after="100"/>
      </w:pPr>
      <w:r>
        <w:rPr>
          <w:rFonts w:ascii="Arial" w:cs="Arial" w:eastAsia="Arial" w:hAnsi="Arial"/>
          <w:color w:val="2C2C2A"/>
          <w:sz w:val="22"/>
          <w:szCs w:val="22"/>
        </w:rPr>
        <w:t xml:space="preserve">Rassurant sur la fiabilité — la santé ne tolère pas l'approximation.</w:t>
      </w:r>
    </w:p>
    <w:p>
      <w:pPr>
        <w:pStyle w:val="ListParagraph"/>
        <w:numPr>
          <w:ilvl w:val="0"/>
          <w:numId w:val="2"/>
        </w:numPr>
        <w:spacing w:before="0" w:after="100"/>
      </w:pPr>
      <w:r>
        <w:rPr>
          <w:rFonts w:ascii="Arial" w:cs="Arial" w:eastAsia="Arial" w:hAnsi="Arial"/>
          <w:color w:val="2C2C2A"/>
          <w:sz w:val="22"/>
          <w:szCs w:val="22"/>
        </w:rPr>
        <w:t xml:space="preserve">Pédagogue sur la valeur — expliquer les bénéfices sans jargon techno excessif.</w:t>
      </w:r>
    </w:p>
    <w:p>
      <w:pPr>
        <w:pStyle w:val="ListParagraph"/>
        <w:numPr>
          <w:ilvl w:val="0"/>
          <w:numId w:val="2"/>
        </w:numPr>
        <w:spacing w:before="0" w:after="100"/>
      </w:pPr>
      <w:r>
        <w:rPr>
          <w:rFonts w:ascii="Arial" w:cs="Arial" w:eastAsia="Arial" w:hAnsi="Arial"/>
          <w:color w:val="2C2C2A"/>
          <w:sz w:val="22"/>
          <w:szCs w:val="22"/>
        </w:rPr>
        <w:t xml:space="preserve">Partenaire, non donneur de leçons — MédiHelm est un outil au service du pharmacien.</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9E75" w:sz="6"/>
              <w:left w:val="single" w:color="1D9E75" w:sz="18"/>
              <w:bottom w:val="single" w:color="1D9E75" w:sz="6"/>
              <w:right w:val="single" w:color="1D9E75" w:sz="6"/>
            </w:tcBorders>
            <w:shd w:fill="E1F5EE" w:val="clear"/>
            <w:tcMar>
              <w:top w:type="dxa" w:w="120"/>
              <w:left w:type="dxa" w:w="180"/>
              <w:bottom w:type="dxa" w:w="120"/>
              <w:right w:type="dxa" w:w="180"/>
            </w:tcMar>
          </w:tcPr>
          <w:p>
            <w:pPr>
              <w:spacing w:before="0" w:after="80"/>
            </w:pPr>
            <w:r>
              <w:rPr>
                <w:rFonts w:ascii="Arial" w:cs="Arial" w:eastAsia="Arial" w:hAnsi="Arial"/>
                <w:i/>
                <w:iCs/>
                <w:color w:val="085041"/>
                <w:sz w:val="22"/>
                <w:szCs w:val="22"/>
              </w:rPr>
              <w:t xml:space="preserve">Exemple — À faire : "Votre stock de Paracétamol 500mg atteint le seuil critique. Commandez maintenant auprès de votre fournisseur habituel."</w:t>
            </w:r>
          </w:p>
          <w:p>
            <w:pPr>
              <w:spacing w:before="0" w:after="80"/>
            </w:pPr>
            <w:r>
              <w:rPr>
                <w:rFonts w:ascii="Arial" w:cs="Arial" w:eastAsia="Arial" w:hAnsi="Arial"/>
                <w:i/>
                <w:iCs/>
                <w:color w:val="085041"/>
                <w:sz w:val="22"/>
                <w:szCs w:val="22"/>
              </w:rPr>
              <w:t xml:space="preserve">Exemple — À éviter : "ALERTE ! Rupture imminente détectée ! Agissez vite !"</w:t>
            </w:r>
          </w:p>
        </w:tc>
      </w:tr>
    </w:tbl>
    <w:p>
      <w:pPr>
        <w:spacing w:before="0" w:after="80"/>
      </w:pPr>
      <w:r>
        <w:t xml:space="preserve"/>
      </w:r>
    </w:p>
    <w:p>
      <w:pPr>
        <w:pStyle w:val="Heading2"/>
        <w:pBdr>
          <w:bottom w:val="single" w:color="9FE1CB" w:sz="6" w:space="1"/>
        </w:pBdr>
        <w:spacing w:before="280" w:after="160"/>
      </w:pPr>
      <w:r>
        <w:rPr>
          <w:rFonts w:ascii="Arial" w:cs="Arial" w:eastAsia="Arial" w:hAnsi="Arial"/>
          <w:b/>
          <w:bCs/>
          <w:color w:val="1D9E75"/>
          <w:sz w:val="26"/>
          <w:szCs w:val="26"/>
        </w:rPr>
        <w:t xml:space="preserve">6.3 Ton vers les patients (MédiHelm Patient)</w:t>
      </w:r>
    </w:p>
    <w:p>
      <w:pPr>
        <w:spacing w:before="0" w:after="140"/>
      </w:pPr>
      <w:r>
        <w:rPr>
          <w:rFonts w:ascii="Arial" w:cs="Arial" w:eastAsia="Arial" w:hAnsi="Arial"/>
          <w:color w:val="2C2C2A"/>
          <w:sz w:val="22"/>
          <w:szCs w:val="22"/>
        </w:rPr>
        <w:t xml:space="preserve">Le patient est souvent dans une situation de besoin urgent ou d'inquiétude. Le ton est :</w:t>
      </w:r>
    </w:p>
    <w:p>
      <w:pPr>
        <w:pStyle w:val="ListParagraph"/>
        <w:numPr>
          <w:ilvl w:val="0"/>
          <w:numId w:val="2"/>
        </w:numPr>
        <w:spacing w:before="0" w:after="100"/>
      </w:pPr>
      <w:r>
        <w:rPr>
          <w:rFonts w:ascii="Arial" w:cs="Arial" w:eastAsia="Arial" w:hAnsi="Arial"/>
          <w:color w:val="2C2C2A"/>
          <w:sz w:val="22"/>
          <w:szCs w:val="22"/>
        </w:rPr>
        <w:t xml:space="preserve">Simple et accessible — vocabulaire courant, pas de jargon médical ou pharmaceutique.</w:t>
      </w:r>
    </w:p>
    <w:p>
      <w:pPr>
        <w:pStyle w:val="ListParagraph"/>
        <w:numPr>
          <w:ilvl w:val="0"/>
          <w:numId w:val="2"/>
        </w:numPr>
        <w:spacing w:before="0" w:after="100"/>
      </w:pPr>
      <w:r>
        <w:rPr>
          <w:rFonts w:ascii="Arial" w:cs="Arial" w:eastAsia="Arial" w:hAnsi="Arial"/>
          <w:color w:val="2C2C2A"/>
          <w:sz w:val="22"/>
          <w:szCs w:val="22"/>
        </w:rPr>
        <w:t xml:space="preserve">Bienveillant et rassurant — orienter sans alarmer.</w:t>
      </w:r>
    </w:p>
    <w:p>
      <w:pPr>
        <w:pStyle w:val="ListParagraph"/>
        <w:numPr>
          <w:ilvl w:val="0"/>
          <w:numId w:val="2"/>
        </w:numPr>
        <w:spacing w:before="0" w:after="100"/>
      </w:pPr>
      <w:r>
        <w:rPr>
          <w:rFonts w:ascii="Arial" w:cs="Arial" w:eastAsia="Arial" w:hAnsi="Arial"/>
          <w:color w:val="2C2C2A"/>
          <w:sz w:val="22"/>
          <w:szCs w:val="22"/>
        </w:rPr>
        <w:t xml:space="preserve">Utile et immédiat — chaque interaction doit déboucher sur une action concrète.</w:t>
      </w:r>
    </w:p>
    <w:p>
      <w:pPr>
        <w:pStyle w:val="ListParagraph"/>
        <w:numPr>
          <w:ilvl w:val="0"/>
          <w:numId w:val="2"/>
        </w:numPr>
        <w:spacing w:before="0" w:after="100"/>
      </w:pPr>
      <w:r>
        <w:rPr>
          <w:rFonts w:ascii="Arial" w:cs="Arial" w:eastAsia="Arial" w:hAnsi="Arial"/>
          <w:color w:val="2C2C2A"/>
          <w:sz w:val="22"/>
          <w:szCs w:val="22"/>
        </w:rPr>
        <w:t xml:space="preserve">Respectueux de la vie privée — jamais intrusif sur les données de santé.</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9E75" w:sz="6"/>
              <w:left w:val="single" w:color="1D9E75" w:sz="18"/>
              <w:bottom w:val="single" w:color="1D9E75" w:sz="6"/>
              <w:right w:val="single" w:color="1D9E75" w:sz="6"/>
            </w:tcBorders>
            <w:shd w:fill="E1F5EE" w:val="clear"/>
            <w:tcMar>
              <w:top w:type="dxa" w:w="120"/>
              <w:left w:type="dxa" w:w="180"/>
              <w:bottom w:type="dxa" w:w="120"/>
              <w:right w:type="dxa" w:w="180"/>
            </w:tcMar>
          </w:tcPr>
          <w:p>
            <w:pPr>
              <w:spacing w:before="0" w:after="80"/>
            </w:pPr>
            <w:r>
              <w:rPr>
                <w:rFonts w:ascii="Arial" w:cs="Arial" w:eastAsia="Arial" w:hAnsi="Arial"/>
                <w:i/>
                <w:iCs/>
                <w:color w:val="085041"/>
                <w:sz w:val="22"/>
                <w:szCs w:val="22"/>
              </w:rPr>
              <w:t xml:space="preserve">Exemple — À faire : "3 pharmacies proches de vous ont ce médicament en stock. La plus proche est à 600 m."</w:t>
            </w:r>
          </w:p>
          <w:p>
            <w:pPr>
              <w:spacing w:before="0" w:after="80"/>
            </w:pPr>
            <w:r>
              <w:rPr>
                <w:rFonts w:ascii="Arial" w:cs="Arial" w:eastAsia="Arial" w:hAnsi="Arial"/>
                <w:i/>
                <w:iCs/>
                <w:color w:val="085041"/>
                <w:sz w:val="22"/>
                <w:szCs w:val="22"/>
              </w:rPr>
              <w:t xml:space="preserve">Exemple — À éviter : "Géolocalisation activée. Médicament trouvé dans 3 officines à proximité de vos coordonnées GPS."</w:t>
            </w:r>
          </w:p>
        </w:tc>
      </w:tr>
    </w:tbl>
    <w:p>
      <w:pPr>
        <w:spacing w:before="0" w:after="80"/>
      </w:pPr>
      <w:r>
        <w:t xml:space="preserve"/>
      </w:r>
    </w:p>
    <w:p>
      <w:pPr>
        <w:pStyle w:val="Heading2"/>
        <w:pBdr>
          <w:bottom w:val="single" w:color="9FE1CB" w:sz="6" w:space="1"/>
        </w:pBdr>
        <w:spacing w:before="280" w:after="160"/>
      </w:pPr>
      <w:r>
        <w:rPr>
          <w:rFonts w:ascii="Arial" w:cs="Arial" w:eastAsia="Arial" w:hAnsi="Arial"/>
          <w:b/>
          <w:bCs/>
          <w:color w:val="1D9E75"/>
          <w:sz w:val="26"/>
          <w:szCs w:val="26"/>
        </w:rPr>
        <w:t xml:space="preserve">6.4 Mots clés de la marque</w:t>
      </w:r>
    </w:p>
    <w:p>
      <w:pPr>
        <w:spacing w:before="0" w:after="140"/>
      </w:pPr>
      <w:r>
        <w:rPr>
          <w:rFonts w:ascii="Arial" w:cs="Arial" w:eastAsia="Arial" w:hAnsi="Arial"/>
          <w:color w:val="2C2C2A"/>
          <w:sz w:val="22"/>
          <w:szCs w:val="22"/>
        </w:rPr>
        <w:t xml:space="preserve">Les termes suivants doivent être privilégiés dans toute communication MédiHelm :</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1D9E75" w:sz="6"/>
              <w:left w:val="single" w:color="1D9E75" w:sz="6"/>
              <w:bottom w:val="single" w:color="1D9E75" w:sz="6"/>
              <w:right w:val="single" w:color="1D9E75"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À utiliser</w:t>
            </w:r>
          </w:p>
        </w:tc>
        <w:tc>
          <w:tcPr>
            <w:tcW w:type="dxa" w:w="4513"/>
            <w:tcBorders>
              <w:top w:val="single" w:color="1D9E75" w:sz="6"/>
              <w:left w:val="single" w:color="1D9E75" w:sz="6"/>
              <w:bottom w:val="single" w:color="1D9E75" w:sz="6"/>
              <w:right w:val="single" w:color="1D9E75"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À éviter</w:t>
            </w:r>
          </w:p>
        </w:tc>
      </w:tr>
      <w:tr>
        <w:tc>
          <w:tcPr>
            <w:tcW w:type="dxa" w:w="4513"/>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Écosystème santé</w:t>
            </w:r>
          </w:p>
        </w:tc>
        <w:tc>
          <w:tcPr>
            <w:tcW w:type="dxa" w:w="4513"/>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Application / logiciel de gestion</w:t>
            </w:r>
          </w:p>
        </w:tc>
      </w:tr>
      <w:tr>
        <w:tc>
          <w:tcPr>
            <w:tcW w:type="dxa" w:w="4513"/>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Confiance</w:t>
            </w:r>
          </w:p>
        </w:tc>
        <w:tc>
          <w:tcPr>
            <w:tcW w:type="dxa" w:w="4513"/>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Performance / puissance</w:t>
            </w:r>
          </w:p>
        </w:tc>
      </w:tr>
      <w:tr>
        <w:tc>
          <w:tcPr>
            <w:tcW w:type="dxa" w:w="4513"/>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Disponibilité</w:t>
            </w:r>
          </w:p>
        </w:tc>
        <w:tc>
          <w:tcPr>
            <w:tcW w:type="dxa" w:w="4513"/>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Rupture (sauf dans contexte d'alerte)</w:t>
            </w:r>
          </w:p>
        </w:tc>
      </w:tr>
      <w:tr>
        <w:tc>
          <w:tcPr>
            <w:tcW w:type="dxa" w:w="4513"/>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Proximité</w:t>
            </w:r>
          </w:p>
        </w:tc>
        <w:tc>
          <w:tcPr>
            <w:tcW w:type="dxa" w:w="4513"/>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Géolocalisation (trop technique)</w:t>
            </w:r>
          </w:p>
        </w:tc>
      </w:tr>
      <w:tr>
        <w:tc>
          <w:tcPr>
            <w:tcW w:type="dxa" w:w="4513"/>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Pilotage</w:t>
            </w:r>
          </w:p>
        </w:tc>
        <w:tc>
          <w:tcPr>
            <w:tcW w:type="dxa" w:w="4513"/>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Contrôle / surveillance</w:t>
            </w:r>
          </w:p>
        </w:tc>
      </w:tr>
      <w:tr>
        <w:tc>
          <w:tcPr>
            <w:tcW w:type="dxa" w:w="4513"/>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Sécurité des données</w:t>
            </w:r>
          </w:p>
        </w:tc>
        <w:tc>
          <w:tcPr>
            <w:tcW w:type="dxa" w:w="4513"/>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RGPD / conformité (jargon)</w:t>
            </w:r>
          </w:p>
        </w:tc>
      </w:tr>
    </w:tbl>
    <w:p>
      <w:pPr>
        <w:spacing w:before="0" w:after="80"/>
      </w:pPr>
      <w:r>
        <w:t xml:space="preserve"/>
      </w:r>
    </w:p>
    <w:p>
      <w:r>
        <w:br w:type="page"/>
      </w:r>
    </w:p>
    <w:p>
      <w:pPr>
        <w:pStyle w:val="Heading1"/>
        <w:spacing w:before="360" w:after="200"/>
      </w:pPr>
      <w:r>
        <w:rPr>
          <w:rFonts w:ascii="Arial" w:cs="Arial" w:eastAsia="Arial" w:hAnsi="Arial"/>
          <w:b/>
          <w:bCs/>
          <w:color w:val="085041"/>
          <w:sz w:val="32"/>
          <w:szCs w:val="32"/>
        </w:rPr>
        <w:t xml:space="preserve">7. Déclinaisons Produit</w:t>
      </w:r>
    </w:p>
    <w:p>
      <w:pPr>
        <w:pStyle w:val="Heading2"/>
        <w:pBdr>
          <w:bottom w:val="single" w:color="9FE1CB" w:sz="6" w:space="1"/>
        </w:pBdr>
        <w:spacing w:before="280" w:after="160"/>
      </w:pPr>
      <w:r>
        <w:rPr>
          <w:rFonts w:ascii="Arial" w:cs="Arial" w:eastAsia="Arial" w:hAnsi="Arial"/>
          <w:b/>
          <w:bCs/>
          <w:color w:val="1D9E75"/>
          <w:sz w:val="26"/>
          <w:szCs w:val="26"/>
        </w:rPr>
        <w:t xml:space="preserve">7.1 Architecture de nommage</w:t>
      </w:r>
    </w:p>
    <w:p>
      <w:pPr>
        <w:spacing w:before="0" w:after="140"/>
      </w:pPr>
      <w:r>
        <w:rPr>
          <w:rFonts w:ascii="Arial" w:cs="Arial" w:eastAsia="Arial" w:hAnsi="Arial"/>
          <w:color w:val="2C2C2A"/>
          <w:sz w:val="22"/>
          <w:szCs w:val="22"/>
        </w:rPr>
        <w:t xml:space="preserve">Chaque composante de l'écosystème MédiHelm porte un sous-nom explicite, formaté en deux mots : MédiHelm + qualificatif fonctionnel.</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426"/>
        <w:gridCol w:w="1800"/>
      </w:tblGrid>
      <w:tr>
        <w:trPr>
          <w:tblHeader/>
        </w:trPr>
        <w:tc>
          <w:tcPr>
            <w:tcW w:type="dxa" w:w="2000"/>
            <w:tcBorders>
              <w:top w:val="single" w:color="1D9E75" w:sz="6"/>
              <w:left w:val="single" w:color="1D9E75" w:sz="6"/>
              <w:bottom w:val="single" w:color="1D9E75" w:sz="6"/>
              <w:right w:val="single" w:color="1D9E75"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Sous-produit</w:t>
            </w:r>
          </w:p>
        </w:tc>
        <w:tc>
          <w:tcPr>
            <w:tcW w:type="dxa" w:w="1800"/>
            <w:tcBorders>
              <w:top w:val="single" w:color="1D9E75" w:sz="6"/>
              <w:left w:val="single" w:color="1D9E75" w:sz="6"/>
              <w:bottom w:val="single" w:color="1D9E75" w:sz="6"/>
              <w:right w:val="single" w:color="1D9E75"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Public cible</w:t>
            </w:r>
          </w:p>
        </w:tc>
        <w:tc>
          <w:tcPr>
            <w:tcW w:type="dxa" w:w="3426"/>
            <w:tcBorders>
              <w:top w:val="single" w:color="1D9E75" w:sz="6"/>
              <w:left w:val="single" w:color="1D9E75" w:sz="6"/>
              <w:bottom w:val="single" w:color="1D9E75" w:sz="6"/>
              <w:right w:val="single" w:color="1D9E75"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Fonction principale</w:t>
            </w:r>
          </w:p>
        </w:tc>
        <w:tc>
          <w:tcPr>
            <w:tcW w:type="dxa" w:w="1800"/>
            <w:tcBorders>
              <w:top w:val="single" w:color="1D9E75" w:sz="6"/>
              <w:left w:val="single" w:color="1D9E75" w:sz="6"/>
              <w:bottom w:val="single" w:color="1D9E75" w:sz="6"/>
              <w:right w:val="single" w:color="1D9E75"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Couleur d'accent</w:t>
            </w:r>
          </w:p>
        </w:tc>
      </w:tr>
      <w:tr>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MédiHelm Pro</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Pharmaciens, personnel officine</w:t>
            </w:r>
          </w:p>
        </w:tc>
        <w:tc>
          <w:tcPr>
            <w:tcW w:type="dxa" w:w="3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Gestion complète back-office (stock, caisse, RH, fournisseurs)</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Teal 400</w:t>
            </w:r>
          </w:p>
        </w:tc>
      </w:tr>
      <w:tr>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MédiHelm Patient</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Grand public, patients</w:t>
            </w:r>
          </w:p>
        </w:tc>
        <w:tc>
          <w:tcPr>
            <w:tcW w:type="dxa" w:w="3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Recherche de médicaments, géolocalisation pharmacies, réservation</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Teal 50 (fond clair)</w:t>
            </w:r>
          </w:p>
        </w:tc>
      </w:tr>
      <w:tr>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MédiHelm Admin</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Équipe YEHI OR Tech</w:t>
            </w:r>
          </w:p>
        </w:tc>
        <w:tc>
          <w:tcPr>
            <w:tcW w:type="dxa" w:w="3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Supervision plateforme, gestion tenants, support</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Teal 800</w:t>
            </w:r>
          </w:p>
        </w:tc>
      </w:tr>
      <w:tr>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MédiHelm Analytics</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Direction pharmacie, propriétaires</w:t>
            </w:r>
          </w:p>
        </w:tc>
        <w:tc>
          <w:tcPr>
            <w:tcW w:type="dxa" w:w="3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Tableaux de bord IA, KPIs, alertes intelligentes, rapports</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Amber 400</w:t>
            </w:r>
          </w:p>
        </w:tc>
      </w:tr>
    </w:tbl>
    <w:p>
      <w:pPr>
        <w:spacing w:before="0" w:after="80"/>
      </w:pPr>
      <w:r>
        <w:t xml:space="preserve"/>
      </w:r>
    </w:p>
    <w:p>
      <w:pPr>
        <w:pStyle w:val="Heading2"/>
        <w:pBdr>
          <w:bottom w:val="single" w:color="9FE1CB" w:sz="6" w:space="1"/>
        </w:pBdr>
        <w:spacing w:before="280" w:after="160"/>
      </w:pPr>
      <w:r>
        <w:rPr>
          <w:rFonts w:ascii="Arial" w:cs="Arial" w:eastAsia="Arial" w:hAnsi="Arial"/>
          <w:b/>
          <w:bCs/>
          <w:color w:val="1D9E75"/>
          <w:sz w:val="26"/>
          <w:szCs w:val="26"/>
        </w:rPr>
        <w:t xml:space="preserve">7.2 Règles de nommage des fonctionnalités</w:t>
      </w:r>
    </w:p>
    <w:p>
      <w:pPr>
        <w:pStyle w:val="ListParagraph"/>
        <w:numPr>
          <w:ilvl w:val="0"/>
          <w:numId w:val="2"/>
        </w:numPr>
        <w:spacing w:before="0" w:after="100"/>
      </w:pPr>
      <w:r>
        <w:rPr>
          <w:rFonts w:ascii="Arial" w:cs="Arial" w:eastAsia="Arial" w:hAnsi="Arial"/>
          <w:color w:val="2C2C2A"/>
          <w:sz w:val="22"/>
          <w:szCs w:val="22"/>
        </w:rPr>
        <w:t xml:space="preserve">Les noms de modules utilisent le français comme langue par défaut en interface.</w:t>
      </w:r>
    </w:p>
    <w:p>
      <w:pPr>
        <w:pStyle w:val="ListParagraph"/>
        <w:numPr>
          <w:ilvl w:val="0"/>
          <w:numId w:val="2"/>
        </w:numPr>
        <w:spacing w:before="0" w:after="100"/>
      </w:pPr>
      <w:r>
        <w:rPr>
          <w:rFonts w:ascii="Arial" w:cs="Arial" w:eastAsia="Arial" w:hAnsi="Arial"/>
          <w:color w:val="2C2C2A"/>
          <w:sz w:val="22"/>
          <w:szCs w:val="22"/>
        </w:rPr>
        <w:t xml:space="preserve">Les codes techniques (API, base de données, logs) utilisent l'anglais (snake_case).</w:t>
      </w:r>
    </w:p>
    <w:p>
      <w:pPr>
        <w:pStyle w:val="ListParagraph"/>
        <w:numPr>
          <w:ilvl w:val="0"/>
          <w:numId w:val="2"/>
        </w:numPr>
        <w:spacing w:before="0" w:after="100"/>
      </w:pPr>
      <w:r>
        <w:rPr>
          <w:rFonts w:ascii="Arial" w:cs="Arial" w:eastAsia="Arial" w:hAnsi="Arial"/>
          <w:color w:val="2C2C2A"/>
          <w:sz w:val="22"/>
          <w:szCs w:val="22"/>
        </w:rPr>
        <w:t xml:space="preserve">Les alertes et notifications suivent la convention : [Niveau] — [Objet] — [Action recommandée].</w:t>
      </w:r>
    </w:p>
    <w:p>
      <w:pPr>
        <w:pStyle w:val="ListParagraph"/>
        <w:numPr>
          <w:ilvl w:val="0"/>
          <w:numId w:val="2"/>
        </w:numPr>
        <w:spacing w:before="0" w:after="100"/>
      </w:pPr>
      <w:r>
        <w:rPr>
          <w:rFonts w:ascii="Arial" w:cs="Arial" w:eastAsia="Arial" w:hAnsi="Arial"/>
          <w:color w:val="2C2C2A"/>
          <w:sz w:val="22"/>
          <w:szCs w:val="22"/>
        </w:rPr>
        <w:t xml:space="preserve">Le moteur d'analyse IA peut être nommé ORION-Pharma en référence au moteur Analytics d'Academia Helm, en attendant un nom définitif validé.</w:t>
      </w:r>
    </w:p>
    <w:p>
      <w:pPr>
        <w:spacing w:before="0" w:after="80"/>
      </w:pPr>
      <w:r>
        <w:t xml:space="preserve"/>
      </w:r>
    </w:p>
    <w:p>
      <w:pPr>
        <w:pStyle w:val="Heading1"/>
        <w:spacing w:before="360" w:after="200"/>
      </w:pPr>
      <w:r>
        <w:rPr>
          <w:rFonts w:ascii="Arial" w:cs="Arial" w:eastAsia="Arial" w:hAnsi="Arial"/>
          <w:b/>
          <w:bCs/>
          <w:color w:val="085041"/>
          <w:sz w:val="32"/>
          <w:szCs w:val="32"/>
        </w:rPr>
        <w:t xml:space="preserve">8. Applications Numériques</w:t>
      </w:r>
    </w:p>
    <w:p>
      <w:pPr>
        <w:pStyle w:val="Heading2"/>
        <w:pBdr>
          <w:bottom w:val="single" w:color="9FE1CB" w:sz="6" w:space="1"/>
        </w:pBdr>
        <w:spacing w:before="280" w:after="160"/>
      </w:pPr>
      <w:r>
        <w:rPr>
          <w:rFonts w:ascii="Arial" w:cs="Arial" w:eastAsia="Arial" w:hAnsi="Arial"/>
          <w:b/>
          <w:bCs/>
          <w:color w:val="1D9E75"/>
          <w:sz w:val="26"/>
          <w:szCs w:val="26"/>
        </w:rPr>
        <w:t xml:space="preserve">8.1 Site web et landing page</w:t>
      </w:r>
    </w:p>
    <w:p>
      <w:pPr>
        <w:pStyle w:val="ListParagraph"/>
        <w:numPr>
          <w:ilvl w:val="0"/>
          <w:numId w:val="2"/>
        </w:numPr>
        <w:spacing w:before="0" w:after="100"/>
      </w:pPr>
      <w:r>
        <w:rPr>
          <w:rFonts w:ascii="Arial" w:cs="Arial" w:eastAsia="Arial" w:hAnsi="Arial"/>
          <w:color w:val="2C2C2A"/>
          <w:sz w:val="22"/>
          <w:szCs w:val="22"/>
        </w:rPr>
        <w:t xml:space="preserve">Domaine principal recommandé : medihelm.com ou medihelm.africa.</w:t>
      </w:r>
    </w:p>
    <w:p>
      <w:pPr>
        <w:pStyle w:val="ListParagraph"/>
        <w:numPr>
          <w:ilvl w:val="0"/>
          <w:numId w:val="2"/>
        </w:numPr>
        <w:spacing w:before="0" w:after="100"/>
      </w:pPr>
      <w:r>
        <w:rPr>
          <w:rFonts w:ascii="Arial" w:cs="Arial" w:eastAsia="Arial" w:hAnsi="Arial"/>
          <w:color w:val="2C2C2A"/>
          <w:sz w:val="22"/>
          <w:szCs w:val="22"/>
        </w:rPr>
        <w:t xml:space="preserve">Sous-domaine professionnel : pro.medihelm.com ou app.medihelm.com.</w:t>
      </w:r>
    </w:p>
    <w:p>
      <w:pPr>
        <w:pStyle w:val="ListParagraph"/>
        <w:numPr>
          <w:ilvl w:val="0"/>
          <w:numId w:val="2"/>
        </w:numPr>
        <w:spacing w:before="0" w:after="100"/>
      </w:pPr>
      <w:r>
        <w:rPr>
          <w:rFonts w:ascii="Arial" w:cs="Arial" w:eastAsia="Arial" w:hAnsi="Arial"/>
          <w:color w:val="2C2C2A"/>
          <w:sz w:val="22"/>
          <w:szCs w:val="22"/>
        </w:rPr>
        <w:t xml:space="preserve">Sous-domaine patient : patient.medihelm.com ou trouve.medihelm.com.</w:t>
      </w:r>
    </w:p>
    <w:p>
      <w:pPr>
        <w:pStyle w:val="ListParagraph"/>
        <w:numPr>
          <w:ilvl w:val="0"/>
          <w:numId w:val="2"/>
        </w:numPr>
        <w:spacing w:before="0" w:after="100"/>
      </w:pPr>
      <w:r>
        <w:rPr>
          <w:rFonts w:ascii="Arial" w:cs="Arial" w:eastAsia="Arial" w:hAnsi="Arial"/>
          <w:color w:val="2C2C2A"/>
          <w:sz w:val="22"/>
          <w:szCs w:val="22"/>
        </w:rPr>
        <w:t xml:space="preserve">Sous-domaine administration : admin.medihelm.com (accès restreint).</w:t>
      </w:r>
    </w:p>
    <w:p>
      <w:pPr>
        <w:spacing w:before="0" w:after="80"/>
      </w:pPr>
      <w:r>
        <w:t xml:space="preserve"/>
      </w:r>
    </w:p>
    <w:p>
      <w:pPr>
        <w:pStyle w:val="Heading2"/>
        <w:pBdr>
          <w:bottom w:val="single" w:color="9FE1CB" w:sz="6" w:space="1"/>
        </w:pBdr>
        <w:spacing w:before="280" w:after="160"/>
      </w:pPr>
      <w:r>
        <w:rPr>
          <w:rFonts w:ascii="Arial" w:cs="Arial" w:eastAsia="Arial" w:hAnsi="Arial"/>
          <w:b/>
          <w:bCs/>
          <w:color w:val="1D9E75"/>
          <w:sz w:val="26"/>
          <w:szCs w:val="26"/>
        </w:rPr>
        <w:t xml:space="preserve">8.2 Applications mobiles</w:t>
      </w:r>
    </w:p>
    <w:p>
      <w:pPr>
        <w:pStyle w:val="ListParagraph"/>
        <w:numPr>
          <w:ilvl w:val="0"/>
          <w:numId w:val="2"/>
        </w:numPr>
        <w:spacing w:before="0" w:after="100"/>
      </w:pPr>
      <w:r>
        <w:rPr>
          <w:rFonts w:ascii="Arial" w:cs="Arial" w:eastAsia="Arial" w:hAnsi="Arial"/>
          <w:color w:val="2C2C2A"/>
          <w:sz w:val="22"/>
          <w:szCs w:val="22"/>
        </w:rPr>
        <w:t xml:space="preserve">MédiHelm Pro — application native ou PWA pour les pharmaciens. Priorité : Android (parc dominant en Afrique de l'Ouest).</w:t>
      </w:r>
    </w:p>
    <w:p>
      <w:pPr>
        <w:pStyle w:val="ListParagraph"/>
        <w:numPr>
          <w:ilvl w:val="0"/>
          <w:numId w:val="2"/>
        </w:numPr>
        <w:spacing w:before="0" w:after="100"/>
      </w:pPr>
      <w:r>
        <w:rPr>
          <w:rFonts w:ascii="Arial" w:cs="Arial" w:eastAsia="Arial" w:hAnsi="Arial"/>
          <w:color w:val="2C2C2A"/>
          <w:sz w:val="22"/>
          <w:szCs w:val="22"/>
        </w:rPr>
        <w:t xml:space="preserve">MédiHelm Patient — application mobile grand public. Disponible sur Android, iOS, et WhatsApp Bot en phase beta.</w:t>
      </w:r>
    </w:p>
    <w:p>
      <w:pPr>
        <w:spacing w:before="0" w:after="80"/>
      </w:pPr>
      <w:r>
        <w:t xml:space="preserve"/>
      </w:r>
    </w:p>
    <w:p>
      <w:pPr>
        <w:pStyle w:val="Heading2"/>
        <w:pBdr>
          <w:bottom w:val="single" w:color="9FE1CB" w:sz="6" w:space="1"/>
        </w:pBdr>
        <w:spacing w:before="280" w:after="160"/>
      </w:pPr>
      <w:r>
        <w:rPr>
          <w:rFonts w:ascii="Arial" w:cs="Arial" w:eastAsia="Arial" w:hAnsi="Arial"/>
          <w:b/>
          <w:bCs/>
          <w:color w:val="1D9E75"/>
          <w:sz w:val="26"/>
          <w:szCs w:val="26"/>
        </w:rPr>
        <w:t xml:space="preserve">8.3 Paiements et localisation</w:t>
      </w:r>
    </w:p>
    <w:p>
      <w:pPr>
        <w:pStyle w:val="ListParagraph"/>
        <w:numPr>
          <w:ilvl w:val="0"/>
          <w:numId w:val="2"/>
        </w:numPr>
        <w:spacing w:before="0" w:after="100"/>
      </w:pPr>
      <w:r>
        <w:rPr>
          <w:rFonts w:ascii="Arial" w:cs="Arial" w:eastAsia="Arial" w:hAnsi="Arial"/>
          <w:color w:val="2C2C2A"/>
          <w:sz w:val="22"/>
          <w:szCs w:val="22"/>
        </w:rPr>
        <w:t xml:space="preserve">Monnaie : Franc CFA (FCFA / XOF). Toujours afficher les montants en FCFA, sans conversion automatique.</w:t>
      </w:r>
    </w:p>
    <w:p>
      <w:pPr>
        <w:pStyle w:val="ListParagraph"/>
        <w:numPr>
          <w:ilvl w:val="0"/>
          <w:numId w:val="2"/>
        </w:numPr>
        <w:spacing w:before="0" w:after="100"/>
      </w:pPr>
      <w:r>
        <w:rPr>
          <w:rFonts w:ascii="Arial" w:cs="Arial" w:eastAsia="Arial" w:hAnsi="Arial"/>
          <w:color w:val="2C2C2A"/>
          <w:sz w:val="22"/>
          <w:szCs w:val="22"/>
        </w:rPr>
        <w:t xml:space="preserve">Méthodes de paiement : Fedapay (Wave, MTN Money, Moov Money, carte bancaire).</w:t>
      </w:r>
    </w:p>
    <w:p>
      <w:pPr>
        <w:pStyle w:val="ListParagraph"/>
        <w:numPr>
          <w:ilvl w:val="0"/>
          <w:numId w:val="2"/>
        </w:numPr>
        <w:spacing w:before="0" w:after="100"/>
      </w:pPr>
      <w:r>
        <w:rPr>
          <w:rFonts w:ascii="Arial" w:cs="Arial" w:eastAsia="Arial" w:hAnsi="Arial"/>
          <w:color w:val="2C2C2A"/>
          <w:sz w:val="22"/>
          <w:szCs w:val="22"/>
        </w:rPr>
        <w:t xml:space="preserve">Langue par défaut : Français. Anglais disponible comme option selon les marchés.</w:t>
      </w:r>
    </w:p>
    <w:p>
      <w:pPr>
        <w:pStyle w:val="ListParagraph"/>
        <w:numPr>
          <w:ilvl w:val="0"/>
          <w:numId w:val="2"/>
        </w:numPr>
        <w:spacing w:before="0" w:after="100"/>
      </w:pPr>
      <w:r>
        <w:rPr>
          <w:rFonts w:ascii="Arial" w:cs="Arial" w:eastAsia="Arial" w:hAnsi="Arial"/>
          <w:color w:val="2C2C2A"/>
          <w:sz w:val="22"/>
          <w:szCs w:val="22"/>
        </w:rPr>
        <w:t xml:space="preserve">Fuseau horaire : WAT (UTC+1). Toutes les données temporelles sont horodatées en WAT.</w:t>
      </w:r>
    </w:p>
    <w:p>
      <w:pPr>
        <w:spacing w:before="0" w:after="80"/>
      </w:pPr>
      <w:r>
        <w:t xml:space="preserve"/>
      </w:r>
    </w:p>
    <w:p>
      <w:r>
        <w:br w:type="page"/>
      </w:r>
    </w:p>
    <w:p>
      <w:pPr>
        <w:pStyle w:val="Heading1"/>
        <w:spacing w:before="360" w:after="200"/>
      </w:pPr>
      <w:r>
        <w:rPr>
          <w:rFonts w:ascii="Arial" w:cs="Arial" w:eastAsia="Arial" w:hAnsi="Arial"/>
          <w:b/>
          <w:bCs/>
          <w:color w:val="085041"/>
          <w:sz w:val="32"/>
          <w:szCs w:val="32"/>
        </w:rPr>
        <w:t xml:space="preserve">9. Impression et Supports Physiques</w:t>
      </w:r>
    </w:p>
    <w:p>
      <w:pPr>
        <w:pStyle w:val="Heading2"/>
        <w:pBdr>
          <w:bottom w:val="single" w:color="9FE1CB" w:sz="6" w:space="1"/>
        </w:pBdr>
        <w:spacing w:before="280" w:after="160"/>
      </w:pPr>
      <w:r>
        <w:rPr>
          <w:rFonts w:ascii="Arial" w:cs="Arial" w:eastAsia="Arial" w:hAnsi="Arial"/>
          <w:b/>
          <w:bCs/>
          <w:color w:val="1D9E75"/>
          <w:sz w:val="26"/>
          <w:szCs w:val="26"/>
        </w:rPr>
        <w:t xml:space="preserve">9.1 Documents officiels</w:t>
      </w:r>
    </w:p>
    <w:p>
      <w:pPr>
        <w:spacing w:before="0" w:after="140"/>
      </w:pPr>
      <w:r>
        <w:rPr>
          <w:rFonts w:ascii="Arial" w:cs="Arial" w:eastAsia="Arial" w:hAnsi="Arial"/>
          <w:color w:val="2C2C2A"/>
          <w:sz w:val="22"/>
          <w:szCs w:val="22"/>
        </w:rPr>
        <w:t xml:space="preserve">Tous les documents officiels YEHI OR Tech liés à MédiHelm (contrats, factures, propositions commerciales) respectent les règles suivantes :</w:t>
      </w:r>
    </w:p>
    <w:p>
      <w:pPr>
        <w:pStyle w:val="ListParagraph"/>
        <w:numPr>
          <w:ilvl w:val="0"/>
          <w:numId w:val="2"/>
        </w:numPr>
        <w:spacing w:before="0" w:after="100"/>
      </w:pPr>
      <w:r>
        <w:rPr>
          <w:rFonts w:ascii="Arial" w:cs="Arial" w:eastAsia="Arial" w:hAnsi="Arial"/>
          <w:color w:val="2C2C2A"/>
          <w:sz w:val="22"/>
          <w:szCs w:val="22"/>
        </w:rPr>
        <w:t xml:space="preserve">En-tête : logo MédiHelm complet à gauche, mention YEHI OR Tech à droite.</w:t>
      </w:r>
    </w:p>
    <w:p>
      <w:pPr>
        <w:pStyle w:val="ListParagraph"/>
        <w:numPr>
          <w:ilvl w:val="0"/>
          <w:numId w:val="2"/>
        </w:numPr>
        <w:spacing w:before="0" w:after="100"/>
      </w:pPr>
      <w:r>
        <w:rPr>
          <w:rFonts w:ascii="Arial" w:cs="Arial" w:eastAsia="Arial" w:hAnsi="Arial"/>
          <w:color w:val="2C2C2A"/>
          <w:sz w:val="22"/>
          <w:szCs w:val="22"/>
        </w:rPr>
        <w:t xml:space="preserve">Couleur d'accent principale : Teal 400 (#1D9E75) pour les titres et bordures.</w:t>
      </w:r>
    </w:p>
    <w:p>
      <w:pPr>
        <w:pStyle w:val="ListParagraph"/>
        <w:numPr>
          <w:ilvl w:val="0"/>
          <w:numId w:val="2"/>
        </w:numPr>
        <w:spacing w:before="0" w:after="100"/>
      </w:pPr>
      <w:r>
        <w:rPr>
          <w:rFonts w:ascii="Arial" w:cs="Arial" w:eastAsia="Arial" w:hAnsi="Arial"/>
          <w:color w:val="2C2C2A"/>
          <w:sz w:val="22"/>
          <w:szCs w:val="22"/>
        </w:rPr>
        <w:t xml:space="preserve">Typographie : Arial 11pt pour le corps, Arial 16pt bold pour les titres de section.</w:t>
      </w:r>
    </w:p>
    <w:p>
      <w:pPr>
        <w:pStyle w:val="ListParagraph"/>
        <w:numPr>
          <w:ilvl w:val="0"/>
          <w:numId w:val="2"/>
        </w:numPr>
        <w:spacing w:before="0" w:after="100"/>
      </w:pPr>
      <w:r>
        <w:rPr>
          <w:rFonts w:ascii="Arial" w:cs="Arial" w:eastAsia="Arial" w:hAnsi="Arial"/>
          <w:color w:val="2C2C2A"/>
          <w:sz w:val="22"/>
          <w:szCs w:val="22"/>
        </w:rPr>
        <w:t xml:space="preserve">Pied de page : numérotation de page, mention de confidentialité si applicable.</w:t>
      </w:r>
    </w:p>
    <w:p>
      <w:pPr>
        <w:spacing w:before="0" w:after="80"/>
      </w:pPr>
      <w:r>
        <w:t xml:space="preserve"/>
      </w:r>
    </w:p>
    <w:p>
      <w:pPr>
        <w:pStyle w:val="Heading2"/>
        <w:pBdr>
          <w:bottom w:val="single" w:color="9FE1CB" w:sz="6" w:space="1"/>
        </w:pBdr>
        <w:spacing w:before="280" w:after="160"/>
      </w:pPr>
      <w:r>
        <w:rPr>
          <w:rFonts w:ascii="Arial" w:cs="Arial" w:eastAsia="Arial" w:hAnsi="Arial"/>
          <w:b/>
          <w:bCs/>
          <w:color w:val="1D9E75"/>
          <w:sz w:val="26"/>
          <w:szCs w:val="26"/>
        </w:rPr>
        <w:t xml:space="preserve">9.2 Supports marketing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1D9E75" w:sz="6"/>
              <w:left w:val="single" w:color="1D9E75" w:sz="6"/>
              <w:bottom w:val="single" w:color="1D9E75" w:sz="6"/>
              <w:right w:val="single" w:color="1D9E75"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Support</w:t>
            </w:r>
          </w:p>
        </w:tc>
        <w:tc>
          <w:tcPr>
            <w:tcW w:type="dxa" w:w="2000"/>
            <w:tcBorders>
              <w:top w:val="single" w:color="1D9E75" w:sz="6"/>
              <w:left w:val="single" w:color="1D9E75" w:sz="6"/>
              <w:bottom w:val="single" w:color="1D9E75" w:sz="6"/>
              <w:right w:val="single" w:color="1D9E75"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Format recommandé</w:t>
            </w:r>
          </w:p>
        </w:tc>
        <w:tc>
          <w:tcPr>
            <w:tcW w:type="dxa" w:w="4826"/>
            <w:tcBorders>
              <w:top w:val="single" w:color="1D9E75" w:sz="6"/>
              <w:left w:val="single" w:color="1D9E75" w:sz="6"/>
              <w:bottom w:val="single" w:color="1D9E75" w:sz="6"/>
              <w:right w:val="single" w:color="1D9E75"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Spécifications</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Carte de visite</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85 × 55 mm</w:t>
            </w:r>
          </w:p>
        </w:tc>
        <w:tc>
          <w:tcPr>
            <w:tcW w:type="dxa" w:w="4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Fond Teal 800, texte blanc, logo clair</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Flyer pharmacien</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A5 (148 × 210 mm)</w:t>
            </w:r>
          </w:p>
        </w:tc>
        <w:tc>
          <w:tcPr>
            <w:tcW w:type="dxa" w:w="4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Fond blanc, accent Teal 400, Georgia pour titres</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Affiche officine</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A3 (297 × 420 mm)</w:t>
            </w:r>
          </w:p>
        </w:tc>
        <w:tc>
          <w:tcPr>
            <w:tcW w:type="dxa" w:w="4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Fond Teal 50, logo complet, QR code app</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Roll-up événementiel</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80 × 200 cm</w:t>
            </w:r>
          </w:p>
        </w:tc>
        <w:tc>
          <w:tcPr>
            <w:tcW w:type="dxa" w:w="4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Fond Teal 800, logo blanc, tagline en blanc</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Tote bag / goodies</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Variable</w:t>
            </w:r>
          </w:p>
        </w:tc>
        <w:tc>
          <w:tcPr>
            <w:tcW w:type="dxa" w:w="4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Logo blanc brodé ou imprimé sur fond Teal 400</w:t>
            </w:r>
          </w:p>
        </w:tc>
      </w:tr>
    </w:tbl>
    <w:p>
      <w:pPr>
        <w:spacing w:before="0" w:after="80"/>
      </w:pPr>
      <w:r>
        <w:t xml:space="preserve"/>
      </w:r>
    </w:p>
    <w:p>
      <w:pPr>
        <w:pStyle w:val="Heading1"/>
        <w:spacing w:before="360" w:after="200"/>
      </w:pPr>
      <w:r>
        <w:rPr>
          <w:rFonts w:ascii="Arial" w:cs="Arial" w:eastAsia="Arial" w:hAnsi="Arial"/>
          <w:b/>
          <w:bCs/>
          <w:color w:val="085041"/>
          <w:sz w:val="32"/>
          <w:szCs w:val="32"/>
        </w:rPr>
        <w:t xml:space="preserve">10. Gouvernance de la Marque</w:t>
      </w:r>
    </w:p>
    <w:p>
      <w:pPr>
        <w:pStyle w:val="Heading2"/>
        <w:pBdr>
          <w:bottom w:val="single" w:color="9FE1CB" w:sz="6" w:space="1"/>
        </w:pBdr>
        <w:spacing w:before="280" w:after="160"/>
      </w:pPr>
      <w:r>
        <w:rPr>
          <w:rFonts w:ascii="Arial" w:cs="Arial" w:eastAsia="Arial" w:hAnsi="Arial"/>
          <w:b/>
          <w:bCs/>
          <w:color w:val="1D9E75"/>
          <w:sz w:val="26"/>
          <w:szCs w:val="26"/>
        </w:rPr>
        <w:t xml:space="preserve">10.1 Responsabilité</w:t>
      </w:r>
    </w:p>
    <w:p>
      <w:pPr>
        <w:spacing w:before="0" w:after="140"/>
      </w:pPr>
      <w:r>
        <w:rPr>
          <w:rFonts w:ascii="Arial" w:cs="Arial" w:eastAsia="Arial" w:hAnsi="Arial"/>
          <w:color w:val="2C2C2A"/>
          <w:sz w:val="22"/>
          <w:szCs w:val="22"/>
        </w:rPr>
        <w:t xml:space="preserve">La marque MédiHelm est la propriété exclusive de YEHI OR Tech. Toute utilisation externe (partenaires, revendeurs, presse) doit faire l'objet d'une autorisation écrite préalable.</w:t>
      </w:r>
    </w:p>
    <w:p>
      <w:pPr>
        <w:spacing w:before="0" w:after="80"/>
      </w:pPr>
      <w:r>
        <w:t xml:space="preserve"/>
      </w:r>
    </w:p>
    <w:p>
      <w:pPr>
        <w:spacing w:before="0" w:after="80"/>
      </w:pPr>
      <w:r>
        <w:rPr>
          <w:rFonts w:ascii="Arial" w:cs="Arial" w:eastAsia="Arial" w:hAnsi="Arial"/>
          <w:b/>
          <w:bCs/>
          <w:color w:val="085041"/>
          <w:sz w:val="22"/>
          <w:szCs w:val="22"/>
        </w:rPr>
        <w:t xml:space="preserve">Responsable de la marque : </w:t>
      </w:r>
      <w:r>
        <w:rPr>
          <w:rFonts w:ascii="Arial" w:cs="Arial" w:eastAsia="Arial" w:hAnsi="Arial"/>
          <w:color w:val="2C2C2A"/>
          <w:sz w:val="22"/>
          <w:szCs w:val="22"/>
        </w:rPr>
        <w:t xml:space="preserve">Dawes — Fondateur, YEHI OR Tech</w:t>
      </w:r>
    </w:p>
    <w:p>
      <w:pPr>
        <w:spacing w:before="0" w:after="80"/>
      </w:pPr>
      <w:r>
        <w:rPr>
          <w:rFonts w:ascii="Arial" w:cs="Arial" w:eastAsia="Arial" w:hAnsi="Arial"/>
          <w:b/>
          <w:bCs/>
          <w:color w:val="085041"/>
          <w:sz w:val="22"/>
          <w:szCs w:val="22"/>
        </w:rPr>
        <w:t xml:space="preserve">Document de référence : </w:t>
      </w:r>
      <w:r>
        <w:rPr>
          <w:rFonts w:ascii="Arial" w:cs="Arial" w:eastAsia="Arial" w:hAnsi="Arial"/>
          <w:color w:val="2C2C2A"/>
          <w:sz w:val="22"/>
          <w:szCs w:val="22"/>
        </w:rPr>
        <w:t xml:space="preserve">MédiHelm Brand Guidelines v1.0</w:t>
      </w:r>
    </w:p>
    <w:p>
      <w:pPr>
        <w:spacing w:before="0" w:after="80"/>
      </w:pPr>
      <w:r>
        <w:rPr>
          <w:rFonts w:ascii="Arial" w:cs="Arial" w:eastAsia="Arial" w:hAnsi="Arial"/>
          <w:b/>
          <w:bCs/>
          <w:color w:val="085041"/>
          <w:sz w:val="22"/>
          <w:szCs w:val="22"/>
        </w:rPr>
        <w:t xml:space="preserve">Date de création : </w:t>
      </w:r>
      <w:r>
        <w:rPr>
          <w:rFonts w:ascii="Arial" w:cs="Arial" w:eastAsia="Arial" w:hAnsi="Arial"/>
          <w:color w:val="2C2C2A"/>
          <w:sz w:val="22"/>
          <w:szCs w:val="22"/>
        </w:rPr>
        <w:t xml:space="preserve">2025</w:t>
      </w:r>
    </w:p>
    <w:p>
      <w:pPr>
        <w:spacing w:before="0" w:after="80"/>
      </w:pPr>
      <w:r>
        <w:rPr>
          <w:rFonts w:ascii="Arial" w:cs="Arial" w:eastAsia="Arial" w:hAnsi="Arial"/>
          <w:b/>
          <w:bCs/>
          <w:color w:val="085041"/>
          <w:sz w:val="22"/>
          <w:szCs w:val="22"/>
        </w:rPr>
        <w:t xml:space="preserve">Révision prévue : </w:t>
      </w:r>
      <w:r>
        <w:rPr>
          <w:rFonts w:ascii="Arial" w:cs="Arial" w:eastAsia="Arial" w:hAnsi="Arial"/>
          <w:color w:val="2C2C2A"/>
          <w:sz w:val="22"/>
          <w:szCs w:val="22"/>
        </w:rPr>
        <w:t xml:space="preserve">À chaque évolution majeure du produit (v2.0, v3.0...)</w:t>
      </w:r>
    </w:p>
    <w:p>
      <w:pPr>
        <w:spacing w:before="0" w:after="80"/>
      </w:pPr>
      <w:r>
        <w:t xml:space="preserve"/>
      </w:r>
    </w:p>
    <w:p>
      <w:pPr>
        <w:pStyle w:val="Heading2"/>
        <w:pBdr>
          <w:bottom w:val="single" w:color="9FE1CB" w:sz="6" w:space="1"/>
        </w:pBdr>
        <w:spacing w:before="280" w:after="160"/>
      </w:pPr>
      <w:r>
        <w:rPr>
          <w:rFonts w:ascii="Arial" w:cs="Arial" w:eastAsia="Arial" w:hAnsi="Arial"/>
          <w:b/>
          <w:bCs/>
          <w:color w:val="1D9E75"/>
          <w:sz w:val="26"/>
          <w:szCs w:val="26"/>
        </w:rPr>
        <w:t xml:space="preserve">10.2 Versioning du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600"/>
        <w:gridCol w:w="3626"/>
      </w:tblGrid>
      <w:tr>
        <w:trPr>
          <w:tblHeader/>
        </w:trPr>
        <w:tc>
          <w:tcPr>
            <w:tcW w:type="dxa" w:w="1400"/>
            <w:tcBorders>
              <w:top w:val="single" w:color="1D9E75" w:sz="6"/>
              <w:left w:val="single" w:color="1D9E75" w:sz="6"/>
              <w:bottom w:val="single" w:color="1D9E75" w:sz="6"/>
              <w:right w:val="single" w:color="1D9E75"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400"/>
            <w:tcBorders>
              <w:top w:val="single" w:color="1D9E75" w:sz="6"/>
              <w:left w:val="single" w:color="1D9E75" w:sz="6"/>
              <w:bottom w:val="single" w:color="1D9E75" w:sz="6"/>
              <w:right w:val="single" w:color="1D9E75"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600"/>
            <w:tcBorders>
              <w:top w:val="single" w:color="1D9E75" w:sz="6"/>
              <w:left w:val="single" w:color="1D9E75" w:sz="6"/>
              <w:bottom w:val="single" w:color="1D9E75" w:sz="6"/>
              <w:right w:val="single" w:color="1D9E75"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Auteur</w:t>
            </w:r>
          </w:p>
        </w:tc>
        <w:tc>
          <w:tcPr>
            <w:tcW w:type="dxa" w:w="3626"/>
            <w:tcBorders>
              <w:top w:val="single" w:color="1D9E75" w:sz="6"/>
              <w:left w:val="single" w:color="1D9E75" w:sz="6"/>
              <w:bottom w:val="single" w:color="1D9E75" w:sz="6"/>
              <w:right w:val="single" w:color="1D9E75"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Modifications</w:t>
            </w:r>
          </w:p>
        </w:tc>
      </w:tr>
      <w:tr>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v1.0</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2025</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Dawes / YEHI OR Tech</w:t>
            </w:r>
          </w:p>
        </w:tc>
        <w:tc>
          <w:tcPr>
            <w:tcW w:type="dxa" w:w="3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Création initiale — identité complète MédiHelm</w:t>
            </w:r>
          </w:p>
        </w:tc>
      </w:tr>
      <w:tr>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v1.x</w:t>
            </w:r>
          </w:p>
        </w:tc>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À venir</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YEHI OR Tech</w:t>
            </w:r>
          </w:p>
        </w:tc>
        <w:tc>
          <w:tcPr>
            <w:tcW w:type="dxa" w:w="36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tcPr>
          <w:p>
            <w:r>
              <w:rPr>
                <w:rFonts w:ascii="Arial" w:cs="Arial" w:eastAsia="Arial" w:hAnsi="Arial"/>
                <w:color w:val="2C2C2A"/>
                <w:sz w:val="20"/>
                <w:szCs w:val="20"/>
              </w:rPr>
              <w:t xml:space="preserve">Ajustements post-beta, retours utilisateurs</w:t>
            </w:r>
          </w:p>
        </w:tc>
      </w:tr>
      <w:tr>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v2.0</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À définir</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YEHI OR Tech</w:t>
            </w:r>
          </w:p>
        </w:tc>
        <w:tc>
          <w:tcPr>
            <w:tcW w:type="dxa" w:w="3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2C2C2A"/>
                <w:sz w:val="20"/>
                <w:szCs w:val="20"/>
              </w:rPr>
              <w:t xml:space="preserve">Évolution majeure lors du lancement régional</w:t>
            </w:r>
          </w:p>
        </w:tc>
      </w:tr>
    </w:tbl>
    <w:p>
      <w:pPr>
        <w:spacing w:before="0" w:after="80"/>
      </w:pPr>
      <w:r>
        <w:t xml:space="preserve"/>
      </w:r>
    </w:p>
    <w:p>
      <w:pPr>
        <w:pStyle w:val="Heading2"/>
        <w:pBdr>
          <w:bottom w:val="single" w:color="9FE1CB" w:sz="6" w:space="1"/>
        </w:pBdr>
        <w:spacing w:before="280" w:after="160"/>
      </w:pPr>
      <w:r>
        <w:rPr>
          <w:rFonts w:ascii="Arial" w:cs="Arial" w:eastAsia="Arial" w:hAnsi="Arial"/>
          <w:b/>
          <w:bCs/>
          <w:color w:val="1D9E75"/>
          <w:sz w:val="26"/>
          <w:szCs w:val="26"/>
        </w:rPr>
        <w:t xml:space="preserve">10.3 Questions et demandes</w:t>
      </w:r>
    </w:p>
    <w:p>
      <w:pPr>
        <w:spacing w:before="0" w:after="140"/>
      </w:pPr>
      <w:r>
        <w:rPr>
          <w:rFonts w:ascii="Arial" w:cs="Arial" w:eastAsia="Arial" w:hAnsi="Arial"/>
          <w:color w:val="2C2C2A"/>
          <w:sz w:val="22"/>
          <w:szCs w:val="22"/>
        </w:rPr>
        <w:t xml:space="preserve">Pour toute question relative à l'identité de marque MédiHelm, contacter YEHI OR Tech directement. Ce document est révisable à tout moment par décision du fondateur.</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9E75" w:sz="6"/>
              <w:left w:val="single" w:color="1D9E75" w:sz="18"/>
              <w:bottom w:val="single" w:color="1D9E75" w:sz="6"/>
              <w:right w:val="single" w:color="1D9E75" w:sz="6"/>
            </w:tcBorders>
            <w:shd w:fill="E1F5EE" w:val="clear"/>
            <w:tcMar>
              <w:top w:type="dxa" w:w="120"/>
              <w:left w:type="dxa" w:w="180"/>
              <w:bottom w:type="dxa" w:w="120"/>
              <w:right w:type="dxa" w:w="180"/>
            </w:tcMar>
          </w:tcPr>
          <w:p>
            <w:pPr>
              <w:spacing w:before="0" w:after="80"/>
            </w:pPr>
            <w:r>
              <w:rPr>
                <w:rFonts w:ascii="Arial" w:cs="Arial" w:eastAsia="Arial" w:hAnsi="Arial"/>
                <w:i/>
                <w:iCs/>
                <w:color w:val="085041"/>
                <w:sz w:val="22"/>
                <w:szCs w:val="22"/>
              </w:rPr>
              <w:t xml:space="preserve">Ce document constitue la référence officielle et opposable pour tout usage de la marque MédiHelm. En cas de doute, privilégier toujours la sobriété, le vert Teal et la clarté — la marque doit inspirer confiance avant tout.</w:t>
            </w:r>
          </w:p>
        </w:tc>
      </w:tr>
    </w:tbl>
    <w:p>
      <w:pPr>
        <w:spacing w:before="0" w:after="160"/>
      </w:pPr>
      <w:r>
        <w:t xml:space="preserve"/>
      </w:r>
    </w:p>
    <w:p>
      <w:pPr>
        <w:pBdr>
          <w:top w:val="single" w:color="9FE1CB" w:sz="6" w:space="1"/>
        </w:pBdr>
        <w:spacing w:before="240" w:after="0"/>
        <w:jc w:val="center"/>
      </w:pPr>
      <w:r>
        <w:rPr>
          <w:rFonts w:ascii="Arial" w:cs="Arial" w:eastAsia="Arial" w:hAnsi="Arial"/>
          <w:i/>
          <w:iCs/>
          <w:color w:val="888780"/>
          <w:sz w:val="18"/>
          <w:szCs w:val="18"/>
        </w:rPr>
        <w:t xml:space="preserve">MédiHelm — Brand Guidelines v1.0  |  YEHI OR Tech © 2025  |  Document confidentiel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FE1CB" w:sz="6" w:space="1"/>
      </w:pBdr>
      <w:spacing w:before="100" w:after="0"/>
      <w:jc w:val="right"/>
    </w:pPr>
    <w:r>
      <w:rPr>
        <w:rFonts w:ascii="Arial" w:cs="Arial" w:eastAsia="Arial" w:hAnsi="Arial"/>
        <w:color w:val="888780"/>
        <w:sz w:val="18"/>
        <w:szCs w:val="18"/>
      </w:rPr>
      <w:t xml:space="preserve">YEHI OR Tech  |  Document confidentiel  |  Page </w:t>
    </w:r>
    <w:r>
      <w:rPr>
        <w:rFonts w:ascii="Arial" w:cs="Arial" w:eastAsia="Arial" w:hAnsi="Arial"/>
        <w:color w:val="1D9E75"/>
        <w:sz w:val="18"/>
        <w:szCs w:val="18"/>
      </w:rPr>
      <w:fldChar w:fldCharType="begin"/>
      <w:instrText xml:space="preserve">PAGE</w:instrText>
      <w:fldChar w:fldCharType="separate"/>
      <w:fldChar w:fldCharType="end"/>
    </w:r>
    <w:r>
      <w:rPr>
        <w:rFonts w:ascii="Arial" w:cs="Arial" w:eastAsia="Arial" w:hAnsi="Arial"/>
        <w:color w:val="888780"/>
        <w:sz w:val="18"/>
        <w:szCs w:val="18"/>
      </w:rPr>
      <w:t xml:space="preserve"> / </w:t>
    </w:r>
    <w:r>
      <w:rPr>
        <w:rFonts w:ascii="Arial" w:cs="Arial" w:eastAsia="Arial" w:hAnsi="Arial"/>
        <w:color w:val="1D9E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6" w:space="1"/>
      </w:pBdr>
      <w:spacing w:before="0" w:after="100"/>
    </w:pPr>
    <w:r>
      <w:rPr>
        <w:rFonts w:ascii="Arial" w:cs="Arial" w:eastAsia="Arial" w:hAnsi="Arial"/>
        <w:b/>
        <w:bCs/>
        <w:color w:val="1D9E75"/>
        <w:sz w:val="20"/>
        <w:szCs w:val="20"/>
      </w:rPr>
      <w:t xml:space="preserve">MédiHelm  </w:t>
    </w:r>
    <w:r>
      <w:rPr>
        <w:rFonts w:ascii="Arial" w:cs="Arial" w:eastAsia="Arial" w:hAnsi="Arial"/>
        <w:color w:val="888780"/>
        <w:sz w:val="20"/>
        <w:szCs w:val="20"/>
      </w:rPr>
      <w:t xml:space="preserve">— Guide de l'Identité de Marque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6"/>
      <w:szCs w:val="26"/>
    </w:rPr>
  </w:style>
  <w:style w:type="paragraph" w:styleId="Heading3">
    <w:name w:val="Heading 3"/>
    <w:basedOn w:val="Normal"/>
    <w:next w:val="Normal"/>
    <w:qFormat/>
    <w:pPr>
      <w:spacing w:before="200" w:after="1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2026-03-18T14:22:42.206Z</dcterms:created>
  <dcterms:modified xsi:type="dcterms:W3CDTF">2026-03-18T14:22:42.206Z</dcterms:modified>
</cp:coreProperties>
</file>

<file path=docProps/custom.xml><?xml version="1.0" encoding="utf-8"?>
<Properties xmlns="http://schemas.openxmlformats.org/officeDocument/2006/custom-properties" xmlns:vt="http://schemas.openxmlformats.org/officeDocument/2006/docPropsVTypes"/>
</file>