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8B0000"/>
          <w:sz w:val="44"/>
        </w:rPr>
        <w:t>CAHIER DES CHARGES TECHNIQUE &amp; FONCTIONNEL</w:t>
      </w:r>
    </w:p>
    <w:p>
      <w:pPr>
        <w:spacing w:before="0" w:after="360"/>
        <w:jc w:val="center"/>
      </w:pPr>
      <w:r>
        <w:rPr>
          <w:i/>
          <w:color w:val="1F2937"/>
          <w:sz w:val="28"/>
        </w:rPr>
        <w:t>Plateforme Web Média, Back-Office &amp; CRM pour PodLab Media</w:t>
      </w:r>
    </w:p>
    <w:tbl>
      <w:tblPr>
        <w:tblW w:type="auto" w:w="0"/>
        <w:jc w:val="center"/>
        <w:tblLayout w:type="fixed"/>
        <w:tblLook w:firstColumn="1" w:firstRow="1" w:lastColumn="0" w:lastRow="0" w:noHBand="0" w:noVBand="1" w:val="04A0"/>
      </w:tblPr>
      <w:tblGrid>
        <w:gridCol w:w="4680"/>
        <w:gridCol w:w="4680"/>
      </w:tblGrid>
      <w:tr>
        <w:tc>
          <w:tcPr>
            <w:tcW w:type="dxa" w:w="3168"/>
            <w:shd w:fill="F9FAFB" w:val="clear"/>
            <w:tcMar>
              <w:top w:w="80" w:type="dxa"/>
              <w:bottom w:w="80" w:type="dxa"/>
              <w:left w:w="120" w:type="dxa"/>
              <w:right w:w="120" w:type="dxa"/>
            </w:tcMar>
          </w:tcPr>
          <w:p>
            <w:pPr>
              <w:spacing w:after="40"/>
            </w:pPr>
            <w:r>
              <w:rPr>
                <w:b/>
                <w:sz w:val="20"/>
              </w:rPr>
              <w:t>Projet :</w:t>
            </w:r>
          </w:p>
        </w:tc>
        <w:tc>
          <w:tcPr>
            <w:tcW w:type="dxa" w:w="6192"/>
            <w:shd w:fill="FFFFFF" w:val="clear"/>
            <w:tcMar>
              <w:top w:w="80" w:type="dxa"/>
              <w:bottom w:w="80" w:type="dxa"/>
              <w:left w:w="120" w:type="dxa"/>
              <w:right w:w="120" w:type="dxa"/>
            </w:tcMar>
          </w:tcPr>
          <w:p>
            <w:pPr>
              <w:spacing w:after="40"/>
            </w:pPr>
            <w:r>
              <w:rPr>
                <w:sz w:val="20"/>
              </w:rPr>
              <w:t>Plateforme Digital Sovereign &amp; Hub CRM PodLab</w:t>
            </w:r>
          </w:p>
        </w:tc>
      </w:tr>
      <w:tr>
        <w:tc>
          <w:tcPr>
            <w:tcW w:type="dxa" w:w="3168"/>
            <w:shd w:fill="F9FAFB" w:val="clear"/>
            <w:tcMar>
              <w:top w:w="80" w:type="dxa"/>
              <w:bottom w:w="80" w:type="dxa"/>
              <w:left w:w="120" w:type="dxa"/>
              <w:right w:w="120" w:type="dxa"/>
            </w:tcMar>
          </w:tcPr>
          <w:p>
            <w:pPr>
              <w:spacing w:after="40"/>
            </w:pPr>
            <w:r>
              <w:rPr>
                <w:b/>
                <w:sz w:val="20"/>
              </w:rPr>
              <w:t>Cible &amp; Client :</w:t>
            </w:r>
          </w:p>
        </w:tc>
        <w:tc>
          <w:tcPr>
            <w:tcW w:type="dxa" w:w="6192"/>
            <w:shd w:fill="FFFFFF" w:val="clear"/>
            <w:tcMar>
              <w:top w:w="80" w:type="dxa"/>
              <w:bottom w:w="80" w:type="dxa"/>
              <w:left w:w="120" w:type="dxa"/>
              <w:right w:w="120" w:type="dxa"/>
            </w:tcMar>
          </w:tcPr>
          <w:p>
            <w:pPr>
              <w:spacing w:after="40"/>
            </w:pPr>
            <w:r>
              <w:rPr>
                <w:sz w:val="20"/>
              </w:rPr>
              <w:t>PodLab Media (1er Média Business d'Afrique Francophone)</w:t>
            </w:r>
          </w:p>
        </w:tc>
      </w:tr>
      <w:tr>
        <w:tc>
          <w:tcPr>
            <w:tcW w:type="dxa" w:w="3168"/>
            <w:shd w:fill="F9FAFB" w:val="clear"/>
            <w:tcMar>
              <w:top w:w="80" w:type="dxa"/>
              <w:bottom w:w="80" w:type="dxa"/>
              <w:left w:w="120" w:type="dxa"/>
              <w:right w:w="120" w:type="dxa"/>
            </w:tcMar>
          </w:tcPr>
          <w:p>
            <w:pPr>
              <w:spacing w:after="40"/>
            </w:pPr>
            <w:r>
              <w:rPr>
                <w:b/>
                <w:sz w:val="20"/>
              </w:rPr>
              <w:t>Implantations physiques :</w:t>
            </w:r>
          </w:p>
        </w:tc>
        <w:tc>
          <w:tcPr>
            <w:tcW w:type="dxa" w:w="6192"/>
            <w:shd w:fill="FFFFFF" w:val="clear"/>
            <w:tcMar>
              <w:top w:w="80" w:type="dxa"/>
              <w:bottom w:w="80" w:type="dxa"/>
              <w:left w:w="120" w:type="dxa"/>
              <w:right w:w="120" w:type="dxa"/>
            </w:tcMar>
          </w:tcPr>
          <w:p>
            <w:pPr>
              <w:spacing w:after="40"/>
            </w:pPr>
            <w:r>
              <w:rPr>
                <w:sz w:val="20"/>
              </w:rPr>
              <w:t>Studios de production à Cotonou (Bénin) &amp; Abidjan (Côte d'Ivoire)</w:t>
            </w:r>
          </w:p>
        </w:tc>
      </w:tr>
      <w:tr>
        <w:tc>
          <w:tcPr>
            <w:tcW w:type="dxa" w:w="3168"/>
            <w:shd w:fill="F9FAFB" w:val="clear"/>
            <w:tcMar>
              <w:top w:w="80" w:type="dxa"/>
              <w:bottom w:w="80" w:type="dxa"/>
              <w:left w:w="120" w:type="dxa"/>
              <w:right w:w="120" w:type="dxa"/>
            </w:tcMar>
          </w:tcPr>
          <w:p>
            <w:pPr>
              <w:spacing w:after="40"/>
            </w:pPr>
            <w:r>
              <w:rPr>
                <w:b/>
                <w:sz w:val="20"/>
              </w:rPr>
              <w:t>Date &amp; Version :</w:t>
            </w:r>
          </w:p>
        </w:tc>
        <w:tc>
          <w:tcPr>
            <w:tcW w:type="dxa" w:w="6192"/>
            <w:shd w:fill="FFFFFF" w:val="clear"/>
            <w:tcMar>
              <w:top w:w="80" w:type="dxa"/>
              <w:bottom w:w="80" w:type="dxa"/>
              <w:left w:w="120" w:type="dxa"/>
              <w:right w:w="120" w:type="dxa"/>
            </w:tcMar>
          </w:tcPr>
          <w:p>
            <w:pPr>
              <w:spacing w:after="40"/>
            </w:pPr>
            <w:r>
              <w:rPr>
                <w:sz w:val="20"/>
              </w:rPr>
              <w:t>Octobre 2026 — Version 1.0 Finale</w:t>
            </w:r>
          </w:p>
        </w:tc>
      </w:tr>
    </w:tbl>
    <w:p>
      <w:pPr>
        <w:spacing w:after="240"/>
      </w:pPr>
    </w:p>
    <w:p>
      <w:pPr>
        <w:pStyle w:val="Heading1"/>
        <w:spacing w:before="320" w:after="160"/>
      </w:pPr>
      <w:r>
        <w:t>1. Vision Stratégique &amp; Positionnement Concurrentiel</w:t>
      </w:r>
    </w:p>
    <w:p>
      <w:pPr>
        <w:spacing w:after="160"/>
      </w:pPr>
      <w:r>
        <w:rPr>
          <w:color w:val="1F2937"/>
        </w:rPr>
        <w:t xml:space="preserve">PodLab Media s'est imposé comme le </w:t>
      </w:r>
      <w:r>
        <w:rPr>
          <w:b/>
        </w:rPr>
        <w:t>1er Média Business d'Afrique francophone</w:t>
      </w:r>
      <w:r>
        <w:rPr>
          <w:color w:val="1F2937"/>
        </w:rPr>
        <w:t xml:space="preserve">, fort d'une communauté de </w:t>
      </w:r>
      <w:r>
        <w:rPr>
          <w:b/>
        </w:rPr>
        <w:t>128 000 abonnés sur YouTube</w:t>
      </w:r>
      <w:r>
        <w:rPr>
          <w:color w:val="1F2937"/>
        </w:rPr>
        <w:t xml:space="preserve">, de plus de </w:t>
      </w:r>
      <w:r>
        <w:rPr>
          <w:b/>
        </w:rPr>
        <w:t>890 vidéos publiées</w:t>
      </w:r>
      <w:r>
        <w:rPr>
          <w:color w:val="1F2937"/>
        </w:rPr>
        <w:t xml:space="preserve"> et de son émission phare « Discussion Informelle », reconnue comme le podcast le plus écouté au Bénin et le 2ᵉ podcast business le plus écouté en Afrique de l'Ouest avec plus de </w:t>
      </w:r>
      <w:r>
        <w:rPr>
          <w:b/>
        </w:rPr>
        <w:t>1 million d'écoutes chaque trimestre</w:t>
      </w:r>
      <w:r>
        <w:t>.</w:t>
      </w:r>
    </w:p>
    <w:p>
      <w:pPr>
        <w:spacing w:after="160"/>
      </w:pPr>
      <w:r>
        <w:rPr>
          <w:color w:val="1F2937"/>
        </w:rPr>
        <w:t xml:space="preserve">Cependant, la totalité de la distribution de PodLab repose aujourd'hui sur les plateformes tierces (YouTube, Instagram, TikTok). Cette situation engorde une dépendance algorithmique risquée et une perte importante de valeur commerciale B2B. L'objectif de ce projet est de doter PodLab d'un </w:t>
      </w:r>
      <w:r>
        <w:rPr>
          <w:b/>
        </w:rPr>
        <w:t>écosystème web souverain</w:t>
      </w:r>
      <w:r>
        <w:t xml:space="preserve"> comprenant un site web média haute performance, un système de réservation de studios physiques en ligne (Cotonou et Abidjan), un module de sponsoring B2B dynamique et un CRM d'acquisition d'audience.</w:t>
      </w:r>
    </w:p>
    <w:p>
      <w:pPr>
        <w:pStyle w:val="Heading1"/>
        <w:spacing w:before="320" w:after="160"/>
      </w:pPr>
      <w:r>
        <w:t>2. Diagnostic de l'Existant vs Opportunités Web</w:t>
      </w:r>
    </w:p>
    <w:p>
      <w:pPr>
        <w:spacing w:after="160"/>
      </w:pPr>
      <w:r>
        <w:t>L'analyse opérationnelle actuelle met en évidence plusieurs goulots d'étranglement majeurs :</w:t>
      </w:r>
    </w:p>
    <w:p>
      <w:pPr>
        <w:pStyle w:val="ListBullet"/>
        <w:spacing w:after="80"/>
      </w:pPr>
      <w:r>
        <w:rPr>
          <w:b/>
          <w:color w:val="8B0000"/>
        </w:rPr>
        <w:t xml:space="preserve">Gestion du sponsoring via Google Forms : </w:t>
      </w:r>
      <w:r>
        <w:t>Les candidatures de sponsoring d'entreprises (avec des budgets mensuels allant de moins de 500 000 F CFA à plus de 1 000 000 F CFA) sont actuellement traitées via un formulaire Google Forms générique. Cela dégrade l'image de marque auprès des annonceurs premium et empêche le suivi de conversion.</w:t>
      </w:r>
    </w:p>
    <w:p>
      <w:pPr>
        <w:pStyle w:val="ListBullet"/>
        <w:spacing w:after="80"/>
      </w:pPr>
      <w:r>
        <w:rPr>
          <w:b/>
          <w:color w:val="8B0000"/>
        </w:rPr>
        <w:t xml:space="preserve">Absence d'automatisation des studios physiques : </w:t>
      </w:r>
      <w:r>
        <w:t>PodLab exploite des studios de tournage professionnels à Cotonou (Bénin) et Abidjan (Côte d'Ivoire). Les réservations s'effectuent par téléphone ou WhatsApp, sans visibilité 24/7 sur les créneaux ou paiement d'acompte automatique.</w:t>
      </w:r>
    </w:p>
    <w:p>
      <w:pPr>
        <w:pStyle w:val="ListBullet"/>
        <w:spacing w:after="80"/>
      </w:pPr>
      <w:r>
        <w:rPr>
          <w:b/>
          <w:color w:val="8B0000"/>
        </w:rPr>
        <w:t xml:space="preserve">Invisible sur le SEO Google : </w:t>
      </w:r>
      <w:r>
        <w:t>Les conversations de haut niveau avec des dirigeants emblématiques (Stanislas Zézé, Richard Odjrado, Régis Facia, Steve Facia) totalisent des dizaines de milliers de vues sur YouTube mais restent invisibles pour le moteur de recherche textuel Google faute de fiches épisodes optimisées.</w:t>
      </w:r>
    </w:p>
    <w:p>
      <w:pPr>
        <w:pStyle w:val="ListBullet"/>
        <w:spacing w:after="80"/>
      </w:pPr>
      <w:r>
        <w:rPr>
          <w:b/>
          <w:color w:val="8B0000"/>
        </w:rPr>
        <w:t xml:space="preserve">Incapacité à capturer l'audience (Zero First-Party Data) : </w:t>
      </w:r>
      <w:r>
        <w:t>PodLab rassemble des décideurs, cadres et entrepreneurs mais ne possède pas leur adresse e-mail. La création d'un hub web permettra de bâtir la 1ère newsletter business d'Afrique francophone.</w:t>
      </w:r>
    </w:p>
    <w:p>
      <w:pPr>
        <w:pStyle w:val="Heading1"/>
        <w:spacing w:before="320" w:after="160"/>
      </w:pPr>
      <w:r>
        <w:t>3. Spécifications Fonctionnelles du Front-Office</w:t>
      </w:r>
    </w:p>
    <w:p>
      <w:pPr>
        <w:pStyle w:val="Heading2"/>
        <w:spacing w:before="200" w:after="80"/>
      </w:pPr>
      <w:r>
        <w:t>3.1. Hub Média &amp; Lecteur Épisode Enrichi</w:t>
      </w:r>
    </w:p>
    <w:p>
      <w:pPr>
        <w:spacing w:after="120"/>
      </w:pPr>
      <w:r>
        <w:t>Le site proposera un catalogue interactif de tous les podcasts et vidéos avec :</w:t>
      </w:r>
    </w:p>
    <w:p>
      <w:pPr>
        <w:pStyle w:val="ListBullet"/>
        <w:spacing w:after="60"/>
      </w:pPr>
      <w:r>
        <w:t>Lecteur vidéo/audio persistant avec reprise de lecture.</w:t>
      </w:r>
    </w:p>
    <w:p>
      <w:pPr>
        <w:pStyle w:val="ListBullet"/>
        <w:spacing w:after="60"/>
      </w:pPr>
      <w:r>
        <w:t>Fiches d'épisodes SEO comprenant synopsis, citations d'invités et retranscriptions intégrales.</w:t>
      </w:r>
    </w:p>
    <w:p>
      <w:pPr>
        <w:pStyle w:val="ListBullet"/>
        <w:spacing w:after="60"/>
      </w:pPr>
      <w:r>
        <w:t>Lead Magnet par épisode : Téléchargement des fiches de synthèse d'épisodes en PDF contre adresse e-mail.</w:t>
      </w:r>
    </w:p>
    <w:p>
      <w:pPr>
        <w:pStyle w:val="ListBullet"/>
        <w:spacing w:after="60"/>
      </w:pPr>
      <w:r>
        <w:t>Filtrage par thématique (BRVM, Levée de fonds, Mindset, Stratégie d'Entreprise, Success Stories).</w:t>
      </w:r>
    </w:p>
    <w:p>
      <w:pPr>
        <w:pStyle w:val="Heading2"/>
        <w:spacing w:before="200" w:after="80"/>
      </w:pPr>
      <w:r>
        <w:t>3.2. Module de Réservation des Studios (Cotonou &amp; Abidjan)</w:t>
      </w:r>
    </w:p>
    <w:p>
      <w:pPr>
        <w:spacing w:after="120"/>
      </w:pPr>
      <w:r>
        <w:t>Un espace dédié à la location des plateaux de tournage physiques :</w:t>
      </w:r>
    </w:p>
    <w:p>
      <w:pPr>
        <w:pStyle w:val="ListBullet"/>
        <w:spacing w:after="60"/>
      </w:pPr>
      <w:r>
        <w:t>Sélection de la ville d'enregistrement : Studio Cotonou (Bénin) ou Studio Abidjan (Côte d'Ivoire).</w:t>
      </w:r>
    </w:p>
    <w:p>
      <w:pPr>
        <w:pStyle w:val="ListBullet"/>
        <w:spacing w:after="60"/>
      </w:pPr>
      <w:r>
        <w:t>Choix du pack : Enregistrement Audio Seul, Pack Vidéo Podcast 4K, Tournage Multi-caméras + Montage Express.</w:t>
      </w:r>
    </w:p>
    <w:p>
      <w:pPr>
        <w:pStyle w:val="ListBullet"/>
        <w:spacing w:after="60"/>
      </w:pPr>
      <w:r>
        <w:t>Calendrier interactif synchronisé en temps réel avec les disponibilités des équipes techniques.</w:t>
      </w:r>
    </w:p>
    <w:p>
      <w:pPr>
        <w:pStyle w:val="ListBullet"/>
        <w:spacing w:after="60"/>
      </w:pPr>
      <w:r>
        <w:t>Paiement automatique d'acompte (Mobile Money FedaPay/Paystack, Carte Bancaire).</w:t>
      </w:r>
    </w:p>
    <w:p>
      <w:pPr>
        <w:pStyle w:val="Heading2"/>
        <w:spacing w:before="200" w:after="80"/>
      </w:pPr>
      <w:r>
        <w:t>3.3. Tunnel Sponsoring B2B &amp; Kit Média Interactif</w:t>
      </w:r>
    </w:p>
    <w:p>
      <w:pPr>
        <w:spacing w:after="120"/>
      </w:pPr>
      <w:r>
        <w:t>Remplacement du formulaire Google Forms par un tunnel sur-mesure `/sponsoring` :</w:t>
      </w:r>
    </w:p>
    <w:p>
      <w:pPr>
        <w:pStyle w:val="ListBullet"/>
        <w:spacing w:after="60"/>
      </w:pPr>
      <w:r>
        <w:t>Qualification dynamique des objectifs : Visibilité de marque, Acquisition B2B, Branding, Lancement de produit.</w:t>
      </w:r>
    </w:p>
    <w:p>
      <w:pPr>
        <w:pStyle w:val="ListBullet"/>
        <w:spacing w:after="60"/>
      </w:pPr>
      <w:r>
        <w:t>Qualification budgétaire : Moins de 500 000 F CFA, 500 000 F à 1 000 000 F CFA, Plus de 1 000 000 F CFA.</w:t>
      </w:r>
    </w:p>
    <w:p>
      <w:pPr>
        <w:pStyle w:val="ListBullet"/>
        <w:spacing w:after="60"/>
      </w:pPr>
      <w:r>
        <w:t>Déblocage instantané du Kit Média PodLab (PDF dynamique) dès la validation des coordonnées professionnelles.</w:t>
      </w:r>
    </w:p>
    <w:p>
      <w:pPr>
        <w:pStyle w:val="ListBullet"/>
        <w:spacing w:after="60"/>
      </w:pPr>
      <w:r>
        <w:t>Intégration directe de calendrier pour prise de RDV avec la régie commerciale de PodLab.</w:t>
      </w:r>
    </w:p>
    <w:p>
      <w:pPr>
        <w:pStyle w:val="Heading1"/>
        <w:spacing w:before="320" w:after="160"/>
      </w:pPr>
      <w:r>
        <w:t>4. Back-Office (CMS Headless) &amp; CRM d'Acquisition</w:t>
      </w:r>
    </w:p>
    <w:p>
      <w:pPr>
        <w:spacing w:after="120"/>
      </w:pPr>
      <w:r>
        <w:t>L'administration centrale combinera un CMS puissant et un CRM pour automatiser l'activité commerciale.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8B0000" w:val="clear"/>
            <w:tcMar>
              <w:top w:w="100" w:type="dxa"/>
              <w:bottom w:w="100" w:type="dxa"/>
              <w:left w:w="100" w:type="dxa"/>
              <w:right w:w="100" w:type="dxa"/>
            </w:tcMar>
          </w:tcPr>
          <w:p>
            <w:r>
              <w:rPr>
                <w:b/>
                <w:color w:val="FFFFFF"/>
              </w:rPr>
              <w:t>Module Back-Office</w:t>
            </w:r>
          </w:p>
        </w:tc>
        <w:tc>
          <w:tcPr>
            <w:tcW w:type="dxa" w:w="3168"/>
            <w:shd w:fill="8B0000" w:val="clear"/>
            <w:tcMar>
              <w:top w:w="100" w:type="dxa"/>
              <w:bottom w:w="100" w:type="dxa"/>
              <w:left w:w="100" w:type="dxa"/>
              <w:right w:w="100" w:type="dxa"/>
            </w:tcMar>
          </w:tcPr>
          <w:p>
            <w:r>
              <w:rPr>
                <w:b/>
                <w:color w:val="FFFFFF"/>
              </w:rPr>
              <w:t>Fonctionnalités Clés</w:t>
            </w:r>
          </w:p>
        </w:tc>
        <w:tc>
          <w:tcPr>
            <w:tcW w:type="dxa" w:w="3600"/>
            <w:shd w:fill="8B0000" w:val="clear"/>
            <w:tcMar>
              <w:top w:w="100" w:type="dxa"/>
              <w:bottom w:w="100" w:type="dxa"/>
              <w:left w:w="100" w:type="dxa"/>
              <w:right w:w="100" w:type="dxa"/>
            </w:tcMar>
          </w:tcPr>
          <w:p>
            <w:r>
              <w:rPr>
                <w:b/>
                <w:color w:val="FFFFFF"/>
              </w:rPr>
              <w:t>Impact Métier pour PodLab</w:t>
            </w:r>
          </w:p>
        </w:tc>
      </w:tr>
      <w:tr>
        <w:tc>
          <w:tcPr>
            <w:tcW w:type="dxa" w:w="2592"/>
            <w:shd w:fill="F9FAFB" w:val="clear"/>
            <w:tcMar>
              <w:top w:w="80" w:type="dxa"/>
              <w:bottom w:w="80" w:type="dxa"/>
              <w:left w:w="100" w:type="dxa"/>
              <w:right w:w="100" w:type="dxa"/>
            </w:tcMar>
          </w:tcPr>
          <w:p>
            <w:pPr>
              <w:spacing w:after="40"/>
            </w:pPr>
            <w:r>
              <w:rPr>
                <w:b/>
                <w:sz w:val="20"/>
              </w:rPr>
              <w:t>Gestionnaire de Contenu (CMS)</w:t>
            </w:r>
          </w:p>
        </w:tc>
        <w:tc>
          <w:tcPr>
            <w:tcW w:type="dxa" w:w="3168"/>
            <w:shd w:fill="F9FAFB" w:val="clear"/>
            <w:tcMar>
              <w:top w:w="80" w:type="dxa"/>
              <w:bottom w:w="80" w:type="dxa"/>
              <w:left w:w="100" w:type="dxa"/>
              <w:right w:w="100" w:type="dxa"/>
            </w:tcMar>
          </w:tcPr>
          <w:p>
            <w:pPr>
              <w:spacing w:after="40"/>
            </w:pPr>
            <w:r>
              <w:rPr>
                <w:sz w:val="20"/>
              </w:rPr>
              <w:t>Publication simplifiée des podcasts, gestion des invités, édition des articles SEO, upload des synthèses PDF.</w:t>
            </w:r>
          </w:p>
        </w:tc>
        <w:tc>
          <w:tcPr>
            <w:tcW w:type="dxa" w:w="3600"/>
            <w:shd w:fill="F9FAFB" w:val="clear"/>
            <w:tcMar>
              <w:top w:w="80" w:type="dxa"/>
              <w:bottom w:w="80" w:type="dxa"/>
              <w:left w:w="100" w:type="dxa"/>
              <w:right w:w="100" w:type="dxa"/>
            </w:tcMar>
          </w:tcPr>
          <w:p>
            <w:pPr>
              <w:spacing w:after="40"/>
            </w:pPr>
            <w:r>
              <w:rPr>
                <w:sz w:val="20"/>
              </w:rPr>
              <w:t>Autonomie totale de l'équipe éditoriale sans intervention de développeur.</w:t>
            </w:r>
          </w:p>
        </w:tc>
      </w:tr>
      <w:tr>
        <w:tc>
          <w:tcPr>
            <w:tcW w:type="dxa" w:w="2592"/>
            <w:shd w:fill="FFFFFF" w:val="clear"/>
            <w:tcMar>
              <w:top w:w="80" w:type="dxa"/>
              <w:bottom w:w="80" w:type="dxa"/>
              <w:left w:w="100" w:type="dxa"/>
              <w:right w:w="100" w:type="dxa"/>
            </w:tcMar>
          </w:tcPr>
          <w:p>
            <w:pPr>
              <w:spacing w:after="40"/>
            </w:pPr>
            <w:r>
              <w:rPr>
                <w:b/>
                <w:sz w:val="20"/>
              </w:rPr>
              <w:t>Gestionnaire de Studios</w:t>
            </w:r>
          </w:p>
        </w:tc>
        <w:tc>
          <w:tcPr>
            <w:tcW w:type="dxa" w:w="3168"/>
            <w:shd w:fill="FFFFFF" w:val="clear"/>
            <w:tcMar>
              <w:top w:w="80" w:type="dxa"/>
              <w:bottom w:w="80" w:type="dxa"/>
              <w:left w:w="100" w:type="dxa"/>
              <w:right w:w="100" w:type="dxa"/>
            </w:tcMar>
          </w:tcPr>
          <w:p>
            <w:pPr>
              <w:spacing w:after="40"/>
            </w:pPr>
            <w:r>
              <w:rPr>
                <w:sz w:val="20"/>
              </w:rPr>
              <w:t>Planning unifié des plateaux de Cotonou &amp; Abidjan, gestion des tarifs, blocage des jours fériés/maintenances.</w:t>
            </w:r>
          </w:p>
        </w:tc>
        <w:tc>
          <w:tcPr>
            <w:tcW w:type="dxa" w:w="3600"/>
            <w:shd w:fill="FFFFFF" w:val="clear"/>
            <w:tcMar>
              <w:top w:w="80" w:type="dxa"/>
              <w:bottom w:w="80" w:type="dxa"/>
              <w:left w:w="100" w:type="dxa"/>
              <w:right w:w="100" w:type="dxa"/>
            </w:tcMar>
          </w:tcPr>
          <w:p>
            <w:pPr>
              <w:spacing w:after="40"/>
            </w:pPr>
            <w:r>
              <w:rPr>
                <w:sz w:val="20"/>
              </w:rPr>
              <w:t>Zéro double réservation, maximisation du taux d'occupation des studios.</w:t>
            </w:r>
          </w:p>
        </w:tc>
      </w:tr>
      <w:tr>
        <w:tc>
          <w:tcPr>
            <w:tcW w:type="dxa" w:w="2592"/>
            <w:shd w:fill="F9FAFB" w:val="clear"/>
            <w:tcMar>
              <w:top w:w="80" w:type="dxa"/>
              <w:bottom w:w="80" w:type="dxa"/>
              <w:left w:w="100" w:type="dxa"/>
              <w:right w:w="100" w:type="dxa"/>
            </w:tcMar>
          </w:tcPr>
          <w:p>
            <w:pPr>
              <w:spacing w:after="40"/>
            </w:pPr>
            <w:r>
              <w:rPr>
                <w:b/>
                <w:sz w:val="20"/>
              </w:rPr>
              <w:t>CRM Sponsoring &amp; Leads</w:t>
            </w:r>
          </w:p>
        </w:tc>
        <w:tc>
          <w:tcPr>
            <w:tcW w:type="dxa" w:w="3168"/>
            <w:shd w:fill="F9FAFB" w:val="clear"/>
            <w:tcMar>
              <w:top w:w="80" w:type="dxa"/>
              <w:bottom w:w="80" w:type="dxa"/>
              <w:left w:w="100" w:type="dxa"/>
              <w:right w:w="100" w:type="dxa"/>
            </w:tcMar>
          </w:tcPr>
          <w:p>
            <w:pPr>
              <w:spacing w:after="40"/>
            </w:pPr>
            <w:r>
              <w:rPr>
                <w:sz w:val="20"/>
              </w:rPr>
              <w:t>Pipeline de ventes Kanban (Nouveau Lead, Kit Média Envoyé, RDV Calé, Devis, Signé), scoring selon budget.</w:t>
            </w:r>
          </w:p>
        </w:tc>
        <w:tc>
          <w:tcPr>
            <w:tcW w:type="dxa" w:w="3600"/>
            <w:shd w:fill="F9FAFB" w:val="clear"/>
            <w:tcMar>
              <w:top w:w="80" w:type="dxa"/>
              <w:bottom w:w="80" w:type="dxa"/>
              <w:left w:w="100" w:type="dxa"/>
              <w:right w:w="100" w:type="dxa"/>
            </w:tcMar>
          </w:tcPr>
          <w:p>
            <w:pPr>
              <w:spacing w:after="40"/>
            </w:pPr>
            <w:r>
              <w:rPr>
                <w:sz w:val="20"/>
              </w:rPr>
              <w:t>Traitement prioritaire des annonceurs à plus de 1 000 000 F CFA.</w:t>
            </w:r>
          </w:p>
        </w:tc>
      </w:tr>
    </w:tbl>
    <w:p>
      <w:pPr>
        <w:spacing w:after="160"/>
      </w:pPr>
    </w:p>
    <w:p>
      <w:pPr>
        <w:pStyle w:val="Heading1"/>
        <w:spacing w:before="320" w:after="160"/>
      </w:pPr>
      <w:r>
        <w:t>5. Architecture Technique &amp; Choix Technologiques</w:t>
      </w:r>
    </w:p>
    <w:p>
      <w:pPr>
        <w:spacing w:after="120"/>
      </w:pPr>
      <w:r>
        <w:t>Pour garantir une vitesse de chargement instantanée sur réseau mobile en Afrique de l'Ouest, la stack suivante est retenue :</w:t>
      </w:r>
    </w:p>
    <w:p>
      <w:pPr>
        <w:pStyle w:val="ListBullet"/>
        <w:spacing w:after="80"/>
      </w:pPr>
      <w:r>
        <w:rPr>
          <w:b/>
          <w:color w:val="1F2937"/>
        </w:rPr>
        <w:t xml:space="preserve">Front-End Framework : </w:t>
      </w:r>
      <w:r>
        <w:t>Next.js (React) avec rendu SSR/ISR pour des performances SEO maximales et des temps de chargement sous la seconde sur réseau 3G/4G.</w:t>
      </w:r>
    </w:p>
    <w:p>
      <w:pPr>
        <w:pStyle w:val="ListBullet"/>
        <w:spacing w:after="80"/>
      </w:pPr>
      <w:r>
        <w:rPr>
          <w:b/>
          <w:color w:val="1F2937"/>
        </w:rPr>
        <w:t xml:space="preserve">Design System : </w:t>
      </w:r>
      <w:r>
        <w:t>Tailwind CSS avec respect strict de la charte graphique PodLab (Sombre, Épuré, Accents Rouges du logo).</w:t>
      </w:r>
    </w:p>
    <w:p>
      <w:pPr>
        <w:pStyle w:val="ListBullet"/>
        <w:spacing w:after="80"/>
      </w:pPr>
      <w:r>
        <w:rPr>
          <w:b/>
          <w:color w:val="1F2937"/>
        </w:rPr>
        <w:t xml:space="preserve">Back-End &amp; CMS Headless : </w:t>
      </w:r>
      <w:r>
        <w:t>Strapi ou Supabase pour une gestion de base de données flexible, sécurisée et évolutive.</w:t>
      </w:r>
    </w:p>
    <w:p>
      <w:pPr>
        <w:pStyle w:val="ListBullet"/>
        <w:spacing w:after="80"/>
      </w:pPr>
      <w:r>
        <w:rPr>
          <w:b/>
          <w:color w:val="1F2937"/>
        </w:rPr>
        <w:t xml:space="preserve">Passerelle de Paiement : </w:t>
      </w:r>
      <w:r>
        <w:t>FedaPay &amp; Paystack (intégration fluide de MTN Mobile Money, Moov Money, Orange Money et Cartes Bancaires).</w:t>
      </w:r>
    </w:p>
    <w:p>
      <w:pPr>
        <w:pStyle w:val="ListBullet"/>
        <w:spacing w:after="80"/>
      </w:pPr>
      <w:r>
        <w:rPr>
          <w:b/>
          <w:color w:val="1F2937"/>
        </w:rPr>
        <w:t xml:space="preserve">CRM &amp; E-mailing : </w:t>
      </w:r>
      <w:r>
        <w:t>HubSpot CRM ou Brevo pour l'automatisation des newsletters business et la gestion des leads annonceurs.</w:t>
      </w:r>
    </w:p>
    <w:p>
      <w:pPr>
        <w:pStyle w:val="Heading1"/>
        <w:spacing w:before="320" w:after="160"/>
      </w:pPr>
      <w:r>
        <w:t>6. Planning de Déploiement (6 Semaines)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F2937" w:val="clear"/>
            <w:tcMar>
              <w:top w:w="100" w:type="dxa"/>
              <w:bottom w:w="100" w:type="dxa"/>
              <w:left w:w="100" w:type="dxa"/>
              <w:right w:w="100" w:type="dxa"/>
            </w:tcMar>
          </w:tcPr>
          <w:p>
            <w:r>
              <w:rPr>
                <w:b/>
                <w:color w:val="FFFFFF"/>
              </w:rPr>
              <w:t>Phase</w:t>
            </w:r>
          </w:p>
        </w:tc>
        <w:tc>
          <w:tcPr>
            <w:tcW w:type="dxa" w:w="3312"/>
            <w:shd w:fill="1F2937" w:val="clear"/>
            <w:tcMar>
              <w:top w:w="100" w:type="dxa"/>
              <w:bottom w:w="100" w:type="dxa"/>
              <w:left w:w="100" w:type="dxa"/>
              <w:right w:w="100" w:type="dxa"/>
            </w:tcMar>
          </w:tcPr>
          <w:p>
            <w:r>
              <w:rPr>
                <w:b/>
                <w:color w:val="FFFFFF"/>
              </w:rPr>
              <w:t>Intitulé &amp; Jalons</w:t>
            </w:r>
          </w:p>
        </w:tc>
        <w:tc>
          <w:tcPr>
            <w:tcW w:type="dxa" w:w="4320"/>
            <w:shd w:fill="1F2937" w:val="clear"/>
            <w:tcMar>
              <w:top w:w="100" w:type="dxa"/>
              <w:bottom w:w="100" w:type="dxa"/>
              <w:left w:w="100" w:type="dxa"/>
              <w:right w:w="100" w:type="dxa"/>
            </w:tcMar>
          </w:tcPr>
          <w:p>
            <w:r>
              <w:rPr>
                <w:b/>
                <w:color w:val="FFFFFF"/>
              </w:rPr>
              <w:t>Livrables Attendus</w:t>
            </w:r>
          </w:p>
        </w:tc>
      </w:tr>
      <w:tr>
        <w:tc>
          <w:tcPr>
            <w:tcW w:type="dxa" w:w="1728"/>
            <w:shd w:fill="F9FAFB" w:val="clear"/>
            <w:tcMar>
              <w:top w:w="80" w:type="dxa"/>
              <w:bottom w:w="80" w:type="dxa"/>
              <w:left w:w="100" w:type="dxa"/>
              <w:right w:w="100" w:type="dxa"/>
            </w:tcMar>
          </w:tcPr>
          <w:p>
            <w:pPr>
              <w:spacing w:after="40"/>
            </w:pPr>
            <w:r>
              <w:rPr>
                <w:b/>
                <w:sz w:val="20"/>
              </w:rPr>
              <w:t>Semaine 1</w:t>
            </w:r>
          </w:p>
        </w:tc>
        <w:tc>
          <w:tcPr>
            <w:tcW w:type="dxa" w:w="3312"/>
            <w:shd w:fill="F9FAFB" w:val="clear"/>
            <w:tcMar>
              <w:top w:w="80" w:type="dxa"/>
              <w:bottom w:w="80" w:type="dxa"/>
              <w:left w:w="100" w:type="dxa"/>
              <w:right w:w="100" w:type="dxa"/>
            </w:tcMar>
          </w:tcPr>
          <w:p>
            <w:pPr>
              <w:spacing w:after="40"/>
            </w:pPr>
            <w:r>
              <w:rPr>
                <w:sz w:val="20"/>
              </w:rPr>
              <w:t>Cadrage &amp; Design UI/UX</w:t>
            </w:r>
          </w:p>
        </w:tc>
        <w:tc>
          <w:tcPr>
            <w:tcW w:type="dxa" w:w="4320"/>
            <w:shd w:fill="F9FAFB" w:val="clear"/>
            <w:tcMar>
              <w:top w:w="80" w:type="dxa"/>
              <w:bottom w:w="80" w:type="dxa"/>
              <w:left w:w="100" w:type="dxa"/>
              <w:right w:w="100" w:type="dxa"/>
            </w:tcMar>
          </w:tcPr>
          <w:p>
            <w:pPr>
              <w:spacing w:after="40"/>
            </w:pPr>
            <w:r>
              <w:rPr>
                <w:sz w:val="20"/>
              </w:rPr>
              <w:t>Maquettes Figma interactives (Desktop &amp; Mobile) validées par l'équipe PodLab.</w:t>
            </w:r>
          </w:p>
        </w:tc>
      </w:tr>
      <w:tr>
        <w:tc>
          <w:tcPr>
            <w:tcW w:type="dxa" w:w="1728"/>
            <w:shd w:fill="FFFFFF" w:val="clear"/>
            <w:tcMar>
              <w:top w:w="80" w:type="dxa"/>
              <w:bottom w:w="80" w:type="dxa"/>
              <w:left w:w="100" w:type="dxa"/>
              <w:right w:w="100" w:type="dxa"/>
            </w:tcMar>
          </w:tcPr>
          <w:p>
            <w:pPr>
              <w:spacing w:after="40"/>
            </w:pPr>
            <w:r>
              <w:rPr>
                <w:b/>
                <w:sz w:val="20"/>
              </w:rPr>
              <w:t>Semaines 2-3</w:t>
            </w:r>
          </w:p>
        </w:tc>
        <w:tc>
          <w:tcPr>
            <w:tcW w:type="dxa" w:w="3312"/>
            <w:shd w:fill="FFFFFF" w:val="clear"/>
            <w:tcMar>
              <w:top w:w="80" w:type="dxa"/>
              <w:bottom w:w="80" w:type="dxa"/>
              <w:left w:w="100" w:type="dxa"/>
              <w:right w:w="100" w:type="dxa"/>
            </w:tcMar>
          </w:tcPr>
          <w:p>
            <w:pPr>
              <w:spacing w:after="40"/>
            </w:pPr>
            <w:r>
              <w:rPr>
                <w:sz w:val="20"/>
              </w:rPr>
              <w:t>Développement Front-End &amp; CMS</w:t>
            </w:r>
          </w:p>
        </w:tc>
        <w:tc>
          <w:tcPr>
            <w:tcW w:type="dxa" w:w="4320"/>
            <w:shd w:fill="FFFFFF" w:val="clear"/>
            <w:tcMar>
              <w:top w:w="80" w:type="dxa"/>
              <w:bottom w:w="80" w:type="dxa"/>
              <w:left w:w="100" w:type="dxa"/>
              <w:right w:w="100" w:type="dxa"/>
            </w:tcMar>
          </w:tcPr>
          <w:p>
            <w:pPr>
              <w:spacing w:after="40"/>
            </w:pPr>
            <w:r>
              <w:rPr>
                <w:sz w:val="20"/>
              </w:rPr>
              <w:t>Intégration du Hub Média, du lecteur vidéo/audio et de la structure SEO.</w:t>
            </w:r>
          </w:p>
        </w:tc>
      </w:tr>
      <w:tr>
        <w:tc>
          <w:tcPr>
            <w:tcW w:type="dxa" w:w="1728"/>
            <w:shd w:fill="F9FAFB" w:val="clear"/>
            <w:tcMar>
              <w:top w:w="80" w:type="dxa"/>
              <w:bottom w:w="80" w:type="dxa"/>
              <w:left w:w="100" w:type="dxa"/>
              <w:right w:w="100" w:type="dxa"/>
            </w:tcMar>
          </w:tcPr>
          <w:p>
            <w:pPr>
              <w:spacing w:after="40"/>
            </w:pPr>
            <w:r>
              <w:rPr>
                <w:b/>
                <w:sz w:val="20"/>
              </w:rPr>
              <w:t>Semaine 4</w:t>
            </w:r>
          </w:p>
        </w:tc>
        <w:tc>
          <w:tcPr>
            <w:tcW w:type="dxa" w:w="3312"/>
            <w:shd w:fill="F9FAFB" w:val="clear"/>
            <w:tcMar>
              <w:top w:w="80" w:type="dxa"/>
              <w:bottom w:w="80" w:type="dxa"/>
              <w:left w:w="100" w:type="dxa"/>
              <w:right w:w="100" w:type="dxa"/>
            </w:tcMar>
          </w:tcPr>
          <w:p>
            <w:pPr>
              <w:spacing w:after="40"/>
            </w:pPr>
            <w:r>
              <w:rPr>
                <w:sz w:val="20"/>
              </w:rPr>
              <w:t>Modules Studios &amp; Sponsoring</w:t>
            </w:r>
          </w:p>
        </w:tc>
        <w:tc>
          <w:tcPr>
            <w:tcW w:type="dxa" w:w="4320"/>
            <w:shd w:fill="F9FAFB" w:val="clear"/>
            <w:tcMar>
              <w:top w:w="80" w:type="dxa"/>
              <w:bottom w:w="80" w:type="dxa"/>
              <w:left w:w="100" w:type="dxa"/>
              <w:right w:w="100" w:type="dxa"/>
            </w:tcMar>
          </w:tcPr>
          <w:p>
            <w:pPr>
              <w:spacing w:after="40"/>
            </w:pPr>
            <w:r>
              <w:rPr>
                <w:sz w:val="20"/>
              </w:rPr>
              <w:t>Système de réservation Cotonou/Abidjan, passerelles MoMo et tunnel `/sponsoring`.</w:t>
            </w:r>
          </w:p>
        </w:tc>
      </w:tr>
      <w:tr>
        <w:tc>
          <w:tcPr>
            <w:tcW w:type="dxa" w:w="1728"/>
            <w:shd w:fill="FFFFFF" w:val="clear"/>
            <w:tcMar>
              <w:top w:w="80" w:type="dxa"/>
              <w:bottom w:w="80" w:type="dxa"/>
              <w:left w:w="100" w:type="dxa"/>
              <w:right w:w="100" w:type="dxa"/>
            </w:tcMar>
          </w:tcPr>
          <w:p>
            <w:pPr>
              <w:spacing w:after="40"/>
            </w:pPr>
            <w:r>
              <w:rPr>
                <w:b/>
                <w:sz w:val="20"/>
              </w:rPr>
              <w:t>Semaines 5-6</w:t>
            </w:r>
          </w:p>
        </w:tc>
        <w:tc>
          <w:tcPr>
            <w:tcW w:type="dxa" w:w="3312"/>
            <w:shd w:fill="FFFFFF" w:val="clear"/>
            <w:tcMar>
              <w:top w:w="80" w:type="dxa"/>
              <w:bottom w:w="80" w:type="dxa"/>
              <w:left w:w="100" w:type="dxa"/>
              <w:right w:w="100" w:type="dxa"/>
            </w:tcMar>
          </w:tcPr>
          <w:p>
            <w:pPr>
              <w:spacing w:after="40"/>
            </w:pPr>
            <w:r>
              <w:rPr>
                <w:sz w:val="20"/>
              </w:rPr>
              <w:t>CRM, Recette &amp; Mettre en ligne</w:t>
            </w:r>
          </w:p>
        </w:tc>
        <w:tc>
          <w:tcPr>
            <w:tcW w:type="dxa" w:w="4320"/>
            <w:shd w:fill="FFFFFF" w:val="clear"/>
            <w:tcMar>
              <w:top w:w="80" w:type="dxa"/>
              <w:bottom w:w="80" w:type="dxa"/>
              <w:left w:w="100" w:type="dxa"/>
              <w:right w:w="100" w:type="dxa"/>
            </w:tcMar>
          </w:tcPr>
          <w:p>
            <w:pPr>
              <w:spacing w:after="40"/>
            </w:pPr>
            <w:r>
              <w:rPr>
                <w:sz w:val="20"/>
              </w:rPr>
              <w:t>Configuration du CRM, tests d'acceptation, formation de l'équipe PodLab et lancement.</w:t>
            </w:r>
          </w:p>
        </w:tc>
      </w:tr>
    </w:tbl>
    <w:p>
      <w:pPr>
        <w:spacing w:after="320"/>
      </w:pPr>
    </w:p>
    <w:p>
      <w:pPr>
        <w:spacing w:after="120"/>
        <w:ind w:left="288" w:right="288"/>
      </w:pPr>
      <w:r>
        <w:rPr>
          <w:i/>
        </w:rPr>
        <w:t>En déployant cette infrastructure web complète, PodLab Media cessera d'être un simple canal YouTube pour devenir la plateforme média business incontournable d'Afrique francophone, capable de monétiser directement son audience et d'automatiser l'exploitation de ses studios.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B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