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0000"/>
          <w:sz w:val="48"/>
        </w:rPr>
        <w:t>PODLAB MEDIA — DESIGN SYSTEM V2 (STRICT MONOCHROME)</w:t>
      </w:r>
    </w:p>
    <w:p>
      <w:pPr>
        <w:spacing w:after="360"/>
        <w:jc w:val="left"/>
      </w:pPr>
      <w:r>
        <w:rPr>
          <w:rFonts w:ascii="Arial" w:hAnsi="Arial"/>
          <w:i/>
          <w:color w:val="646464"/>
          <w:sz w:val="26"/>
        </w:rPr>
        <w:t>Charte graphique UI/UX fondée sur l'identité visuelle Blanc sur Noir &amp; Composants 21st.dev</w:t>
      </w:r>
    </w:p>
    <w:p>
      <w:pPr>
        <w:keepNext/>
        <w:spacing w:before="360" w:after="160"/>
        <w:pBdr>
          <w:bottom w:val="single" w:sz="12" w:space="4" w:color="000000"/>
        </w:pBdr>
      </w:pPr>
      <w:r>
        <w:rPr>
          <w:rFonts w:ascii="Arial" w:hAnsi="Arial"/>
          <w:b/>
          <w:color w:val="000000"/>
          <w:sz w:val="30"/>
        </w:rPr>
        <w:t>1. Analyse de l'Emblème Visuel &amp; Identité Blanc sur Noir</w:t>
      </w:r>
    </w:p>
    <w:p>
      <w:r>
        <w:rPr>
          <w:color w:val="282828"/>
        </w:rPr>
        <w:t>L'identité visuelle de PodLab repose sur son logo emblématique : un monogramme typographique massif, moderne et épuré, composé de lettres blanches en gras sur un fond noir absolu. La première voyelle ('o') intègre une icône de micro d'enregistrement, affirmant le positionnement média audio/vidéo premium.</w:t>
      </w:r>
    </w:p>
    <w:tbl>
      <w:tblPr>
        <w:tblW w:type="auto" w:w="0"/>
        <w:jc w:val="center"/>
        <w:tblLayout w:type="fixed"/>
        <w:tblLook w:firstColumn="1" w:firstRow="1" w:lastColumn="0" w:lastRow="0" w:noHBand="0" w:noVBand="1" w:val="04A0"/>
      </w:tblPr>
      <w:tblGrid>
        <w:gridCol w:w="4680"/>
        <w:gridCol w:w="4680"/>
      </w:tblGrid>
      <w:tr>
        <w:tc>
          <w:tcPr>
            <w:tcW w:type="dxa" w:w="4680"/>
            <w:shd w:fill="000000"/>
            <w:tcMar>
              <w:top w:w="120" w:type="dxa"/>
              <w:bottom w:w="120" w:type="dxa"/>
              <w:left w:w="150" w:type="dxa"/>
              <w:right w:w="150" w:type="dxa"/>
            </w:tcMar>
          </w:tcPr>
          <w:p>
            <w:r>
              <w:rPr>
                <w:b/>
                <w:color w:val="FFFFFF"/>
              </w:rPr>
              <w:t>Élément du Logo</w:t>
            </w:r>
          </w:p>
        </w:tc>
        <w:tc>
          <w:tcPr>
            <w:tcW w:type="dxa" w:w="4680"/>
            <w:shd w:fill="000000"/>
            <w:tcMar>
              <w:top w:w="120" w:type="dxa"/>
              <w:bottom w:w="120" w:type="dxa"/>
              <w:left w:w="150" w:type="dxa"/>
              <w:right w:w="150" w:type="dxa"/>
            </w:tcMar>
          </w:tcPr>
          <w:p>
            <w:r>
              <w:rPr>
                <w:b/>
                <w:color w:val="FFFFFF"/>
              </w:rPr>
              <w:t>Spécification &amp; Application Design UI</w:t>
            </w:r>
          </w:p>
        </w:tc>
      </w:tr>
      <w:tr>
        <w:tc>
          <w:tcPr>
            <w:tcW w:type="dxa" w:w="3168"/>
            <w:shd w:fill="F9F9F9"/>
            <w:tcMar>
              <w:top w:w="100" w:type="dxa"/>
              <w:bottom w:w="100" w:type="dxa"/>
              <w:left w:w="150" w:type="dxa"/>
              <w:right w:w="150" w:type="dxa"/>
            </w:tcMar>
          </w:tcPr>
          <w:p>
            <w:r>
              <w:rPr>
                <w:b/>
              </w:rPr>
              <w:t>Typographie Emblématique</w:t>
            </w:r>
          </w:p>
        </w:tc>
        <w:tc>
          <w:tcPr>
            <w:tcW w:type="dxa" w:w="6192"/>
            <w:shd w:fill="F9F9F9"/>
            <w:tcMar>
              <w:top w:w="100" w:type="dxa"/>
              <w:bottom w:w="100" w:type="dxa"/>
              <w:left w:w="150" w:type="dxa"/>
              <w:right w:w="150" w:type="dxa"/>
            </w:tcMar>
          </w:tcPr>
          <w:p>
            <w:r>
              <w:t>Sans-serif géométrique extra-bold, aux angles arrondis et empattements condensés pour une lisibilité optimale sur écran mobile.</w:t>
            </w:r>
          </w:p>
        </w:tc>
      </w:tr>
      <w:tr>
        <w:tc>
          <w:tcPr>
            <w:tcW w:type="dxa" w:w="3168"/>
            <w:shd w:fill="FFFFFF"/>
            <w:tcMar>
              <w:top w:w="100" w:type="dxa"/>
              <w:bottom w:w="100" w:type="dxa"/>
              <w:left w:w="150" w:type="dxa"/>
              <w:right w:w="150" w:type="dxa"/>
            </w:tcMar>
          </w:tcPr>
          <w:p>
            <w:r>
              <w:rPr>
                <w:b/>
              </w:rPr>
              <w:t>Contraste Absolu (Monochrome)</w:t>
            </w:r>
          </w:p>
        </w:tc>
        <w:tc>
          <w:tcPr>
            <w:tcW w:type="dxa" w:w="6192"/>
            <w:shd w:fill="FFFFFF"/>
            <w:tcMar>
              <w:top w:w="100" w:type="dxa"/>
              <w:bottom w:w="100" w:type="dxa"/>
              <w:left w:w="150" w:type="dxa"/>
              <w:right w:w="150" w:type="dxa"/>
            </w:tcMar>
          </w:tcPr>
          <w:p>
            <w:r>
              <w:t>Fond Noir Pur (#000000 / #09090B) et typographie Blanc Pur (#FFFFFF), offrant un contraste de 21:1 conforme aux normes d'accessibilité WCAG AAA.</w:t>
            </w:r>
          </w:p>
        </w:tc>
      </w:tr>
      <w:tr>
        <w:tc>
          <w:tcPr>
            <w:tcW w:type="dxa" w:w="3168"/>
            <w:shd w:fill="F9F9F9"/>
            <w:tcMar>
              <w:top w:w="100" w:type="dxa"/>
              <w:bottom w:w="100" w:type="dxa"/>
              <w:left w:w="150" w:type="dxa"/>
              <w:right w:w="150" w:type="dxa"/>
            </w:tcMar>
          </w:tcPr>
          <w:p>
            <w:r>
              <w:rPr>
                <w:b/>
              </w:rPr>
              <w:t>Microphone Intégré dans le 'o'</w:t>
            </w:r>
          </w:p>
        </w:tc>
        <w:tc>
          <w:tcPr>
            <w:tcW w:type="dxa" w:w="6192"/>
            <w:shd w:fill="F9F9F9"/>
            <w:tcMar>
              <w:top w:w="100" w:type="dxa"/>
              <w:bottom w:w="100" w:type="dxa"/>
              <w:left w:w="150" w:type="dxa"/>
              <w:right w:w="150" w:type="dxa"/>
            </w:tcMar>
          </w:tcPr>
          <w:p>
            <w:r>
              <w:t>Motif iconographique signature. Recontextualisé dans l'UI comme favicone, loader d'épisode et indicateur d'enregistrement studio.</w:t>
            </w:r>
          </w:p>
        </w:tc>
      </w:tr>
    </w:tbl>
    <w:p/>
    <w:p>
      <w:pPr>
        <w:keepNext/>
        <w:spacing w:before="360" w:after="160"/>
        <w:pBdr>
          <w:bottom w:val="single" w:sz="12" w:space="4" w:color="000000"/>
        </w:pBdr>
      </w:pPr>
      <w:r>
        <w:rPr>
          <w:rFonts w:ascii="Arial" w:hAnsi="Arial"/>
          <w:b/>
          <w:color w:val="000000"/>
          <w:sz w:val="30"/>
        </w:rPr>
        <w:t>2. Palette Palette Monochrome &amp; Tokens UI (Dark Mode Native)</w:t>
      </w:r>
    </w:p>
    <w:p>
      <w:r>
        <w:rPr>
          <w:color w:val="282828"/>
        </w:rPr>
        <w:t>Pour respecter scrupuleusement la marque, le site adopte un thème Dark Mode natif basé sur le Noir et le Blanc absolus. La hiérarchie visuelle est assurée par une échelle de gris neutres (Slate/Zinc) sans introduire de couleurs parasites.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0000"/>
            <w:tcMar>
              <w:top w:w="120" w:type="dxa"/>
              <w:bottom w:w="120" w:type="dxa"/>
              <w:left w:w="120" w:type="dxa"/>
              <w:right w:w="120" w:type="dxa"/>
            </w:tcMar>
          </w:tcPr>
          <w:p>
            <w:r>
              <w:rPr>
                <w:b/>
                <w:color w:val="FFFFFF"/>
              </w:rPr>
              <w:t>Nom du Token</w:t>
            </w:r>
          </w:p>
        </w:tc>
        <w:tc>
          <w:tcPr>
            <w:tcW w:type="dxa" w:w="2340"/>
            <w:shd w:fill="000000"/>
            <w:tcMar>
              <w:top w:w="120" w:type="dxa"/>
              <w:bottom w:w="120" w:type="dxa"/>
              <w:left w:w="120" w:type="dxa"/>
              <w:right w:w="120" w:type="dxa"/>
            </w:tcMar>
          </w:tcPr>
          <w:p>
            <w:r>
              <w:rPr>
                <w:b/>
                <w:color w:val="FFFFFF"/>
              </w:rPr>
              <w:t>Code Hex</w:t>
            </w:r>
          </w:p>
        </w:tc>
        <w:tc>
          <w:tcPr>
            <w:tcW w:type="dxa" w:w="2340"/>
            <w:shd w:fill="000000"/>
            <w:tcMar>
              <w:top w:w="120" w:type="dxa"/>
              <w:bottom w:w="120" w:type="dxa"/>
              <w:left w:w="120" w:type="dxa"/>
              <w:right w:w="120" w:type="dxa"/>
            </w:tcMar>
          </w:tcPr>
          <w:p>
            <w:r>
              <w:rPr>
                <w:b/>
                <w:color w:val="FFFFFF"/>
              </w:rPr>
              <w:t>Rôle UI &amp; Emplacement</w:t>
            </w:r>
          </w:p>
        </w:tc>
        <w:tc>
          <w:tcPr>
            <w:tcW w:type="dxa" w:w="2340"/>
            <w:shd w:fill="000000"/>
            <w:tcMar>
              <w:top w:w="120" w:type="dxa"/>
              <w:bottom w:w="120" w:type="dxa"/>
              <w:left w:w="120" w:type="dxa"/>
              <w:right w:w="120" w:type="dxa"/>
            </w:tcMar>
          </w:tcPr>
          <w:p>
            <w:r>
              <w:rPr>
                <w:b/>
                <w:color w:val="FFFFFF"/>
              </w:rPr>
              <w:t>Contraste / Norme</w:t>
            </w:r>
          </w:p>
        </w:tc>
      </w:tr>
      <w:tr>
        <w:tc>
          <w:tcPr>
            <w:tcW w:type="dxa" w:w="2592"/>
            <w:shd w:fill="F4F4F5"/>
            <w:tcMar>
              <w:top w:w="100" w:type="dxa"/>
              <w:bottom w:w="100" w:type="dxa"/>
              <w:left w:w="100" w:type="dxa"/>
              <w:right w:w="100" w:type="dxa"/>
            </w:tcMar>
          </w:tcPr>
          <w:p>
            <w:r>
              <w:rPr>
                <w:b/>
              </w:rPr>
              <w:t>Background Pure Dark</w:t>
            </w:r>
          </w:p>
        </w:tc>
        <w:tc>
          <w:tcPr>
            <w:tcW w:type="dxa" w:w="1584"/>
            <w:shd w:fill="F4F4F5"/>
            <w:tcMar>
              <w:top w:w="100" w:type="dxa"/>
              <w:bottom w:w="100" w:type="dxa"/>
              <w:left w:w="100" w:type="dxa"/>
              <w:right w:w="100" w:type="dxa"/>
            </w:tcMar>
          </w:tcPr>
          <w:p>
            <w:r>
              <w:rPr>
                <w:rFonts w:ascii="Courier New" w:hAnsi="Courier New"/>
              </w:rPr>
              <w:t>#000000</w:t>
            </w:r>
          </w:p>
        </w:tc>
        <w:tc>
          <w:tcPr>
            <w:tcW w:type="dxa" w:w="3456"/>
            <w:shd w:fill="F4F4F5"/>
            <w:tcMar>
              <w:top w:w="100" w:type="dxa"/>
              <w:bottom w:w="100" w:type="dxa"/>
              <w:left w:w="100" w:type="dxa"/>
              <w:right w:w="100" w:type="dxa"/>
            </w:tcMar>
          </w:tcPr>
          <w:p>
            <w:r>
              <w:t>Arrière-plan principal du site &amp; section Hero</w:t>
            </w:r>
          </w:p>
        </w:tc>
        <w:tc>
          <w:tcPr>
            <w:tcW w:type="dxa" w:w="1728"/>
            <w:shd w:fill="F4F4F5"/>
            <w:tcMar>
              <w:top w:w="100" w:type="dxa"/>
              <w:bottom w:w="100" w:type="dxa"/>
              <w:left w:w="100" w:type="dxa"/>
              <w:right w:w="100" w:type="dxa"/>
            </w:tcMar>
          </w:tcPr>
          <w:p>
            <w:r>
              <w:t>21:1 vs Blanc</w:t>
            </w:r>
          </w:p>
        </w:tc>
      </w:tr>
      <w:tr>
        <w:tc>
          <w:tcPr>
            <w:tcW w:type="dxa" w:w="2592"/>
            <w:shd w:fill="FFFFFF"/>
            <w:tcMar>
              <w:top w:w="100" w:type="dxa"/>
              <w:bottom w:w="100" w:type="dxa"/>
              <w:left w:w="100" w:type="dxa"/>
              <w:right w:w="100" w:type="dxa"/>
            </w:tcMar>
          </w:tcPr>
          <w:p>
            <w:r>
              <w:rPr>
                <w:b/>
              </w:rPr>
              <w:t>Card / Container Dark</w:t>
            </w:r>
          </w:p>
        </w:tc>
        <w:tc>
          <w:tcPr>
            <w:tcW w:type="dxa" w:w="1584"/>
            <w:shd w:fill="FFFFFF"/>
            <w:tcMar>
              <w:top w:w="100" w:type="dxa"/>
              <w:bottom w:w="100" w:type="dxa"/>
              <w:left w:w="100" w:type="dxa"/>
              <w:right w:w="100" w:type="dxa"/>
            </w:tcMar>
          </w:tcPr>
          <w:p>
            <w:r>
              <w:rPr>
                <w:rFonts w:ascii="Courier New" w:hAnsi="Courier New"/>
              </w:rPr>
              <w:t>#09090B</w:t>
            </w:r>
          </w:p>
        </w:tc>
        <w:tc>
          <w:tcPr>
            <w:tcW w:type="dxa" w:w="3456"/>
            <w:shd w:fill="FFFFFF"/>
            <w:tcMar>
              <w:top w:w="100" w:type="dxa"/>
              <w:bottom w:w="100" w:type="dxa"/>
              <w:left w:w="100" w:type="dxa"/>
              <w:right w:w="100" w:type="dxa"/>
            </w:tcMar>
          </w:tcPr>
          <w:p>
            <w:r>
              <w:t>Fond des cartes d'épisodes, formulaires et conteneurs</w:t>
            </w:r>
          </w:p>
        </w:tc>
        <w:tc>
          <w:tcPr>
            <w:tcW w:type="dxa" w:w="1728"/>
            <w:shd w:fill="FFFFFF"/>
            <w:tcMar>
              <w:top w:w="100" w:type="dxa"/>
              <w:bottom w:w="100" w:type="dxa"/>
              <w:left w:w="100" w:type="dxa"/>
              <w:right w:w="100" w:type="dxa"/>
            </w:tcMar>
          </w:tcPr>
          <w:p>
            <w:r>
              <w:t>Hiérarchie de profondeur</w:t>
            </w:r>
          </w:p>
        </w:tc>
      </w:tr>
      <w:tr>
        <w:tc>
          <w:tcPr>
            <w:tcW w:type="dxa" w:w="2592"/>
            <w:shd w:fill="F4F4F5"/>
            <w:tcMar>
              <w:top w:w="100" w:type="dxa"/>
              <w:bottom w:w="100" w:type="dxa"/>
              <w:left w:w="100" w:type="dxa"/>
              <w:right w:w="100" w:type="dxa"/>
            </w:tcMar>
          </w:tcPr>
          <w:p>
            <w:r>
              <w:rPr>
                <w:b/>
              </w:rPr>
              <w:t>Text Primary (Pure White)</w:t>
            </w:r>
          </w:p>
        </w:tc>
        <w:tc>
          <w:tcPr>
            <w:tcW w:type="dxa" w:w="1584"/>
            <w:shd w:fill="F4F4F5"/>
            <w:tcMar>
              <w:top w:w="100" w:type="dxa"/>
              <w:bottom w:w="100" w:type="dxa"/>
              <w:left w:w="100" w:type="dxa"/>
              <w:right w:w="100" w:type="dxa"/>
            </w:tcMar>
          </w:tcPr>
          <w:p>
            <w:r>
              <w:rPr>
                <w:rFonts w:ascii="Courier New" w:hAnsi="Courier New"/>
              </w:rPr>
              <w:t>#FFFFFF</w:t>
            </w:r>
          </w:p>
        </w:tc>
        <w:tc>
          <w:tcPr>
            <w:tcW w:type="dxa" w:w="3456"/>
            <w:shd w:fill="F4F4F5"/>
            <w:tcMar>
              <w:top w:w="100" w:type="dxa"/>
              <w:bottom w:w="100" w:type="dxa"/>
              <w:left w:w="100" w:type="dxa"/>
              <w:right w:w="100" w:type="dxa"/>
            </w:tcMar>
          </w:tcPr>
          <w:p>
            <w:r>
              <w:t>Titres H1/H2/H3, textes principaux et logo</w:t>
            </w:r>
          </w:p>
        </w:tc>
        <w:tc>
          <w:tcPr>
            <w:tcW w:type="dxa" w:w="1728"/>
            <w:shd w:fill="F4F4F5"/>
            <w:tcMar>
              <w:top w:w="100" w:type="dxa"/>
              <w:bottom w:w="100" w:type="dxa"/>
              <w:left w:w="100" w:type="dxa"/>
              <w:right w:w="100" w:type="dxa"/>
            </w:tcMar>
          </w:tcPr>
          <w:p>
            <w:r>
              <w:t>Accessibilité WCAG AAA</w:t>
            </w:r>
          </w:p>
        </w:tc>
      </w:tr>
      <w:tr>
        <w:tc>
          <w:tcPr>
            <w:tcW w:type="dxa" w:w="2592"/>
            <w:shd w:fill="FFFFFF"/>
            <w:tcMar>
              <w:top w:w="100" w:type="dxa"/>
              <w:bottom w:w="100" w:type="dxa"/>
              <w:left w:w="100" w:type="dxa"/>
              <w:right w:w="100" w:type="dxa"/>
            </w:tcMar>
          </w:tcPr>
          <w:p>
            <w:r>
              <w:rPr>
                <w:b/>
              </w:rPr>
              <w:t>Text Muted / Subtitle</w:t>
            </w:r>
          </w:p>
        </w:tc>
        <w:tc>
          <w:tcPr>
            <w:tcW w:type="dxa" w:w="1584"/>
            <w:shd w:fill="FFFFFF"/>
            <w:tcMar>
              <w:top w:w="100" w:type="dxa"/>
              <w:bottom w:w="100" w:type="dxa"/>
              <w:left w:w="100" w:type="dxa"/>
              <w:right w:w="100" w:type="dxa"/>
            </w:tcMar>
          </w:tcPr>
          <w:p>
            <w:r>
              <w:rPr>
                <w:rFonts w:ascii="Courier New" w:hAnsi="Courier New"/>
              </w:rPr>
              <w:t>#A1A1AA</w:t>
            </w:r>
          </w:p>
        </w:tc>
        <w:tc>
          <w:tcPr>
            <w:tcW w:type="dxa" w:w="3456"/>
            <w:shd w:fill="FFFFFF"/>
            <w:tcMar>
              <w:top w:w="100" w:type="dxa"/>
              <w:bottom w:w="100" w:type="dxa"/>
              <w:left w:w="100" w:type="dxa"/>
              <w:right w:w="100" w:type="dxa"/>
            </w:tcMar>
          </w:tcPr>
          <w:p>
            <w:r>
              <w:t>Métadonnées (durée vidéo, date, nom de l'invité)</w:t>
            </w:r>
          </w:p>
        </w:tc>
        <w:tc>
          <w:tcPr>
            <w:tcW w:type="dxa" w:w="1728"/>
            <w:shd w:fill="FFFFFF"/>
            <w:tcMar>
              <w:top w:w="100" w:type="dxa"/>
              <w:bottom w:w="100" w:type="dxa"/>
              <w:left w:w="100" w:type="dxa"/>
              <w:right w:w="100" w:type="dxa"/>
            </w:tcMar>
          </w:tcPr>
          <w:p>
            <w:r>
              <w:t>Gris zinc neutre</w:t>
            </w:r>
          </w:p>
        </w:tc>
      </w:tr>
      <w:tr>
        <w:tc>
          <w:tcPr>
            <w:tcW w:type="dxa" w:w="2592"/>
            <w:shd w:fill="F4F4F5"/>
            <w:tcMar>
              <w:top w:w="100" w:type="dxa"/>
              <w:bottom w:w="100" w:type="dxa"/>
              <w:left w:w="100" w:type="dxa"/>
              <w:right w:w="100" w:type="dxa"/>
            </w:tcMar>
          </w:tcPr>
          <w:p>
            <w:r>
              <w:rPr>
                <w:b/>
              </w:rPr>
              <w:t>Border &amp; Divider Slate</w:t>
            </w:r>
          </w:p>
        </w:tc>
        <w:tc>
          <w:tcPr>
            <w:tcW w:type="dxa" w:w="1584"/>
            <w:shd w:fill="F4F4F5"/>
            <w:tcMar>
              <w:top w:w="100" w:type="dxa"/>
              <w:bottom w:w="100" w:type="dxa"/>
              <w:left w:w="100" w:type="dxa"/>
              <w:right w:w="100" w:type="dxa"/>
            </w:tcMar>
          </w:tcPr>
          <w:p>
            <w:r>
              <w:rPr>
                <w:rFonts w:ascii="Courier New" w:hAnsi="Courier New"/>
              </w:rPr>
              <w:t>#27272A</w:t>
            </w:r>
          </w:p>
        </w:tc>
        <w:tc>
          <w:tcPr>
            <w:tcW w:type="dxa" w:w="3456"/>
            <w:shd w:fill="F4F4F5"/>
            <w:tcMar>
              <w:top w:w="100" w:type="dxa"/>
              <w:bottom w:w="100" w:type="dxa"/>
              <w:left w:w="100" w:type="dxa"/>
              <w:right w:w="100" w:type="dxa"/>
            </w:tcMar>
          </w:tcPr>
          <w:p>
            <w:r>
              <w:t>Lignes de séparation, bordures de cartes et inputs</w:t>
            </w:r>
          </w:p>
        </w:tc>
        <w:tc>
          <w:tcPr>
            <w:tcW w:type="dxa" w:w="1728"/>
            <w:shd w:fill="F4F4F5"/>
            <w:tcMar>
              <w:top w:w="100" w:type="dxa"/>
              <w:bottom w:w="100" w:type="dxa"/>
              <w:left w:w="100" w:type="dxa"/>
              <w:right w:w="100" w:type="dxa"/>
            </w:tcMar>
          </w:tcPr>
          <w:p>
            <w:r>
              <w:t>Bordures haute précision</w:t>
            </w:r>
          </w:p>
        </w:tc>
      </w:tr>
    </w:tbl>
    <w:p/>
    <w:p>
      <w:pPr>
        <w:keepNext/>
        <w:spacing w:before="360" w:after="160"/>
        <w:pBdr>
          <w:bottom w:val="single" w:sz="12" w:space="4" w:color="000000"/>
        </w:pBdr>
      </w:pPr>
      <w:r>
        <w:rPr>
          <w:rFonts w:ascii="Arial" w:hAnsi="Arial"/>
          <w:b/>
          <w:color w:val="000000"/>
          <w:sz w:val="30"/>
        </w:rPr>
        <w:t>3. Intégration des Composants 21st.dev en Style Monochrome Ultra-Clean</w:t>
      </w:r>
    </w:p>
    <w:p>
      <w:r>
        <w:rPr>
          <w:color w:val="282828"/>
        </w:rPr>
        <w:t>Les composants issus de la bibliothèque 21st.dev sont déclinés dans une esthétique 'Minimal Dark' haut de gamme (combinaison de Shadcn UI, Tailwind CSS et Framer Motion) :</w:t>
      </w:r>
    </w:p>
    <w:p>
      <w:pPr>
        <w:spacing w:after="80"/>
        <w:ind w:left="360"/>
      </w:pPr>
      <w:r>
        <w:rPr>
          <w:b/>
          <w:color w:val="000000"/>
        </w:rPr>
        <w:t xml:space="preserve">• Vercel / Waitlist Hero (21st.dev) : </w:t>
      </w:r>
      <w:r>
        <w:rPr>
          <w:color w:val="282828"/>
        </w:rPr>
        <w:t>Fond noir pur avec effet de grille subtil, bouton principal Shimmer Blanc (#FFFFFF) avec texte noir (#000000) et effet de survol lumineux.</w:t>
      </w:r>
    </w:p>
    <w:p>
      <w:pPr>
        <w:spacing w:after="80"/>
        <w:ind w:left="360"/>
      </w:pPr>
      <w:r>
        <w:rPr>
          <w:b/>
          <w:color w:val="000000"/>
        </w:rPr>
        <w:t xml:space="preserve">• Interactive Video Player Dialog : </w:t>
      </w:r>
      <w:r>
        <w:rPr>
          <w:color w:val="282828"/>
        </w:rPr>
        <w:t>Modal sombre épuré pour lire les podcasts (Stan Zézé, Richard Odjrado) avec intégration des fiches de synthèse en texte blanc sur fond noir.</w:t>
      </w:r>
    </w:p>
    <w:p>
      <w:pPr>
        <w:spacing w:after="80"/>
        <w:ind w:left="360"/>
      </w:pPr>
      <w:r>
        <w:rPr>
          <w:b/>
          <w:color w:val="000000"/>
        </w:rPr>
        <w:t xml:space="preserve">• Studio Booking Calendar Grid : </w:t>
      </w:r>
      <w:r>
        <w:rPr>
          <w:color w:val="282828"/>
        </w:rPr>
        <w:t>Interface de réservation pour les studios de Cotonou et Abidjan avec sélecteur de créneaux monochromes et états 'Sélectionné' en blanc inverse.</w:t>
      </w:r>
    </w:p>
    <w:p>
      <w:pPr>
        <w:spacing w:after="80"/>
        <w:ind w:left="360"/>
      </w:pPr>
      <w:r>
        <w:rPr>
          <w:b/>
          <w:color w:val="000000"/>
        </w:rPr>
        <w:t xml:space="preserve">• B2B Sponsor ROI Calculator : </w:t>
      </w:r>
      <w:r>
        <w:rPr>
          <w:color w:val="282828"/>
        </w:rPr>
        <w:t>Curseurs de budget personnalisés (500k CFA, 1M+ CFA) avec cartes d'impact au design épuré sans distractions visuelles.</w:t>
      </w:r>
    </w:p>
    <w:p>
      <w:pPr>
        <w:spacing w:after="80"/>
        <w:ind w:left="360"/>
      </w:pPr>
      <w:r>
        <w:rPr>
          <w:b/>
          <w:color w:val="000000"/>
        </w:rPr>
        <w:t xml:space="preserve">• Floating Audio/Video Player : </w:t>
      </w:r>
      <w:r>
        <w:rPr>
          <w:color w:val="282828"/>
        </w:rPr>
        <w:t>Barre flottante en bas d'écran avec contrôles d'écoute minimalistes et waveform animée en blanc pur.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PodLab Media | 1er Média Business d'Afrique Francophone — Document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PODLAB MEDIA — CHARTE GRAPHIQUE &amp; DESIGN SYSTEM (MONOCHROME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