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21212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48"/>
          <w:szCs w:val="48"/>
          <w:rtl w:val="0"/>
        </w:rPr>
        <w:t xml:space="preserve">SDK Manager  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Software Development Kit</w:t>
      </w: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jc w:val="both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Herramienta que permite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yellow"/>
          <w:rtl w:val="0"/>
        </w:rPr>
        <w:t xml:space="preserve">ver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green"/>
          <w:rtl w:val="0"/>
        </w:rPr>
        <w:t xml:space="preserve">instalar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yellow"/>
          <w:rtl w:val="0"/>
        </w:rPr>
        <w:t xml:space="preserve">actualizar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green"/>
          <w:rtl w:val="0"/>
        </w:rPr>
        <w:t xml:space="preserve">desinstalar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paquetes para el SDK de Android.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jc w:val="both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jc w:val="both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En este ejemplo, instalaremos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 API 19 (Kitkat)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1409700" cy="1325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493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2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9972000" cy="46228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462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891713" cy="669173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1713" cy="669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9844002" cy="67218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4002" cy="672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72000" cy="684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0038" cy="2609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6534" l="0" r="2815" t="7297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