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Producto N°10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Actividad de evaluación:</w:t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Informe: Plan de mejora. Acciones y actividades a realizar</w:t>
      </w:r>
    </w:p>
    <w:p w:rsidR="00000000" w:rsidDel="00000000" w:rsidP="00000000" w:rsidRDefault="00000000" w:rsidRPr="00000000" w14:paraId="00000005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1066800</wp:posOffset>
                </wp:positionV>
                <wp:extent cx="2213610" cy="248912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43958" y="2540202"/>
                          <a:ext cx="2204085" cy="247959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5">
                            <a:alpha val="49411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33.00000190734863" w:right="0" w:firstLine="133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Informe: Plan de mejora. Acciones y actividades a realizar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1066800</wp:posOffset>
                </wp:positionV>
                <wp:extent cx="2213610" cy="2489124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3610" cy="2489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25400</wp:posOffset>
                </wp:positionV>
                <wp:extent cx="449580" cy="7188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40260" y="3439640"/>
                          <a:ext cx="411480" cy="68072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5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25400</wp:posOffset>
                </wp:positionV>
                <wp:extent cx="449580" cy="71882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" cy="718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9" w:type="default"/>
      <w:pgSz w:h="16838" w:w="11906" w:orient="portrait"/>
      <w:pgMar w:bottom="1417" w:top="1417" w:left="1701" w:right="1701" w:header="27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ind w:left="-566" w:hanging="85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-885823</wp:posOffset>
          </wp:positionH>
          <wp:positionV relativeFrom="paragraph">
            <wp:posOffset>9525</wp:posOffset>
          </wp:positionV>
          <wp:extent cx="2982595" cy="42545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7112" r="0" t="0"/>
                  <a:stretch>
                    <a:fillRect/>
                  </a:stretch>
                </pic:blipFill>
                <pic:spPr>
                  <a:xfrm>
                    <a:off x="0" y="0"/>
                    <a:ext cx="2982595" cy="425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A5zuo6WWxdPH9PjOoFt/MWbmw==">AMUW2mUKCO+wG9zgG0sz7C3cVuYX/yTw5tcloj85tUQyrcOLZagSVQvV7ZVTZV6CQup6kYYujoxr1gCJymuZiHVqpQqxtaTt2CIAC1W/+wm9EH9LRbcTpWI=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2021-08-23T07:06:00Z</dcterms:created>
  <dc:creator>Katherine Johanna Toribio Polo</dc:creator>
</cp:coreProperties>
</file>