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line="320" w:lineRule="auto"/>
        <w:jc w:val="center"/>
      </w:pPr>
      <w:r>
        <w:rPr>
          <w:rFonts w:ascii="Calibri" w:hAnsi="Calibri"/>
          <w:b/>
          <w:i w:val="0"/>
          <w:color w:val="5A6370"/>
          <w:sz w:val="24"/>
        </w:rPr>
        <w:t>Performance Evaluation System</w:t>
      </w:r>
    </w:p>
    <w:p>
      <w:pPr>
        <w:spacing w:before="0" w:after="120" w:line="240" w:lineRule="auto"/>
        <w:jc w:val="center"/>
      </w:pPr>
      <w:r>
        <w:rPr>
          <w:rFonts w:ascii="Calibri" w:hAnsi="Calibri"/>
          <w:b/>
          <w:color w:val="0B2545"/>
          <w:sz w:val="48"/>
        </w:rPr>
        <w:t>AI Assistant Implementation Report</w:t>
      </w:r>
    </w:p>
    <w:p>
      <w:pPr>
        <w:spacing w:before="0" w:after="440" w:line="276" w:lineRule="auto"/>
        <w:jc w:val="center"/>
      </w:pPr>
      <w:r>
        <w:rPr>
          <w:rFonts w:ascii="Calibri" w:hAnsi="Calibri"/>
          <w:color w:val="5A6370"/>
          <w:sz w:val="27"/>
        </w:rPr>
        <w:t>A practical design for a faculty-aware, data-grounded academic guidance chatbot</w:t>
      </w:r>
    </w:p>
    <w:tbl>
      <w:tblPr>
        <w:tblW w:type="dxa" w:w="9360"/>
        <w:jc w:val="left"/>
        <w:tblLayout w:type="fixed"/>
        <w:tblLook w:firstColumn="1" w:firstRow="1" w:lastColumn="0" w:lastRow="0" w:noHBand="0" w:noVBand="1" w:val="04A0"/>
        <w:tblInd w:w="120" w:type="dxa"/>
        <w:tblBorders>
          <w:top w:val="single" w:sz="4" w:space="0" w:color="D9E2EF"/>
          <w:left w:val="single" w:sz="4" w:space="0" w:color="D9E2EF"/>
          <w:bottom w:val="single" w:sz="4" w:space="0" w:color="D9E2EF"/>
          <w:right w:val="single" w:sz="4" w:space="0" w:color="D9E2EF"/>
          <w:insideH w:val="single" w:sz="4" w:space="0" w:color="D9E2EF"/>
          <w:insideV w:val="single" w:sz="4" w:space="0" w:color="D9E2EF"/>
        </w:tblBorders>
      </w:tblPr>
      <w:tblGrid>
        <w:gridCol w:w="4680"/>
        <w:gridCol w:w="4680"/>
      </w:tblGrid>
      <w:tr>
        <w:tc>
          <w:tcPr>
            <w:tcW w:type="dxa" w:w="4680"/>
            <w:tcMar>
              <w:top w:w="80" w:type="dxa"/>
              <w:start w:w="120" w:type="dxa"/>
              <w:bottom w:w="80" w:type="dxa"/>
              <w:end w:w="120" w:type="dxa"/>
            </w:tcMar>
            <w:vAlign w:val="top"/>
            <w:shd w:fill="F4F6F9"/>
          </w:tcPr>
          <w:p>
            <w:pPr>
              <w:spacing w:before="0" w:after="0" w:line="264" w:lineRule="auto"/>
            </w:pPr>
            <w:r>
              <w:rPr>
                <w:rFonts w:ascii="Calibri" w:hAnsi="Calibri"/>
                <w:b/>
                <w:color w:val="1F4D78"/>
                <w:sz w:val="20"/>
              </w:rPr>
              <w:t>Prepared for</w:t>
            </w:r>
          </w:p>
        </w:tc>
        <w:tc>
          <w:tcPr>
            <w:tcW w:type="dxa" w:w="4680"/>
            <w:tcMar>
              <w:top w:w="80" w:type="dxa"/>
              <w:start w:w="120" w:type="dxa"/>
              <w:bottom w:w="80" w:type="dxa"/>
              <w:end w:w="120" w:type="dxa"/>
            </w:tcMar>
            <w:vAlign w:val="top"/>
            <w:shd w:fill="F4F6F9"/>
          </w:tcPr>
          <w:p>
            <w:pPr>
              <w:spacing w:before="0" w:after="0" w:line="264" w:lineRule="auto"/>
            </w:pPr>
            <w:r>
              <w:rPr>
                <w:rFonts w:ascii="Calibri" w:hAnsi="Calibri"/>
                <w:color w:val="0B2545"/>
                <w:sz w:val="20"/>
              </w:rPr>
              <w:t>CO3554 Data Management Project</w:t>
            </w:r>
          </w:p>
        </w:tc>
      </w:tr>
      <w:tr>
        <w:tc>
          <w:tcPr>
            <w:tcW w:type="dxa" w:w="4680"/>
            <w:tcMar>
              <w:top w:w="80" w:type="dxa"/>
              <w:start w:w="120" w:type="dxa"/>
              <w:bottom w:w="80" w:type="dxa"/>
              <w:end w:w="120" w:type="dxa"/>
            </w:tcMar>
            <w:vAlign w:val="top"/>
            <w:shd w:fill="FFFFFF"/>
          </w:tcPr>
          <w:p>
            <w:pPr>
              <w:spacing w:before="0" w:after="0" w:line="264" w:lineRule="auto"/>
            </w:pPr>
            <w:r>
              <w:rPr>
                <w:rFonts w:ascii="Calibri" w:hAnsi="Calibri"/>
                <w:b/>
                <w:color w:val="1F4D78"/>
                <w:sz w:val="20"/>
              </w:rPr>
              <w:t>Prepared by</w:t>
            </w:r>
          </w:p>
        </w:tc>
        <w:tc>
          <w:tcPr>
            <w:tcW w:type="dxa" w:w="4680"/>
            <w:tcMar>
              <w:top w:w="80" w:type="dxa"/>
              <w:start w:w="120" w:type="dxa"/>
              <w:bottom w:w="80" w:type="dxa"/>
              <w:end w:w="120" w:type="dxa"/>
            </w:tcMar>
            <w:vAlign w:val="top"/>
            <w:shd w:fill="FFFFFF"/>
          </w:tcPr>
          <w:p>
            <w:pPr>
              <w:spacing w:before="0" w:after="0" w:line="264" w:lineRule="auto"/>
            </w:pPr>
            <w:r>
              <w:rPr>
                <w:rFonts w:ascii="Calibri" w:hAnsi="Calibri"/>
                <w:color w:val="0B2545"/>
                <w:sz w:val="20"/>
              </w:rPr>
              <w:t>K. M. L. N. Senadheera | 22/ENG/079 | EN108953</w:t>
            </w:r>
          </w:p>
        </w:tc>
      </w:tr>
      <w:tr>
        <w:tc>
          <w:tcPr>
            <w:tcW w:type="dxa" w:w="4680"/>
            <w:tcMar>
              <w:top w:w="80" w:type="dxa"/>
              <w:start w:w="120" w:type="dxa"/>
              <w:bottom w:w="80" w:type="dxa"/>
              <w:end w:w="120" w:type="dxa"/>
            </w:tcMar>
            <w:vAlign w:val="top"/>
            <w:shd w:fill="FFFFFF"/>
          </w:tcPr>
          <w:p>
            <w:pPr>
              <w:spacing w:before="0" w:after="0" w:line="264" w:lineRule="auto"/>
            </w:pPr>
            <w:r>
              <w:rPr>
                <w:rFonts w:ascii="Calibri" w:hAnsi="Calibri"/>
                <w:b/>
                <w:color w:val="1F4D78"/>
                <w:sz w:val="20"/>
              </w:rPr>
              <w:t>Source basis</w:t>
            </w:r>
          </w:p>
        </w:tc>
        <w:tc>
          <w:tcPr>
            <w:tcW w:type="dxa" w:w="4680"/>
            <w:tcMar>
              <w:top w:w="80" w:type="dxa"/>
              <w:start w:w="120" w:type="dxa"/>
              <w:bottom w:w="80" w:type="dxa"/>
              <w:end w:w="120" w:type="dxa"/>
            </w:tcMar>
            <w:vAlign w:val="top"/>
            <w:shd w:fill="FFFFFF"/>
          </w:tcPr>
          <w:p>
            <w:pPr>
              <w:spacing w:before="0" w:after="0" w:line="264" w:lineRule="auto"/>
            </w:pPr>
            <w:r>
              <w:rPr>
                <w:rFonts w:ascii="Calibri" w:hAnsi="Calibri"/>
                <w:color w:val="0B2545"/>
                <w:sz w:val="20"/>
              </w:rPr>
              <w:t>Project proposal report, Faculty Handbook 2026, and current Supabase-centered PES design</w:t>
            </w:r>
          </w:p>
        </w:tc>
      </w:tr>
      <w:tr>
        <w:tc>
          <w:tcPr>
            <w:tcW w:type="dxa" w:w="4680"/>
            <w:tcMar>
              <w:top w:w="80" w:type="dxa"/>
              <w:start w:w="120" w:type="dxa"/>
              <w:bottom w:w="80" w:type="dxa"/>
              <w:end w:w="120" w:type="dxa"/>
            </w:tcMar>
            <w:vAlign w:val="top"/>
            <w:shd w:fill="FFFFFF"/>
          </w:tcPr>
          <w:p>
            <w:pPr>
              <w:spacing w:before="0" w:after="0" w:line="264" w:lineRule="auto"/>
            </w:pPr>
            <w:r>
              <w:rPr>
                <w:rFonts w:ascii="Calibri" w:hAnsi="Calibri"/>
                <w:b/>
                <w:color w:val="1F4D78"/>
                <w:sz w:val="20"/>
              </w:rPr>
              <w:t>Date</w:t>
            </w:r>
          </w:p>
        </w:tc>
        <w:tc>
          <w:tcPr>
            <w:tcW w:type="dxa" w:w="4680"/>
            <w:tcMar>
              <w:top w:w="80" w:type="dxa"/>
              <w:start w:w="120" w:type="dxa"/>
              <w:bottom w:w="80" w:type="dxa"/>
              <w:end w:w="120" w:type="dxa"/>
            </w:tcMar>
            <w:vAlign w:val="top"/>
            <w:shd w:fill="FFFFFF"/>
          </w:tcPr>
          <w:p>
            <w:pPr>
              <w:spacing w:before="0" w:after="0" w:line="264" w:lineRule="auto"/>
            </w:pPr>
            <w:r>
              <w:rPr>
                <w:rFonts w:ascii="Calibri" w:hAnsi="Calibri"/>
                <w:color w:val="0B2545"/>
                <w:sz w:val="20"/>
              </w:rPr>
              <w:t>July 2026</w:t>
            </w:r>
          </w:p>
        </w:tc>
      </w:tr>
    </w:tbl>
    <w:p>
      <w:pPr>
        <w:spacing w:before="0" w:after="280" w:line="320" w:lineRule="auto"/>
      </w:pPr>
      <w:r>
        <w:rPr>
          <w:rFonts w:ascii="Calibri" w:hAnsi="Calibri"/>
          <w:b w:val="0"/>
          <w:i w:val="0"/>
          <w:color w:val="0B2545"/>
          <w:sz w:val="22"/>
        </w:rPr>
      </w:r>
    </w:p>
    <w:p>
      <w:pPr>
        <w:spacing w:before="0" w:after="160" w:line="320" w:lineRule="auto"/>
      </w:pPr>
      <w:r>
        <w:rPr>
          <w:rFonts w:ascii="Calibri" w:hAnsi="Calibri"/>
          <w:b w:val="0"/>
          <w:i w:val="0"/>
          <w:color w:val="0B2545"/>
          <w:sz w:val="22"/>
        </w:rPr>
        <w:t>This report converts the proposed AI assistant feature into an implementation-ready design. It explains the correct system architecture, data foundation, query workflows, GPA planning logic, security model, evaluation method, and phased roadmap needed to build a trustworthy assistant for engineering students and faculty users.</w:t>
      </w:r>
    </w:p>
    <w:p>
      <w:r>
        <w:br w:type="page"/>
      </w:r>
    </w:p>
    <w:p>
      <w:pPr>
        <w:pStyle w:val="Heading1"/>
      </w:pPr>
      <w:r>
        <w:t>1. Executive Summary</w:t>
      </w:r>
    </w:p>
    <w:p>
      <w:pPr>
        <w:spacing w:before="0" w:after="160" w:line="320" w:lineRule="auto"/>
      </w:pPr>
      <w:r>
        <w:rPr>
          <w:rFonts w:ascii="Calibri" w:hAnsi="Calibri"/>
          <w:b w:val="0"/>
          <w:i w:val="0"/>
          <w:color w:val="0B2545"/>
          <w:sz w:val="22"/>
        </w:rPr>
        <w:t>The AI assistant should be implemented as a controlled academic guidance layer on top of the existing Performance Evaluation System. Its purpose is not only to chat, but to answer faculty-specific questions using the official handbook, the structured Supabase database, and deterministic academic calculations. This means the assistant must know the student's department, batch, completed results, remaining curriculum, attendance status, and faculty rules before giving personalized advice.</w:t>
      </w:r>
    </w:p>
    <w:p>
      <w:pPr>
        <w:spacing w:before="0" w:after="160" w:line="320" w:lineRule="auto"/>
      </w:pPr>
      <w:r>
        <w:rPr>
          <w:rFonts w:ascii="Calibri" w:hAnsi="Calibri"/>
          <w:b w:val="0"/>
          <w:i w:val="0"/>
          <w:color w:val="0B2545"/>
          <w:sz w:val="22"/>
        </w:rPr>
        <w:t>The recommended design is a hybrid architecture: a Large Language Model for conversation, a Retrieval-Augmented Generation knowledge base for handbook explanations, Supabase tools for live student data, and verified calculation services for GPA, CGPA, eligibility, and target planning. This approach gives the system the flexibility of an AI chatbot while keeping academic answers grounded in authoritative data.</w:t>
      </w:r>
    </w:p>
    <w:p>
      <w:pPr>
        <w:pStyle w:val="Heading1"/>
      </w:pPr>
      <w:r>
        <w:t>2. Project Context</w:t>
      </w:r>
    </w:p>
    <w:p>
      <w:pPr>
        <w:spacing w:before="0" w:after="160" w:line="320" w:lineRule="auto"/>
      </w:pPr>
      <w:r>
        <w:rPr>
          <w:rFonts w:ascii="Calibri" w:hAnsi="Calibri"/>
          <w:b w:val="0"/>
          <w:i w:val="0"/>
          <w:color w:val="0B2545"/>
          <w:sz w:val="22"/>
        </w:rPr>
        <w:t>The current project proposal identifies the main weakness in the existing academic experience: students do not have a centralized, intelligent way to understand their performance, attendance eligibility, course progress, future semester subjects, minor/elective decisions, or risk level. The AI assistant is the feature that can connect these separate parts into one natural interface.</w:t>
      </w:r>
    </w:p>
    <w:p>
      <w:pPr>
        <w:spacing w:before="0" w:after="160" w:line="320" w:lineRule="auto"/>
      </w:pPr>
      <w:r>
        <w:rPr>
          <w:rFonts w:ascii="Calibri" w:hAnsi="Calibri"/>
          <w:b w:val="0"/>
          <w:i w:val="0"/>
          <w:color w:val="0B2545"/>
          <w:sz w:val="22"/>
        </w:rPr>
        <w:t>The Faculty Handbook 2026 is the official rule source for departments, course codes, semester structures, credits, GPA contribution, examination rules, Dean's List criteria, and degree classification. Supabase is the operational source for each student's actual records. The assistant must combine both sources carefully: the handbook explains the rules, while Supabase provides the student's personal facts.</w:t>
      </w:r>
    </w:p>
    <w:p>
      <w:pPr>
        <w:pStyle w:val="Heading1"/>
      </w:pPr>
      <w:r>
        <w:t>3. Primary Goals</w:t>
      </w:r>
    </w:p>
    <w:p>
      <w:pPr>
        <w:pStyle w:val="ListBullet"/>
        <w:spacing w:after="80" w:line="290" w:lineRule="auto"/>
        <w:ind w:left="540" w:hanging="279"/>
      </w:pPr>
      <w:r>
        <w:rPr>
          <w:rFonts w:ascii="Calibri" w:hAnsi="Calibri"/>
          <w:color w:val="0B2545"/>
          <w:sz w:val="22"/>
        </w:rPr>
        <w:t>Answer student questions about courses, semesters, credits, departments, GPA rules, repeat/resit rules, Dean's List eligibility, and graduation classification.</w:t>
      </w:r>
    </w:p>
    <w:p>
      <w:pPr>
        <w:pStyle w:val="ListBullet"/>
        <w:spacing w:after="80" w:line="290" w:lineRule="auto"/>
        <w:ind w:left="540" w:hanging="279"/>
      </w:pPr>
      <w:r>
        <w:rPr>
          <w:rFonts w:ascii="Calibri" w:hAnsi="Calibri"/>
          <w:color w:val="0B2545"/>
          <w:sz w:val="22"/>
        </w:rPr>
        <w:t>Provide personalized academic guidance based on the authenticated student's department, batch, results, attendance, and completed credits.</w:t>
      </w:r>
    </w:p>
    <w:p>
      <w:pPr>
        <w:pStyle w:val="ListBullet"/>
        <w:spacing w:after="80" w:line="290" w:lineRule="auto"/>
        <w:ind w:left="540" w:hanging="279"/>
      </w:pPr>
      <w:r>
        <w:rPr>
          <w:rFonts w:ascii="Calibri" w:hAnsi="Calibri"/>
          <w:color w:val="0B2545"/>
          <w:sz w:val="22"/>
        </w:rPr>
        <w:t>Calculate GPA and CGPA targets accurately using deterministic formulas rather than LLM-generated arithmetic.</w:t>
      </w:r>
    </w:p>
    <w:p>
      <w:pPr>
        <w:pStyle w:val="ListBullet"/>
        <w:spacing w:after="80" w:line="290" w:lineRule="auto"/>
        <w:ind w:left="540" w:hanging="279"/>
      </w:pPr>
      <w:r>
        <w:rPr>
          <w:rFonts w:ascii="Calibri" w:hAnsi="Calibri"/>
          <w:color w:val="0B2545"/>
          <w:sz w:val="22"/>
        </w:rPr>
        <w:t>Explain academic risk early, including low GPA trend, missing results, low attendance, prerequisite issues, and unrealistic target GPA scenarios.</w:t>
      </w:r>
    </w:p>
    <w:p>
      <w:pPr>
        <w:pStyle w:val="ListBullet"/>
        <w:spacing w:after="80" w:line="290" w:lineRule="auto"/>
        <w:ind w:left="540" w:hanging="279"/>
      </w:pPr>
      <w:r>
        <w:rPr>
          <w:rFonts w:ascii="Calibri" w:hAnsi="Calibri"/>
          <w:color w:val="0B2545"/>
          <w:sz w:val="22"/>
        </w:rPr>
        <w:t>Support faculty and admin users with controlled, role-based insights without exposing private student records.</w:t>
      </w:r>
    </w:p>
    <w:p>
      <w:pPr>
        <w:pStyle w:val="Heading1"/>
      </w:pPr>
      <w:r>
        <w:t>4. Recommended Architecture</w:t>
      </w:r>
    </w:p>
    <w:p>
      <w:pPr>
        <w:spacing w:before="0" w:after="160" w:line="320" w:lineRule="auto"/>
      </w:pPr>
      <w:r>
        <w:rPr>
          <w:rFonts w:ascii="Calibri" w:hAnsi="Calibri"/>
          <w:b w:val="0"/>
          <w:i w:val="0"/>
          <w:color w:val="0B2545"/>
          <w:sz w:val="22"/>
        </w:rPr>
        <w:t>The assistant should not be a single prompt connected directly to a PDF. It should be a set of controlled services where each part has a clear responsibility. The LLM should write the final explanation, but it should receive facts from trusted tools and retrieved handbook passages.</w:t>
      </w:r>
    </w:p>
    <w:tbl>
      <w:tblPr>
        <w:tblW w:type="dxa" w:w="9360"/>
        <w:tblLayout w:type="fixed"/>
        <w:tblLook w:firstColumn="1" w:firstRow="1" w:lastColumn="0" w:lastRow="0" w:noHBand="0" w:noVBand="1" w:val="04A0"/>
        <w:jc w:val="left"/>
        <w:tblInd w:w="120" w:type="dxa"/>
        <w:tblBorders>
          <w:top w:val="single" w:sz="4" w:space="0" w:color="D9E2EF"/>
          <w:left w:val="single" w:sz="4" w:space="0" w:color="D9E2EF"/>
          <w:bottom w:val="single" w:sz="4" w:space="0" w:color="D9E2EF"/>
          <w:right w:val="single" w:sz="4" w:space="0" w:color="D9E2EF"/>
          <w:insideH w:val="single" w:sz="4" w:space="0" w:color="D9E2EF"/>
          <w:insideV w:val="single" w:sz="4" w:space="0" w:color="D9E2EF"/>
        </w:tblBorders>
      </w:tblPr>
      <w:tblGrid>
        <w:gridCol w:w="1350"/>
        <w:gridCol w:w="3000"/>
        <w:gridCol w:w="5010"/>
      </w:tblGrid>
      <w:tr>
        <w:tc>
          <w:tcPr>
            <w:tcW w:type="dxa" w:w="1350"/>
            <w:tcMar>
              <w:top w:w="80" w:type="dxa"/>
              <w:start w:w="120" w:type="dxa"/>
              <w:bottom w:w="80" w:type="dxa"/>
              <w:end w:w="120" w:type="dxa"/>
            </w:tcMar>
            <w:vAlign w:val="top"/>
            <w:shd w:fill="F4F6F9"/>
          </w:tcPr>
          <w:p>
            <w:pPr>
              <w:spacing w:before="0" w:after="0" w:line="264" w:lineRule="auto"/>
            </w:pPr>
            <w:r>
              <w:rPr>
                <w:rFonts w:ascii="Calibri" w:hAnsi="Calibri"/>
                <w:b/>
                <w:color w:val="1F4D78"/>
                <w:sz w:val="20"/>
              </w:rPr>
              <w:t>Layer</w:t>
            </w:r>
          </w:p>
        </w:tc>
        <w:tc>
          <w:tcPr>
            <w:tcW w:type="dxa" w:w="3000"/>
            <w:tcMar>
              <w:top w:w="80" w:type="dxa"/>
              <w:start w:w="120" w:type="dxa"/>
              <w:bottom w:w="80" w:type="dxa"/>
              <w:end w:w="120" w:type="dxa"/>
            </w:tcMar>
            <w:vAlign w:val="top"/>
            <w:shd w:fill="F4F6F9"/>
          </w:tcPr>
          <w:p>
            <w:pPr>
              <w:spacing w:before="0" w:after="0" w:line="264" w:lineRule="auto"/>
            </w:pPr>
            <w:r>
              <w:rPr>
                <w:rFonts w:ascii="Calibri" w:hAnsi="Calibri"/>
                <w:b/>
                <w:color w:val="1F4D78"/>
                <w:sz w:val="20"/>
              </w:rPr>
              <w:t>Responsibility</w:t>
            </w:r>
          </w:p>
        </w:tc>
        <w:tc>
          <w:tcPr>
            <w:tcW w:type="dxa" w:w="5010"/>
            <w:tcMar>
              <w:top w:w="80" w:type="dxa"/>
              <w:start w:w="120" w:type="dxa"/>
              <w:bottom w:w="80" w:type="dxa"/>
              <w:end w:w="120" w:type="dxa"/>
            </w:tcMar>
            <w:vAlign w:val="top"/>
            <w:shd w:fill="F4F6F9"/>
          </w:tcPr>
          <w:p>
            <w:pPr>
              <w:spacing w:before="0" w:after="0" w:line="264" w:lineRule="auto"/>
            </w:pPr>
            <w:r>
              <w:rPr>
                <w:rFonts w:ascii="Calibri" w:hAnsi="Calibri"/>
                <w:b/>
                <w:color w:val="1F4D78"/>
                <w:sz w:val="20"/>
              </w:rPr>
              <w:t>Implementation Notes</w:t>
            </w:r>
          </w:p>
        </w:tc>
      </w:tr>
      <w:tr>
        <w:tc>
          <w:tcPr>
            <w:tcW w:type="dxa" w:w="1350"/>
            <w:tcMar>
              <w:top w:w="80" w:type="dxa"/>
              <w:start w:w="120" w:type="dxa"/>
              <w:bottom w:w="80" w:type="dxa"/>
              <w:end w:w="120" w:type="dxa"/>
            </w:tcMar>
            <w:vAlign w:val="top"/>
          </w:tcPr>
          <w:p>
            <w:pPr>
              <w:spacing w:before="0" w:after="0" w:line="264" w:lineRule="auto"/>
            </w:pPr>
            <w:r>
              <w:rPr>
                <w:rFonts w:ascii="Calibri" w:hAnsi="Calibri"/>
                <w:color w:val="0B2545"/>
                <w:sz w:val="19"/>
              </w:rPr>
              <w:t>Chat UI</w:t>
            </w:r>
          </w:p>
        </w:tc>
        <w:tc>
          <w:tcPr>
            <w:tcW w:type="dxa" w:w="3000"/>
            <w:tcMar>
              <w:top w:w="80" w:type="dxa"/>
              <w:start w:w="120" w:type="dxa"/>
              <w:bottom w:w="80" w:type="dxa"/>
              <w:end w:w="120" w:type="dxa"/>
            </w:tcMar>
            <w:vAlign w:val="top"/>
          </w:tcPr>
          <w:p>
            <w:pPr>
              <w:spacing w:before="0" w:after="0" w:line="264" w:lineRule="auto"/>
            </w:pPr>
            <w:r>
              <w:rPr>
                <w:rFonts w:ascii="Calibri" w:hAnsi="Calibri"/>
                <w:color w:val="0B2545"/>
                <w:sz w:val="19"/>
              </w:rPr>
              <w:t>Student and staff interface for asking academic questions.</w:t>
            </w:r>
          </w:p>
        </w:tc>
        <w:tc>
          <w:tcPr>
            <w:tcW w:type="dxa" w:w="5010"/>
            <w:tcMar>
              <w:top w:w="80" w:type="dxa"/>
              <w:start w:w="120" w:type="dxa"/>
              <w:bottom w:w="80" w:type="dxa"/>
              <w:end w:w="120" w:type="dxa"/>
            </w:tcMar>
            <w:vAlign w:val="top"/>
          </w:tcPr>
          <w:p>
            <w:pPr>
              <w:spacing w:before="0" w:after="0" w:line="264" w:lineRule="auto"/>
            </w:pPr>
            <w:r>
              <w:rPr>
                <w:rFonts w:ascii="Calibri" w:hAnsi="Calibri"/>
                <w:color w:val="0B2545"/>
                <w:sz w:val="19"/>
              </w:rPr>
              <w:t>React/TypeScript screen inside PES with conversation history, loading states, citations, and suggested follow-up questions.</w:t>
            </w:r>
          </w:p>
        </w:tc>
      </w:tr>
      <w:tr>
        <w:tc>
          <w:tcPr>
            <w:tcW w:type="dxa" w:w="1350"/>
            <w:tcMar>
              <w:top w:w="80" w:type="dxa"/>
              <w:start w:w="120" w:type="dxa"/>
              <w:bottom w:w="80" w:type="dxa"/>
              <w:end w:w="120" w:type="dxa"/>
            </w:tcMar>
            <w:vAlign w:val="top"/>
          </w:tcPr>
          <w:p>
            <w:pPr>
              <w:spacing w:before="0" w:after="0" w:line="264" w:lineRule="auto"/>
            </w:pPr>
            <w:r>
              <w:rPr>
                <w:rFonts w:ascii="Calibri" w:hAnsi="Calibri"/>
                <w:color w:val="0B2545"/>
                <w:sz w:val="19"/>
              </w:rPr>
              <w:t>AI Gateway API</w:t>
            </w:r>
          </w:p>
        </w:tc>
        <w:tc>
          <w:tcPr>
            <w:tcW w:type="dxa" w:w="3000"/>
            <w:tcMar>
              <w:top w:w="80" w:type="dxa"/>
              <w:start w:w="120" w:type="dxa"/>
              <w:bottom w:w="80" w:type="dxa"/>
              <w:end w:w="120" w:type="dxa"/>
            </w:tcMar>
            <w:vAlign w:val="top"/>
          </w:tcPr>
          <w:p>
            <w:pPr>
              <w:spacing w:before="0" w:after="0" w:line="264" w:lineRule="auto"/>
            </w:pPr>
            <w:r>
              <w:rPr>
                <w:rFonts w:ascii="Calibri" w:hAnsi="Calibri"/>
                <w:color w:val="0B2545"/>
                <w:sz w:val="19"/>
              </w:rPr>
              <w:t>Receives user messages, checks role, builds context, and coordinates tools.</w:t>
            </w:r>
          </w:p>
        </w:tc>
        <w:tc>
          <w:tcPr>
            <w:tcW w:type="dxa" w:w="5010"/>
            <w:tcMar>
              <w:top w:w="80" w:type="dxa"/>
              <w:start w:w="120" w:type="dxa"/>
              <w:bottom w:w="80" w:type="dxa"/>
              <w:end w:w="120" w:type="dxa"/>
            </w:tcMar>
            <w:vAlign w:val="top"/>
          </w:tcPr>
          <w:p>
            <w:pPr>
              <w:spacing w:before="0" w:after="0" w:line="264" w:lineRule="auto"/>
            </w:pPr>
            <w:r>
              <w:rPr>
                <w:rFonts w:ascii="Calibri" w:hAnsi="Calibri"/>
                <w:color w:val="0B2545"/>
                <w:sz w:val="19"/>
              </w:rPr>
              <w:t>Server-side route or edge function; never expose service role keys to the frontend.</w:t>
            </w:r>
          </w:p>
        </w:tc>
      </w:tr>
      <w:tr>
        <w:tc>
          <w:tcPr>
            <w:tcW w:type="dxa" w:w="1350"/>
            <w:tcMar>
              <w:top w:w="80" w:type="dxa"/>
              <w:start w:w="120" w:type="dxa"/>
              <w:bottom w:w="80" w:type="dxa"/>
              <w:end w:w="120" w:type="dxa"/>
            </w:tcMar>
            <w:vAlign w:val="top"/>
          </w:tcPr>
          <w:p>
            <w:pPr>
              <w:spacing w:before="0" w:after="0" w:line="264" w:lineRule="auto"/>
            </w:pPr>
            <w:r>
              <w:rPr>
                <w:rFonts w:ascii="Calibri" w:hAnsi="Calibri"/>
                <w:color w:val="0B2545"/>
                <w:sz w:val="19"/>
              </w:rPr>
              <w:t>Intent Classifier</w:t>
            </w:r>
          </w:p>
        </w:tc>
        <w:tc>
          <w:tcPr>
            <w:tcW w:type="dxa" w:w="3000"/>
            <w:tcMar>
              <w:top w:w="80" w:type="dxa"/>
              <w:start w:w="120" w:type="dxa"/>
              <w:bottom w:w="80" w:type="dxa"/>
              <w:end w:w="120" w:type="dxa"/>
            </w:tcMar>
            <w:vAlign w:val="top"/>
          </w:tcPr>
          <w:p>
            <w:pPr>
              <w:spacing w:before="0" w:after="0" w:line="264" w:lineRule="auto"/>
            </w:pPr>
            <w:r>
              <w:rPr>
                <w:rFonts w:ascii="Calibri" w:hAnsi="Calibri"/>
                <w:color w:val="0B2545"/>
                <w:sz w:val="19"/>
              </w:rPr>
              <w:t>Detects whether the question is about curriculum, GPA planning, attendance, handbook rules, results, or admin analytics.</w:t>
            </w:r>
          </w:p>
        </w:tc>
        <w:tc>
          <w:tcPr>
            <w:tcW w:type="dxa" w:w="5010"/>
            <w:tcMar>
              <w:top w:w="80" w:type="dxa"/>
              <w:start w:w="120" w:type="dxa"/>
              <w:bottom w:w="80" w:type="dxa"/>
              <w:end w:w="120" w:type="dxa"/>
            </w:tcMar>
            <w:vAlign w:val="top"/>
          </w:tcPr>
          <w:p>
            <w:pPr>
              <w:spacing w:before="0" w:after="0" w:line="264" w:lineRule="auto"/>
            </w:pPr>
            <w:r>
              <w:rPr>
                <w:rFonts w:ascii="Calibri" w:hAnsi="Calibri"/>
                <w:color w:val="0B2545"/>
                <w:sz w:val="19"/>
              </w:rPr>
              <w:t>Small prompt-based classifier or rules plus embeddings; returns intent and required tools.</w:t>
            </w:r>
          </w:p>
        </w:tc>
      </w:tr>
      <w:tr>
        <w:tc>
          <w:tcPr>
            <w:tcW w:type="dxa" w:w="1350"/>
            <w:tcMar>
              <w:top w:w="80" w:type="dxa"/>
              <w:start w:w="120" w:type="dxa"/>
              <w:bottom w:w="80" w:type="dxa"/>
              <w:end w:w="120" w:type="dxa"/>
            </w:tcMar>
            <w:vAlign w:val="top"/>
          </w:tcPr>
          <w:p>
            <w:pPr>
              <w:spacing w:before="0" w:after="0" w:line="264" w:lineRule="auto"/>
            </w:pPr>
            <w:r>
              <w:rPr>
                <w:rFonts w:ascii="Calibri" w:hAnsi="Calibri"/>
                <w:color w:val="0B2545"/>
                <w:sz w:val="19"/>
              </w:rPr>
              <w:t>Retrieval Layer</w:t>
            </w:r>
          </w:p>
        </w:tc>
        <w:tc>
          <w:tcPr>
            <w:tcW w:type="dxa" w:w="3000"/>
            <w:tcMar>
              <w:top w:w="80" w:type="dxa"/>
              <w:start w:w="120" w:type="dxa"/>
              <w:bottom w:w="80" w:type="dxa"/>
              <w:end w:w="120" w:type="dxa"/>
            </w:tcMar>
            <w:vAlign w:val="top"/>
          </w:tcPr>
          <w:p>
            <w:pPr>
              <w:spacing w:before="0" w:after="0" w:line="264" w:lineRule="auto"/>
            </w:pPr>
            <w:r>
              <w:rPr>
                <w:rFonts w:ascii="Calibri" w:hAnsi="Calibri"/>
                <w:color w:val="0B2545"/>
                <w:sz w:val="19"/>
              </w:rPr>
              <w:t>Finds handbook passages relevant to the question.</w:t>
            </w:r>
          </w:p>
        </w:tc>
        <w:tc>
          <w:tcPr>
            <w:tcW w:type="dxa" w:w="5010"/>
            <w:tcMar>
              <w:top w:w="80" w:type="dxa"/>
              <w:start w:w="120" w:type="dxa"/>
              <w:bottom w:w="80" w:type="dxa"/>
              <w:end w:w="120" w:type="dxa"/>
            </w:tcMar>
            <w:vAlign w:val="top"/>
          </w:tcPr>
          <w:p>
            <w:pPr>
              <w:spacing w:before="0" w:after="0" w:line="264" w:lineRule="auto"/>
            </w:pPr>
            <w:r>
              <w:rPr>
                <w:rFonts w:ascii="Calibri" w:hAnsi="Calibri"/>
                <w:color w:val="0B2545"/>
                <w:sz w:val="19"/>
              </w:rPr>
              <w:t>RAG over handbook chunks with metadata such as department, semester, course code, rule type, and page number.</w:t>
            </w:r>
          </w:p>
        </w:tc>
      </w:tr>
      <w:tr>
        <w:tc>
          <w:tcPr>
            <w:tcW w:type="dxa" w:w="1350"/>
            <w:tcMar>
              <w:top w:w="80" w:type="dxa"/>
              <w:start w:w="120" w:type="dxa"/>
              <w:bottom w:w="80" w:type="dxa"/>
              <w:end w:w="120" w:type="dxa"/>
            </w:tcMar>
            <w:vAlign w:val="top"/>
          </w:tcPr>
          <w:p>
            <w:pPr>
              <w:spacing w:before="0" w:after="0" w:line="264" w:lineRule="auto"/>
            </w:pPr>
            <w:r>
              <w:rPr>
                <w:rFonts w:ascii="Calibri" w:hAnsi="Calibri"/>
                <w:color w:val="0B2545"/>
                <w:sz w:val="19"/>
              </w:rPr>
              <w:t>Supabase Tool Layer</w:t>
            </w:r>
          </w:p>
        </w:tc>
        <w:tc>
          <w:tcPr>
            <w:tcW w:type="dxa" w:w="3000"/>
            <w:tcMar>
              <w:top w:w="80" w:type="dxa"/>
              <w:start w:w="120" w:type="dxa"/>
              <w:bottom w:w="80" w:type="dxa"/>
              <w:end w:w="120" w:type="dxa"/>
            </w:tcMar>
            <w:vAlign w:val="top"/>
          </w:tcPr>
          <w:p>
            <w:pPr>
              <w:spacing w:before="0" w:after="0" w:line="264" w:lineRule="auto"/>
            </w:pPr>
            <w:r>
              <w:rPr>
                <w:rFonts w:ascii="Calibri" w:hAnsi="Calibri"/>
                <w:color w:val="0B2545"/>
                <w:sz w:val="19"/>
              </w:rPr>
              <w:t>Fetches authenticated student facts.</w:t>
            </w:r>
          </w:p>
        </w:tc>
        <w:tc>
          <w:tcPr>
            <w:tcW w:type="dxa" w:w="5010"/>
            <w:tcMar>
              <w:top w:w="80" w:type="dxa"/>
              <w:start w:w="120" w:type="dxa"/>
              <w:bottom w:w="80" w:type="dxa"/>
              <w:end w:w="120" w:type="dxa"/>
            </w:tcMar>
            <w:vAlign w:val="top"/>
          </w:tcPr>
          <w:p>
            <w:pPr>
              <w:spacing w:before="0" w:after="0" w:line="264" w:lineRule="auto"/>
            </w:pPr>
            <w:r>
              <w:rPr>
                <w:rFonts w:ascii="Calibri" w:hAnsi="Calibri"/>
                <w:color w:val="0B2545"/>
                <w:sz w:val="19"/>
              </w:rPr>
              <w:t>Uses RLS-safe queries/functions for profile, results, attendance, enrollments, curriculum, and GPA summaries.</w:t>
            </w:r>
          </w:p>
        </w:tc>
      </w:tr>
      <w:tr>
        <w:tc>
          <w:tcPr>
            <w:tcW w:type="dxa" w:w="1350"/>
            <w:tcMar>
              <w:top w:w="80" w:type="dxa"/>
              <w:start w:w="120" w:type="dxa"/>
              <w:bottom w:w="80" w:type="dxa"/>
              <w:end w:w="120" w:type="dxa"/>
            </w:tcMar>
            <w:vAlign w:val="top"/>
          </w:tcPr>
          <w:p>
            <w:pPr>
              <w:spacing w:before="0" w:after="0" w:line="264" w:lineRule="auto"/>
            </w:pPr>
            <w:r>
              <w:rPr>
                <w:rFonts w:ascii="Calibri" w:hAnsi="Calibri"/>
                <w:color w:val="0B2545"/>
                <w:sz w:val="19"/>
              </w:rPr>
              <w:t>Calculation Engine</w:t>
            </w:r>
          </w:p>
        </w:tc>
        <w:tc>
          <w:tcPr>
            <w:tcW w:type="dxa" w:w="3000"/>
            <w:tcMar>
              <w:top w:w="80" w:type="dxa"/>
              <w:start w:w="120" w:type="dxa"/>
              <w:bottom w:w="80" w:type="dxa"/>
              <w:end w:w="120" w:type="dxa"/>
            </w:tcMar>
            <w:vAlign w:val="top"/>
          </w:tcPr>
          <w:p>
            <w:pPr>
              <w:spacing w:before="0" w:after="0" w:line="264" w:lineRule="auto"/>
            </w:pPr>
            <w:r>
              <w:rPr>
                <w:rFonts w:ascii="Calibri" w:hAnsi="Calibri"/>
                <w:color w:val="0B2545"/>
                <w:sz w:val="19"/>
              </w:rPr>
              <w:t>Performs GPA, CGPA, target GPA, and eligibility calculations.</w:t>
            </w:r>
          </w:p>
        </w:tc>
        <w:tc>
          <w:tcPr>
            <w:tcW w:type="dxa" w:w="5010"/>
            <w:tcMar>
              <w:top w:w="80" w:type="dxa"/>
              <w:start w:w="120" w:type="dxa"/>
              <w:bottom w:w="80" w:type="dxa"/>
              <w:end w:w="120" w:type="dxa"/>
            </w:tcMar>
            <w:vAlign w:val="top"/>
          </w:tcPr>
          <w:p>
            <w:pPr>
              <w:spacing w:before="0" w:after="0" w:line="264" w:lineRule="auto"/>
            </w:pPr>
            <w:r>
              <w:rPr>
                <w:rFonts w:ascii="Calibri" w:hAnsi="Calibri"/>
                <w:color w:val="0B2545"/>
                <w:sz w:val="19"/>
              </w:rPr>
              <w:t>Pure backend functions with unit tests; the LLM receives the computed result only.</w:t>
            </w:r>
          </w:p>
        </w:tc>
      </w:tr>
      <w:tr>
        <w:tc>
          <w:tcPr>
            <w:tcW w:type="dxa" w:w="1350"/>
            <w:tcMar>
              <w:top w:w="80" w:type="dxa"/>
              <w:start w:w="120" w:type="dxa"/>
              <w:bottom w:w="80" w:type="dxa"/>
              <w:end w:w="120" w:type="dxa"/>
            </w:tcMar>
            <w:vAlign w:val="top"/>
          </w:tcPr>
          <w:p>
            <w:pPr>
              <w:spacing w:before="0" w:after="0" w:line="264" w:lineRule="auto"/>
            </w:pPr>
            <w:r>
              <w:rPr>
                <w:rFonts w:ascii="Calibri" w:hAnsi="Calibri"/>
                <w:color w:val="0B2545"/>
                <w:sz w:val="19"/>
              </w:rPr>
              <w:t>Answer Composer</w:t>
            </w:r>
          </w:p>
        </w:tc>
        <w:tc>
          <w:tcPr>
            <w:tcW w:type="dxa" w:w="3000"/>
            <w:tcMar>
              <w:top w:w="80" w:type="dxa"/>
              <w:start w:w="120" w:type="dxa"/>
              <w:bottom w:w="80" w:type="dxa"/>
              <w:end w:w="120" w:type="dxa"/>
            </w:tcMar>
            <w:vAlign w:val="top"/>
          </w:tcPr>
          <w:p>
            <w:pPr>
              <w:spacing w:before="0" w:after="0" w:line="264" w:lineRule="auto"/>
            </w:pPr>
            <w:r>
              <w:rPr>
                <w:rFonts w:ascii="Calibri" w:hAnsi="Calibri"/>
                <w:color w:val="0B2545"/>
                <w:sz w:val="19"/>
              </w:rPr>
              <w:t>Produces a clear, friendly final response.</w:t>
            </w:r>
          </w:p>
        </w:tc>
        <w:tc>
          <w:tcPr>
            <w:tcW w:type="dxa" w:w="5010"/>
            <w:tcMar>
              <w:top w:w="80" w:type="dxa"/>
              <w:start w:w="120" w:type="dxa"/>
              <w:bottom w:w="80" w:type="dxa"/>
              <w:end w:w="120" w:type="dxa"/>
            </w:tcMar>
            <w:vAlign w:val="top"/>
          </w:tcPr>
          <w:p>
            <w:pPr>
              <w:spacing w:before="0" w:after="0" w:line="264" w:lineRule="auto"/>
            </w:pPr>
            <w:r>
              <w:rPr>
                <w:rFonts w:ascii="Calibri" w:hAnsi="Calibri"/>
                <w:color w:val="0B2545"/>
                <w:sz w:val="19"/>
              </w:rPr>
              <w:t>LLM writes the answer using retrieved handbook evidence and tool outputs; must show assumptions and limitations.</w:t>
            </w:r>
          </w:p>
        </w:tc>
      </w:tr>
    </w:tbl>
    <w:p>
      <w:pPr>
        <w:spacing w:before="0" w:after="40" w:line="320" w:lineRule="auto"/>
      </w:pPr>
      <w:r>
        <w:rPr>
          <w:rFonts w:ascii="Calibri" w:hAnsi="Calibri"/>
          <w:b w:val="0"/>
          <w:i w:val="0"/>
          <w:color w:val="0B2545"/>
          <w:sz w:val="22"/>
        </w:rPr>
      </w:r>
    </w:p>
    <w:p>
      <w:pPr>
        <w:pStyle w:val="Heading1"/>
      </w:pPr>
      <w:r>
        <w:t>5. Data Foundation</w:t>
      </w:r>
    </w:p>
    <w:p>
      <w:pPr>
        <w:spacing w:before="0" w:after="160" w:line="320" w:lineRule="auto"/>
      </w:pPr>
      <w:r>
        <w:rPr>
          <w:rFonts w:ascii="Calibri" w:hAnsi="Calibri"/>
          <w:b w:val="0"/>
          <w:i w:val="0"/>
          <w:color w:val="0B2545"/>
          <w:sz w:val="22"/>
        </w:rPr>
        <w:t>The assistant's quality depends more on data modeling than on the model alone. Course names and codes from the handbook should be normalized into database tables. The PDF can still be used for explanations, but the application should not rely on PDF extraction every time a student asks for next semester subjects.</w:t>
      </w:r>
    </w:p>
    <w:tbl>
      <w:tblPr>
        <w:tblW w:type="dxa" w:w="9360"/>
        <w:tblLayout w:type="fixed"/>
        <w:tblLook w:firstColumn="1" w:firstRow="1" w:lastColumn="0" w:lastRow="0" w:noHBand="0" w:noVBand="1" w:val="04A0"/>
        <w:jc w:val="left"/>
        <w:tblInd w:w="120" w:type="dxa"/>
        <w:tblBorders>
          <w:top w:val="single" w:sz="4" w:space="0" w:color="D9E2EF"/>
          <w:left w:val="single" w:sz="4" w:space="0" w:color="D9E2EF"/>
          <w:bottom w:val="single" w:sz="4" w:space="0" w:color="D9E2EF"/>
          <w:right w:val="single" w:sz="4" w:space="0" w:color="D9E2EF"/>
          <w:insideH w:val="single" w:sz="4" w:space="0" w:color="D9E2EF"/>
          <w:insideV w:val="single" w:sz="4" w:space="0" w:color="D9E2EF"/>
        </w:tblBorders>
      </w:tblPr>
      <w:tblGrid>
        <w:gridCol w:w="1550"/>
        <w:gridCol w:w="2700"/>
        <w:gridCol w:w="5110"/>
      </w:tblGrid>
      <w:tr>
        <w:tc>
          <w:tcPr>
            <w:tcW w:type="dxa" w:w="1550"/>
            <w:tcMar>
              <w:top w:w="80" w:type="dxa"/>
              <w:start w:w="120" w:type="dxa"/>
              <w:bottom w:w="80" w:type="dxa"/>
              <w:end w:w="120" w:type="dxa"/>
            </w:tcMar>
            <w:vAlign w:val="top"/>
            <w:shd w:fill="F4F6F9"/>
          </w:tcPr>
          <w:p>
            <w:pPr>
              <w:spacing w:before="0" w:after="0" w:line="264" w:lineRule="auto"/>
            </w:pPr>
            <w:r>
              <w:rPr>
                <w:rFonts w:ascii="Calibri" w:hAnsi="Calibri"/>
                <w:b/>
                <w:color w:val="1F4D78"/>
                <w:sz w:val="20"/>
              </w:rPr>
              <w:t>Data Area</w:t>
            </w:r>
          </w:p>
        </w:tc>
        <w:tc>
          <w:tcPr>
            <w:tcW w:type="dxa" w:w="2700"/>
            <w:tcMar>
              <w:top w:w="80" w:type="dxa"/>
              <w:start w:w="120" w:type="dxa"/>
              <w:bottom w:w="80" w:type="dxa"/>
              <w:end w:w="120" w:type="dxa"/>
            </w:tcMar>
            <w:vAlign w:val="top"/>
            <w:shd w:fill="F4F6F9"/>
          </w:tcPr>
          <w:p>
            <w:pPr>
              <w:spacing w:before="0" w:after="0" w:line="264" w:lineRule="auto"/>
            </w:pPr>
            <w:r>
              <w:rPr>
                <w:rFonts w:ascii="Calibri" w:hAnsi="Calibri"/>
                <w:b/>
                <w:color w:val="1F4D78"/>
                <w:sz w:val="20"/>
              </w:rPr>
              <w:t>Suggested Tables</w:t>
            </w:r>
          </w:p>
        </w:tc>
        <w:tc>
          <w:tcPr>
            <w:tcW w:type="dxa" w:w="5110"/>
            <w:tcMar>
              <w:top w:w="80" w:type="dxa"/>
              <w:start w:w="120" w:type="dxa"/>
              <w:bottom w:w="80" w:type="dxa"/>
              <w:end w:w="120" w:type="dxa"/>
            </w:tcMar>
            <w:vAlign w:val="top"/>
            <w:shd w:fill="F4F6F9"/>
          </w:tcPr>
          <w:p>
            <w:pPr>
              <w:spacing w:before="0" w:after="0" w:line="264" w:lineRule="auto"/>
            </w:pPr>
            <w:r>
              <w:rPr>
                <w:rFonts w:ascii="Calibri" w:hAnsi="Calibri"/>
                <w:b/>
                <w:color w:val="1F4D78"/>
                <w:sz w:val="20"/>
              </w:rPr>
              <w:t>Why It Matters</w:t>
            </w:r>
          </w:p>
        </w:tc>
      </w:tr>
      <w:tr>
        <w:tc>
          <w:tcPr>
            <w:tcW w:type="dxa" w:w="1550"/>
            <w:tcMar>
              <w:top w:w="80" w:type="dxa"/>
              <w:start w:w="120" w:type="dxa"/>
              <w:bottom w:w="80" w:type="dxa"/>
              <w:end w:w="120" w:type="dxa"/>
            </w:tcMar>
            <w:vAlign w:val="top"/>
          </w:tcPr>
          <w:p>
            <w:pPr>
              <w:spacing w:before="0" w:after="0" w:line="264" w:lineRule="auto"/>
            </w:pPr>
            <w:r>
              <w:rPr>
                <w:rFonts w:ascii="Calibri" w:hAnsi="Calibri"/>
                <w:color w:val="0B2545"/>
                <w:sz w:val="19"/>
              </w:rPr>
              <w:t>Student identity</w:t>
            </w:r>
          </w:p>
        </w:tc>
        <w:tc>
          <w:tcPr>
            <w:tcW w:type="dxa" w:w="2700"/>
            <w:tcMar>
              <w:top w:w="80" w:type="dxa"/>
              <w:start w:w="120" w:type="dxa"/>
              <w:bottom w:w="80" w:type="dxa"/>
              <w:end w:w="120" w:type="dxa"/>
            </w:tcMar>
            <w:vAlign w:val="top"/>
          </w:tcPr>
          <w:p>
            <w:pPr>
              <w:spacing w:before="0" w:after="0" w:line="264" w:lineRule="auto"/>
            </w:pPr>
            <w:r>
              <w:rPr>
                <w:rFonts w:ascii="Calibri" w:hAnsi="Calibri"/>
                <w:color w:val="0B2545"/>
                <w:sz w:val="19"/>
              </w:rPr>
              <w:t>students, batches, departments</w:t>
            </w:r>
          </w:p>
        </w:tc>
        <w:tc>
          <w:tcPr>
            <w:tcW w:type="dxa" w:w="5110"/>
            <w:tcMar>
              <w:top w:w="80" w:type="dxa"/>
              <w:start w:w="120" w:type="dxa"/>
              <w:bottom w:w="80" w:type="dxa"/>
              <w:end w:w="120" w:type="dxa"/>
            </w:tcMar>
            <w:vAlign w:val="top"/>
          </w:tcPr>
          <w:p>
            <w:pPr>
              <w:spacing w:before="0" w:after="0" w:line="264" w:lineRule="auto"/>
            </w:pPr>
            <w:r>
              <w:rPr>
                <w:rFonts w:ascii="Calibri" w:hAnsi="Calibri"/>
                <w:color w:val="0B2545"/>
                <w:sz w:val="19"/>
              </w:rPr>
              <w:t>Connects registration number, index number, email, batch, and department. For example, EN108953 maps naturally to en108953@foe.sjp.ac.lk.</w:t>
            </w:r>
          </w:p>
        </w:tc>
      </w:tr>
      <w:tr>
        <w:tc>
          <w:tcPr>
            <w:tcW w:type="dxa" w:w="1550"/>
            <w:tcMar>
              <w:top w:w="80" w:type="dxa"/>
              <w:start w:w="120" w:type="dxa"/>
              <w:bottom w:w="80" w:type="dxa"/>
              <w:end w:w="120" w:type="dxa"/>
            </w:tcMar>
            <w:vAlign w:val="top"/>
          </w:tcPr>
          <w:p>
            <w:pPr>
              <w:spacing w:before="0" w:after="0" w:line="264" w:lineRule="auto"/>
            </w:pPr>
            <w:r>
              <w:rPr>
                <w:rFonts w:ascii="Calibri" w:hAnsi="Calibri"/>
                <w:color w:val="0B2545"/>
                <w:sz w:val="19"/>
              </w:rPr>
              <w:t>Curriculum</w:t>
            </w:r>
          </w:p>
        </w:tc>
        <w:tc>
          <w:tcPr>
            <w:tcW w:type="dxa" w:w="2700"/>
            <w:tcMar>
              <w:top w:w="80" w:type="dxa"/>
              <w:start w:w="120" w:type="dxa"/>
              <w:bottom w:w="80" w:type="dxa"/>
              <w:end w:w="120" w:type="dxa"/>
            </w:tcMar>
            <w:vAlign w:val="top"/>
          </w:tcPr>
          <w:p>
            <w:pPr>
              <w:spacing w:before="0" w:after="0" w:line="264" w:lineRule="auto"/>
            </w:pPr>
            <w:r>
              <w:rPr>
                <w:rFonts w:ascii="Calibri" w:hAnsi="Calibri"/>
                <w:color w:val="0B2545"/>
                <w:sz w:val="19"/>
              </w:rPr>
              <w:t>courses, curriculum_semesters, curriculum_courses</w:t>
            </w:r>
          </w:p>
        </w:tc>
        <w:tc>
          <w:tcPr>
            <w:tcW w:type="dxa" w:w="5110"/>
            <w:tcMar>
              <w:top w:w="80" w:type="dxa"/>
              <w:start w:w="120" w:type="dxa"/>
              <w:bottom w:w="80" w:type="dxa"/>
              <w:end w:w="120" w:type="dxa"/>
            </w:tcMar>
            <w:vAlign w:val="top"/>
          </w:tcPr>
          <w:p>
            <w:pPr>
              <w:spacing w:before="0" w:after="0" w:line="264" w:lineRule="auto"/>
            </w:pPr>
            <w:r>
              <w:rPr>
                <w:rFonts w:ascii="Calibri" w:hAnsi="Calibri"/>
                <w:color w:val="0B2545"/>
                <w:sz w:val="19"/>
              </w:rPr>
              <w:t>Lets the assistant answer next semester subjects, credits, compulsory/elective status, and GPA contribution precisely.</w:t>
            </w:r>
          </w:p>
        </w:tc>
      </w:tr>
      <w:tr>
        <w:tc>
          <w:tcPr>
            <w:tcW w:type="dxa" w:w="1550"/>
            <w:tcMar>
              <w:top w:w="80" w:type="dxa"/>
              <w:start w:w="120" w:type="dxa"/>
              <w:bottom w:w="80" w:type="dxa"/>
              <w:end w:w="120" w:type="dxa"/>
            </w:tcMar>
            <w:vAlign w:val="top"/>
          </w:tcPr>
          <w:p>
            <w:pPr>
              <w:spacing w:before="0" w:after="0" w:line="264" w:lineRule="auto"/>
            </w:pPr>
            <w:r>
              <w:rPr>
                <w:rFonts w:ascii="Calibri" w:hAnsi="Calibri"/>
                <w:color w:val="0B2545"/>
                <w:sz w:val="19"/>
              </w:rPr>
              <w:t>Performance</w:t>
            </w:r>
          </w:p>
        </w:tc>
        <w:tc>
          <w:tcPr>
            <w:tcW w:type="dxa" w:w="2700"/>
            <w:tcMar>
              <w:top w:w="80" w:type="dxa"/>
              <w:start w:w="120" w:type="dxa"/>
              <w:bottom w:w="80" w:type="dxa"/>
              <w:end w:w="120" w:type="dxa"/>
            </w:tcMar>
            <w:vAlign w:val="top"/>
          </w:tcPr>
          <w:p>
            <w:pPr>
              <w:spacing w:before="0" w:after="0" w:line="264" w:lineRule="auto"/>
            </w:pPr>
            <w:r>
              <w:rPr>
                <w:rFonts w:ascii="Calibri" w:hAnsi="Calibri"/>
                <w:color w:val="0B2545"/>
                <w:sz w:val="19"/>
              </w:rPr>
              <w:t>results, semester_gpa, cgpa_snapshots</w:t>
            </w:r>
          </w:p>
        </w:tc>
        <w:tc>
          <w:tcPr>
            <w:tcW w:type="dxa" w:w="5110"/>
            <w:tcMar>
              <w:top w:w="80" w:type="dxa"/>
              <w:start w:w="120" w:type="dxa"/>
              <w:bottom w:w="80" w:type="dxa"/>
              <w:end w:w="120" w:type="dxa"/>
            </w:tcMar>
            <w:vAlign w:val="top"/>
          </w:tcPr>
          <w:p>
            <w:pPr>
              <w:spacing w:before="0" w:after="0" w:line="264" w:lineRule="auto"/>
            </w:pPr>
            <w:r>
              <w:rPr>
                <w:rFonts w:ascii="Calibri" w:hAnsi="Calibri"/>
                <w:color w:val="0B2545"/>
                <w:sz w:val="19"/>
              </w:rPr>
              <w:t>Supports result explanations, trend analysis, GPA target planning, and degree classification checks.</w:t>
            </w:r>
          </w:p>
        </w:tc>
      </w:tr>
      <w:tr>
        <w:tc>
          <w:tcPr>
            <w:tcW w:type="dxa" w:w="1550"/>
            <w:tcMar>
              <w:top w:w="80" w:type="dxa"/>
              <w:start w:w="120" w:type="dxa"/>
              <w:bottom w:w="80" w:type="dxa"/>
              <w:end w:w="120" w:type="dxa"/>
            </w:tcMar>
            <w:vAlign w:val="top"/>
          </w:tcPr>
          <w:p>
            <w:pPr>
              <w:spacing w:before="0" w:after="0" w:line="264" w:lineRule="auto"/>
            </w:pPr>
            <w:r>
              <w:rPr>
                <w:rFonts w:ascii="Calibri" w:hAnsi="Calibri"/>
                <w:color w:val="0B2545"/>
                <w:sz w:val="19"/>
              </w:rPr>
              <w:t>Attendance</w:t>
            </w:r>
          </w:p>
        </w:tc>
        <w:tc>
          <w:tcPr>
            <w:tcW w:type="dxa" w:w="2700"/>
            <w:tcMar>
              <w:top w:w="80" w:type="dxa"/>
              <w:start w:w="120" w:type="dxa"/>
              <w:bottom w:w="80" w:type="dxa"/>
              <w:end w:w="120" w:type="dxa"/>
            </w:tcMar>
            <w:vAlign w:val="top"/>
          </w:tcPr>
          <w:p>
            <w:pPr>
              <w:spacing w:before="0" w:after="0" w:line="264" w:lineRule="auto"/>
            </w:pPr>
            <w:r>
              <w:rPr>
                <w:rFonts w:ascii="Calibri" w:hAnsi="Calibri"/>
                <w:color w:val="0B2545"/>
                <w:sz w:val="19"/>
              </w:rPr>
              <w:t>attendance_records, attendance_summaries</w:t>
            </w:r>
          </w:p>
        </w:tc>
        <w:tc>
          <w:tcPr>
            <w:tcW w:type="dxa" w:w="5110"/>
            <w:tcMar>
              <w:top w:w="80" w:type="dxa"/>
              <w:start w:w="120" w:type="dxa"/>
              <w:bottom w:w="80" w:type="dxa"/>
              <w:end w:w="120" w:type="dxa"/>
            </w:tcMar>
            <w:vAlign w:val="top"/>
          </w:tcPr>
          <w:p>
            <w:pPr>
              <w:spacing w:before="0" w:after="0" w:line="264" w:lineRule="auto"/>
            </w:pPr>
            <w:r>
              <w:rPr>
                <w:rFonts w:ascii="Calibri" w:hAnsi="Calibri"/>
                <w:color w:val="0B2545"/>
                <w:sz w:val="19"/>
              </w:rPr>
              <w:t>Supports exam eligibility warnings and early intervention.</w:t>
            </w:r>
          </w:p>
        </w:tc>
      </w:tr>
      <w:tr>
        <w:tc>
          <w:tcPr>
            <w:tcW w:type="dxa" w:w="1550"/>
            <w:tcMar>
              <w:top w:w="80" w:type="dxa"/>
              <w:start w:w="120" w:type="dxa"/>
              <w:bottom w:w="80" w:type="dxa"/>
              <w:end w:w="120" w:type="dxa"/>
            </w:tcMar>
            <w:vAlign w:val="top"/>
          </w:tcPr>
          <w:p>
            <w:pPr>
              <w:spacing w:before="0" w:after="0" w:line="264" w:lineRule="auto"/>
            </w:pPr>
            <w:r>
              <w:rPr>
                <w:rFonts w:ascii="Calibri" w:hAnsi="Calibri"/>
                <w:color w:val="0B2545"/>
                <w:sz w:val="19"/>
              </w:rPr>
              <w:t>Handbook knowledge</w:t>
            </w:r>
          </w:p>
        </w:tc>
        <w:tc>
          <w:tcPr>
            <w:tcW w:type="dxa" w:w="2700"/>
            <w:tcMar>
              <w:top w:w="80" w:type="dxa"/>
              <w:start w:w="120" w:type="dxa"/>
              <w:bottom w:w="80" w:type="dxa"/>
              <w:end w:w="120" w:type="dxa"/>
            </w:tcMar>
            <w:vAlign w:val="top"/>
          </w:tcPr>
          <w:p>
            <w:pPr>
              <w:spacing w:before="0" w:after="0" w:line="264" w:lineRule="auto"/>
            </w:pPr>
            <w:r>
              <w:rPr>
                <w:rFonts w:ascii="Calibri" w:hAnsi="Calibri"/>
                <w:color w:val="0B2545"/>
                <w:sz w:val="19"/>
              </w:rPr>
              <w:t>handbook_chunks, handbook_sources</w:t>
            </w:r>
          </w:p>
        </w:tc>
        <w:tc>
          <w:tcPr>
            <w:tcW w:type="dxa" w:w="5110"/>
            <w:tcMar>
              <w:top w:w="80" w:type="dxa"/>
              <w:start w:w="120" w:type="dxa"/>
              <w:bottom w:w="80" w:type="dxa"/>
              <w:end w:w="120" w:type="dxa"/>
            </w:tcMar>
            <w:vAlign w:val="top"/>
          </w:tcPr>
          <w:p>
            <w:pPr>
              <w:spacing w:before="0" w:after="0" w:line="264" w:lineRule="auto"/>
            </w:pPr>
            <w:r>
              <w:rPr>
                <w:rFonts w:ascii="Calibri" w:hAnsi="Calibri"/>
                <w:color w:val="0B2545"/>
                <w:sz w:val="19"/>
              </w:rPr>
              <w:t>Stores retrieved passages with page, section, department, and topic metadata for cited rule explanations.</w:t>
            </w:r>
          </w:p>
        </w:tc>
      </w:tr>
      <w:tr>
        <w:tc>
          <w:tcPr>
            <w:tcW w:type="dxa" w:w="1550"/>
            <w:tcMar>
              <w:top w:w="80" w:type="dxa"/>
              <w:start w:w="120" w:type="dxa"/>
              <w:bottom w:w="80" w:type="dxa"/>
              <w:end w:w="120" w:type="dxa"/>
            </w:tcMar>
            <w:vAlign w:val="top"/>
          </w:tcPr>
          <w:p>
            <w:pPr>
              <w:spacing w:before="0" w:after="0" w:line="264" w:lineRule="auto"/>
            </w:pPr>
            <w:r>
              <w:rPr>
                <w:rFonts w:ascii="Calibri" w:hAnsi="Calibri"/>
                <w:color w:val="0B2545"/>
                <w:sz w:val="19"/>
              </w:rPr>
              <w:t>Assistant operations</w:t>
            </w:r>
          </w:p>
        </w:tc>
        <w:tc>
          <w:tcPr>
            <w:tcW w:type="dxa" w:w="2700"/>
            <w:tcMar>
              <w:top w:w="80" w:type="dxa"/>
              <w:start w:w="120" w:type="dxa"/>
              <w:bottom w:w="80" w:type="dxa"/>
              <w:end w:w="120" w:type="dxa"/>
            </w:tcMar>
            <w:vAlign w:val="top"/>
          </w:tcPr>
          <w:p>
            <w:pPr>
              <w:spacing w:before="0" w:after="0" w:line="264" w:lineRule="auto"/>
            </w:pPr>
            <w:r>
              <w:rPr>
                <w:rFonts w:ascii="Calibri" w:hAnsi="Calibri"/>
                <w:color w:val="0B2545"/>
                <w:sz w:val="19"/>
              </w:rPr>
              <w:t>assistant_conversations, assistant_messages, assistant_feedback</w:t>
            </w:r>
          </w:p>
        </w:tc>
        <w:tc>
          <w:tcPr>
            <w:tcW w:type="dxa" w:w="5110"/>
            <w:tcMar>
              <w:top w:w="80" w:type="dxa"/>
              <w:start w:w="120" w:type="dxa"/>
              <w:bottom w:w="80" w:type="dxa"/>
              <w:end w:w="120" w:type="dxa"/>
            </w:tcMar>
            <w:vAlign w:val="top"/>
          </w:tcPr>
          <w:p>
            <w:pPr>
              <w:spacing w:before="0" w:after="0" w:line="264" w:lineRule="auto"/>
            </w:pPr>
            <w:r>
              <w:rPr>
                <w:rFonts w:ascii="Calibri" w:hAnsi="Calibri"/>
                <w:color w:val="0B2545"/>
                <w:sz w:val="19"/>
              </w:rPr>
              <w:t>Enables auditability, feedback collection, improvement, and hallucination review.</w:t>
            </w:r>
          </w:p>
        </w:tc>
      </w:tr>
    </w:tbl>
    <w:p>
      <w:pPr>
        <w:spacing w:before="0" w:after="40" w:line="320" w:lineRule="auto"/>
      </w:pPr>
      <w:r>
        <w:rPr>
          <w:rFonts w:ascii="Calibri" w:hAnsi="Calibri"/>
          <w:b w:val="0"/>
          <w:i w:val="0"/>
          <w:color w:val="0B2545"/>
          <w:sz w:val="22"/>
        </w:rPr>
      </w:r>
    </w:p>
    <w:p>
      <w:pPr>
        <w:pStyle w:val="Heading1"/>
      </w:pPr>
      <w:r>
        <w:t>6. Knowledge Base Strategy</w:t>
      </w:r>
    </w:p>
    <w:p>
      <w:pPr>
        <w:spacing w:before="0" w:after="160" w:line="320" w:lineRule="auto"/>
      </w:pPr>
      <w:r>
        <w:rPr>
          <w:rFonts w:ascii="Calibri" w:hAnsi="Calibri"/>
          <w:b w:val="0"/>
          <w:i w:val="0"/>
          <w:color w:val="0B2545"/>
          <w:sz w:val="22"/>
        </w:rPr>
        <w:t>The Faculty Handbook 2026 should be processed in two ways. First, structured tables such as departments, course lists, semesters, credits, and GPA contribution should be extracted into relational tables. Second, explanatory sections such as grading rules, attendance eligibility, add/drop procedures, Dean's List rules, and award classifications should be chunked into a vector knowledge base for retrieval.</w:t>
      </w:r>
    </w:p>
    <w:p>
      <w:pPr>
        <w:pStyle w:val="ListBullet"/>
        <w:spacing w:after="80" w:line="290" w:lineRule="auto"/>
        <w:ind w:left="540" w:hanging="279"/>
      </w:pPr>
      <w:r>
        <w:rPr>
          <w:rFonts w:ascii="Calibri" w:hAnsi="Calibri"/>
          <w:color w:val="0B2545"/>
          <w:sz w:val="22"/>
        </w:rPr>
        <w:t>Chunk by real academic meaning, not by fixed character count only. A course table row, regulation paragraph, and award classification rule should remain coherent.</w:t>
      </w:r>
    </w:p>
    <w:p>
      <w:pPr>
        <w:pStyle w:val="ListBullet"/>
        <w:spacing w:after="80" w:line="290" w:lineRule="auto"/>
        <w:ind w:left="540" w:hanging="279"/>
      </w:pPr>
      <w:r>
        <w:rPr>
          <w:rFonts w:ascii="Calibri" w:hAnsi="Calibri"/>
          <w:color w:val="0B2545"/>
          <w:sz w:val="22"/>
        </w:rPr>
        <w:t>Attach metadata to each chunk: handbook year, page number, section title, department, semester, course code, rule type, and effective academic year.</w:t>
      </w:r>
    </w:p>
    <w:p>
      <w:pPr>
        <w:pStyle w:val="ListBullet"/>
        <w:spacing w:after="80" w:line="290" w:lineRule="auto"/>
        <w:ind w:left="540" w:hanging="279"/>
      </w:pPr>
      <w:r>
        <w:rPr>
          <w:rFonts w:ascii="Calibri" w:hAnsi="Calibri"/>
          <w:color w:val="0B2545"/>
          <w:sz w:val="22"/>
        </w:rPr>
        <w:t>Prefer structured SQL answers for course lists and GPA facts; use RAG when the student asks why a rule applies or asks for an explanation.</w:t>
      </w:r>
    </w:p>
    <w:p>
      <w:pPr>
        <w:pStyle w:val="ListBullet"/>
        <w:spacing w:after="80" w:line="290" w:lineRule="auto"/>
        <w:ind w:left="540" w:hanging="279"/>
      </w:pPr>
      <w:r>
        <w:rPr>
          <w:rFonts w:ascii="Calibri" w:hAnsi="Calibri"/>
          <w:color w:val="0B2545"/>
          <w:sz w:val="22"/>
        </w:rPr>
        <w:t>Show source context in the answer, such as 'According to the Faculty Handbook 2026, ...' and keep page references internally for audit.</w:t>
      </w:r>
    </w:p>
    <w:p>
      <w:pPr>
        <w:pStyle w:val="Heading1"/>
      </w:pPr>
      <w:r>
        <w:t>7. Query Workflows</w:t>
      </w:r>
    </w:p>
    <w:p>
      <w:pPr>
        <w:pStyle w:val="Heading2"/>
      </w:pPr>
      <w:r>
        <w:t>7.1 Next Semester Subjects</w:t>
      </w:r>
    </w:p>
    <w:p>
      <w:pPr>
        <w:spacing w:before="0" w:after="160" w:line="320" w:lineRule="auto"/>
      </w:pPr>
      <w:r>
        <w:rPr>
          <w:rFonts w:ascii="Calibri" w:hAnsi="Calibri"/>
          <w:b w:val="0"/>
          <w:i w:val="0"/>
          <w:color w:val="0B2545"/>
          <w:sz w:val="22"/>
        </w:rPr>
        <w:t>For a question such as 'What are the subjects in next semester?', the assistant should not guess from the user's wording. It should authenticate the student, read the student's batch and department, determine the next academic semester from completed results or active enrollment, fetch the curriculum rows for that department and semester, and return the subjects grouped by compulsory, optional, and elective status.</w:t>
      </w:r>
    </w:p>
    <w:p>
      <w:pPr>
        <w:pStyle w:val="ListNumber"/>
        <w:spacing w:after="80" w:line="290" w:lineRule="auto"/>
        <w:ind w:left="540" w:hanging="279"/>
      </w:pPr>
      <w:r>
        <w:rPr>
          <w:rFonts w:ascii="Calibri" w:hAnsi="Calibri"/>
          <w:color w:val="0B2545"/>
          <w:sz w:val="22"/>
        </w:rPr>
        <w:t>Read authenticated user profile from Supabase.</w:t>
      </w:r>
    </w:p>
    <w:p>
      <w:pPr>
        <w:pStyle w:val="ListNumber"/>
        <w:spacing w:after="80" w:line="290" w:lineRule="auto"/>
        <w:ind w:left="540" w:hanging="279"/>
      </w:pPr>
      <w:r>
        <w:rPr>
          <w:rFonts w:ascii="Calibri" w:hAnsi="Calibri"/>
          <w:color w:val="0B2545"/>
          <w:sz w:val="22"/>
        </w:rPr>
        <w:t>Identify department, batch, current semester, and completed semesters.</w:t>
      </w:r>
    </w:p>
    <w:p>
      <w:pPr>
        <w:pStyle w:val="ListNumber"/>
        <w:spacing w:after="80" w:line="290" w:lineRule="auto"/>
        <w:ind w:left="540" w:hanging="279"/>
      </w:pPr>
      <w:r>
        <w:rPr>
          <w:rFonts w:ascii="Calibri" w:hAnsi="Calibri"/>
          <w:color w:val="0B2545"/>
          <w:sz w:val="22"/>
        </w:rPr>
        <w:t>Fetch next semester curriculum rows with course code, course name, credits, GPA contribution, and prerequisite/elective status.</w:t>
      </w:r>
    </w:p>
    <w:p>
      <w:pPr>
        <w:pStyle w:val="ListNumber"/>
        <w:spacing w:after="80" w:line="290" w:lineRule="auto"/>
        <w:ind w:left="540" w:hanging="279"/>
      </w:pPr>
      <w:r>
        <w:rPr>
          <w:rFonts w:ascii="Calibri" w:hAnsi="Calibri"/>
          <w:color w:val="0B2545"/>
          <w:sz w:val="22"/>
        </w:rPr>
        <w:t>Return a concise answer with assumptions, such as 'assuming you have completed Semester 5'.</w:t>
      </w:r>
    </w:p>
    <w:p>
      <w:pPr>
        <w:pStyle w:val="Heading2"/>
      </w:pPr>
      <w:r>
        <w:t>7.2 Target GPA Planning</w:t>
      </w:r>
    </w:p>
    <w:p>
      <w:pPr>
        <w:spacing w:before="0" w:after="160" w:line="320" w:lineRule="auto"/>
      </w:pPr>
      <w:r>
        <w:rPr>
          <w:rFonts w:ascii="Calibri" w:hAnsi="Calibri"/>
          <w:b w:val="0"/>
          <w:i w:val="0"/>
          <w:color w:val="0B2545"/>
          <w:sz w:val="22"/>
        </w:rPr>
        <w:t>For a question such as 'I want a 3.5 GPA, what GPAs should I get in next semesters?', the assistant should call a deterministic target planner. The LLM must not calculate this by itself because small arithmetic mistakes can mislead a student.</w:t>
      </w:r>
    </w:p>
    <w:tbl>
      <w:tblPr>
        <w:tblW w:type="dxa" w:w="9360"/>
        <w:jc w:val="left"/>
        <w:tblLayout w:type="fixed"/>
        <w:tblLook w:firstColumn="1" w:firstRow="1" w:lastColumn="0" w:lastRow="0" w:noHBand="0" w:noVBand="1" w:val="04A0"/>
        <w:tblInd w:w="120" w:type="dxa"/>
        <w:tblBorders>
          <w:top w:val="single" w:sz="4" w:space="0" w:color="D9E2EF"/>
          <w:left w:val="single" w:sz="4" w:space="0" w:color="D9E2EF"/>
          <w:bottom w:val="single" w:sz="4" w:space="0" w:color="D9E2EF"/>
          <w:right w:val="single" w:sz="4" w:space="0" w:color="D9E2EF"/>
          <w:insideH w:val="single" w:sz="4" w:space="0" w:color="D9E2EF"/>
          <w:insideV w:val="single" w:sz="4" w:space="0" w:color="D9E2EF"/>
        </w:tblBorders>
      </w:tblPr>
      <w:tblGrid>
        <w:gridCol w:w="9360"/>
      </w:tblGrid>
      <w:tr>
        <w:tc>
          <w:tcPr>
            <w:tcW w:type="dxa" w:w="9360"/>
            <w:tcMar>
              <w:top w:w="80" w:type="dxa"/>
              <w:start w:w="120" w:type="dxa"/>
              <w:bottom w:w="80" w:type="dxa"/>
              <w:end w:w="120" w:type="dxa"/>
            </w:tcMar>
            <w:vAlign w:val="top"/>
            <w:shd w:fill="F7F9FC"/>
          </w:tcPr>
          <w:p>
            <w:pPr>
              <w:spacing w:before="0" w:after="0" w:line="264" w:lineRule="auto"/>
            </w:pPr>
            <w:r>
              <w:rPr>
                <w:rFonts w:ascii="Consolas" w:hAnsi="Consolas"/>
                <w:color w:val="0B2545"/>
                <w:sz w:val="19"/>
              </w:rPr>
              <w:t>required_remaining_avg =</w:t>
            </w:r>
            <w:r>
              <w:br/>
            </w:r>
            <w:r>
              <w:rPr>
                <w:rFonts w:ascii="Consolas" w:hAnsi="Consolas"/>
                <w:color w:val="0B2545"/>
                <w:sz w:val="19"/>
              </w:rPr>
              <w:t xml:space="preserve">  (target_final_gpa * total_gpa_credits - current_grade_points)</w:t>
            </w:r>
            <w:r>
              <w:br/>
            </w:r>
            <w:r>
              <w:rPr>
                <w:rFonts w:ascii="Consolas" w:hAnsi="Consolas"/>
                <w:color w:val="0B2545"/>
                <w:sz w:val="19"/>
              </w:rPr>
              <w:t xml:space="preserve">  / remaining_gpa_credits</w:t>
            </w:r>
          </w:p>
        </w:tc>
      </w:tr>
    </w:tbl>
    <w:p>
      <w:pPr>
        <w:spacing w:before="0" w:after="40" w:line="320" w:lineRule="auto"/>
      </w:pPr>
      <w:r>
        <w:rPr>
          <w:rFonts w:ascii="Calibri" w:hAnsi="Calibri"/>
          <w:b w:val="0"/>
          <w:i w:val="0"/>
          <w:color w:val="0B2545"/>
          <w:sz w:val="22"/>
        </w:rPr>
      </w:r>
    </w:p>
    <w:p>
      <w:pPr>
        <w:spacing w:before="0" w:after="160" w:line="320" w:lineRule="auto"/>
      </w:pPr>
      <w:r>
        <w:rPr>
          <w:rFonts w:ascii="Calibri" w:hAnsi="Calibri"/>
          <w:b w:val="0"/>
          <w:i w:val="0"/>
          <w:color w:val="0B2545"/>
          <w:sz w:val="22"/>
        </w:rPr>
        <w:t>The final response should include current CGPA, completed GPA credits, remaining GPA credits, the required average GPA across the remaining credits, and one or two realistic semester scenarios. If the required value is above 4.0, the assistant should clearly say that the target is mathematically impossible under the current assumptions and suggest the nearest possible outcome.</w:t>
      </w:r>
    </w:p>
    <w:p>
      <w:pPr>
        <w:pStyle w:val="Heading2"/>
      </w:pPr>
      <w:r>
        <w:t>7.3 Handbook Rule Questions</w:t>
      </w:r>
    </w:p>
    <w:p>
      <w:pPr>
        <w:spacing w:before="0" w:after="160" w:line="320" w:lineRule="auto"/>
      </w:pPr>
      <w:r>
        <w:rPr>
          <w:rFonts w:ascii="Calibri" w:hAnsi="Calibri"/>
          <w:b w:val="0"/>
          <w:i w:val="0"/>
          <w:color w:val="0B2545"/>
          <w:sz w:val="22"/>
        </w:rPr>
        <w:t>For handbook questions such as 'What is the requirement for Dean's List?' or 'How is degree class decided?', the assistant should retrieve relevant handbook chunks and answer in plain language. If the answer depends on personal data, it should combine the rule with the student's Supabase records.</w:t>
      </w:r>
    </w:p>
    <w:p>
      <w:pPr>
        <w:pStyle w:val="Heading2"/>
      </w:pPr>
      <w:r>
        <w:t>7.4 Attendance and Eligibility</w:t>
      </w:r>
    </w:p>
    <w:p>
      <w:pPr>
        <w:spacing w:before="0" w:after="160" w:line="320" w:lineRule="auto"/>
      </w:pPr>
      <w:r>
        <w:rPr>
          <w:rFonts w:ascii="Calibri" w:hAnsi="Calibri"/>
          <w:b w:val="0"/>
          <w:i w:val="0"/>
          <w:color w:val="0B2545"/>
          <w:sz w:val="22"/>
        </w:rPr>
        <w:t>Attendance questions should use the student's attendance records and faculty rules. The assistant should explain whether the student is safe, at risk, or below the expected threshold, while making the exact data date visible. This is important because attendance changes continuously.</w:t>
      </w:r>
    </w:p>
    <w:p>
      <w:pPr>
        <w:pStyle w:val="Heading1"/>
      </w:pPr>
      <w:r>
        <w:t>8. Tool Functions</w:t>
      </w:r>
    </w:p>
    <w:tbl>
      <w:tblPr>
        <w:tblW w:type="dxa" w:w="9360"/>
        <w:tblLayout w:type="fixed"/>
        <w:tblLook w:firstColumn="1" w:firstRow="1" w:lastColumn="0" w:lastRow="0" w:noHBand="0" w:noVBand="1" w:val="04A0"/>
        <w:jc w:val="left"/>
        <w:tblInd w:w="120" w:type="dxa"/>
        <w:tblBorders>
          <w:top w:val="single" w:sz="4" w:space="0" w:color="D9E2EF"/>
          <w:left w:val="single" w:sz="4" w:space="0" w:color="D9E2EF"/>
          <w:bottom w:val="single" w:sz="4" w:space="0" w:color="D9E2EF"/>
          <w:right w:val="single" w:sz="4" w:space="0" w:color="D9E2EF"/>
          <w:insideH w:val="single" w:sz="4" w:space="0" w:color="D9E2EF"/>
          <w:insideV w:val="single" w:sz="4" w:space="0" w:color="D9E2EF"/>
        </w:tblBorders>
      </w:tblPr>
      <w:tblGrid>
        <w:gridCol w:w="2350"/>
        <w:gridCol w:w="2600"/>
        <w:gridCol w:w="4410"/>
      </w:tblGrid>
      <w:tr>
        <w:tc>
          <w:tcPr>
            <w:tcW w:type="dxa" w:w="2350"/>
            <w:tcMar>
              <w:top w:w="80" w:type="dxa"/>
              <w:start w:w="120" w:type="dxa"/>
              <w:bottom w:w="80" w:type="dxa"/>
              <w:end w:w="120" w:type="dxa"/>
            </w:tcMar>
            <w:vAlign w:val="top"/>
            <w:shd w:fill="F4F6F9"/>
          </w:tcPr>
          <w:p>
            <w:pPr>
              <w:spacing w:before="0" w:after="0" w:line="264" w:lineRule="auto"/>
            </w:pPr>
            <w:r>
              <w:rPr>
                <w:rFonts w:ascii="Calibri" w:hAnsi="Calibri"/>
                <w:b/>
                <w:color w:val="1F4D78"/>
                <w:sz w:val="20"/>
              </w:rPr>
              <w:t>Tool Function</w:t>
            </w:r>
          </w:p>
        </w:tc>
        <w:tc>
          <w:tcPr>
            <w:tcW w:type="dxa" w:w="2600"/>
            <w:tcMar>
              <w:top w:w="80" w:type="dxa"/>
              <w:start w:w="120" w:type="dxa"/>
              <w:bottom w:w="80" w:type="dxa"/>
              <w:end w:w="120" w:type="dxa"/>
            </w:tcMar>
            <w:vAlign w:val="top"/>
            <w:shd w:fill="F4F6F9"/>
          </w:tcPr>
          <w:p>
            <w:pPr>
              <w:spacing w:before="0" w:after="0" w:line="264" w:lineRule="auto"/>
            </w:pPr>
            <w:r>
              <w:rPr>
                <w:rFonts w:ascii="Calibri" w:hAnsi="Calibri"/>
                <w:b/>
                <w:color w:val="1F4D78"/>
                <w:sz w:val="20"/>
              </w:rPr>
              <w:t>Inputs</w:t>
            </w:r>
          </w:p>
        </w:tc>
        <w:tc>
          <w:tcPr>
            <w:tcW w:type="dxa" w:w="4410"/>
            <w:tcMar>
              <w:top w:w="80" w:type="dxa"/>
              <w:start w:w="120" w:type="dxa"/>
              <w:bottom w:w="80" w:type="dxa"/>
              <w:end w:w="120" w:type="dxa"/>
            </w:tcMar>
            <w:vAlign w:val="top"/>
            <w:shd w:fill="F4F6F9"/>
          </w:tcPr>
          <w:p>
            <w:pPr>
              <w:spacing w:before="0" w:after="0" w:line="264" w:lineRule="auto"/>
            </w:pPr>
            <w:r>
              <w:rPr>
                <w:rFonts w:ascii="Calibri" w:hAnsi="Calibri"/>
                <w:b/>
                <w:color w:val="1F4D78"/>
                <w:sz w:val="20"/>
              </w:rPr>
              <w:t>Output</w:t>
            </w:r>
          </w:p>
        </w:tc>
      </w:tr>
      <w:tr>
        <w:tc>
          <w:tcPr>
            <w:tcW w:type="dxa" w:w="2350"/>
            <w:tcMar>
              <w:top w:w="80" w:type="dxa"/>
              <w:start w:w="120" w:type="dxa"/>
              <w:bottom w:w="80" w:type="dxa"/>
              <w:end w:w="120" w:type="dxa"/>
            </w:tcMar>
            <w:vAlign w:val="top"/>
          </w:tcPr>
          <w:p>
            <w:pPr>
              <w:spacing w:before="0" w:after="0" w:line="264" w:lineRule="auto"/>
            </w:pPr>
            <w:r>
              <w:rPr>
                <w:rFonts w:ascii="Calibri" w:hAnsi="Calibri"/>
                <w:color w:val="0B2545"/>
                <w:sz w:val="19"/>
              </w:rPr>
              <w:t>get_student_profile</w:t>
            </w:r>
          </w:p>
        </w:tc>
        <w:tc>
          <w:tcPr>
            <w:tcW w:type="dxa" w:w="2600"/>
            <w:tcMar>
              <w:top w:w="80" w:type="dxa"/>
              <w:start w:w="120" w:type="dxa"/>
              <w:bottom w:w="80" w:type="dxa"/>
              <w:end w:w="120" w:type="dxa"/>
            </w:tcMar>
            <w:vAlign w:val="top"/>
          </w:tcPr>
          <w:p>
            <w:pPr>
              <w:spacing w:before="0" w:after="0" w:line="264" w:lineRule="auto"/>
            </w:pPr>
            <w:r>
              <w:rPr>
                <w:rFonts w:ascii="Calibri" w:hAnsi="Calibri"/>
                <w:color w:val="0B2545"/>
                <w:sz w:val="19"/>
              </w:rPr>
              <w:t>auth_user_id</w:t>
            </w:r>
          </w:p>
        </w:tc>
        <w:tc>
          <w:tcPr>
            <w:tcW w:type="dxa" w:w="4410"/>
            <w:tcMar>
              <w:top w:w="80" w:type="dxa"/>
              <w:start w:w="120" w:type="dxa"/>
              <w:bottom w:w="80" w:type="dxa"/>
              <w:end w:w="120" w:type="dxa"/>
            </w:tcMar>
            <w:vAlign w:val="top"/>
          </w:tcPr>
          <w:p>
            <w:pPr>
              <w:spacing w:before="0" w:after="0" w:line="264" w:lineRule="auto"/>
            </w:pPr>
            <w:r>
              <w:rPr>
                <w:rFonts w:ascii="Calibri" w:hAnsi="Calibri"/>
                <w:color w:val="0B2545"/>
                <w:sz w:val="19"/>
              </w:rPr>
              <w:t>student id, index, registration number, email, batch, department</w:t>
            </w:r>
          </w:p>
        </w:tc>
      </w:tr>
      <w:tr>
        <w:tc>
          <w:tcPr>
            <w:tcW w:type="dxa" w:w="2350"/>
            <w:tcMar>
              <w:top w:w="80" w:type="dxa"/>
              <w:start w:w="120" w:type="dxa"/>
              <w:bottom w:w="80" w:type="dxa"/>
              <w:end w:w="120" w:type="dxa"/>
            </w:tcMar>
            <w:vAlign w:val="top"/>
          </w:tcPr>
          <w:p>
            <w:pPr>
              <w:spacing w:before="0" w:after="0" w:line="264" w:lineRule="auto"/>
            </w:pPr>
            <w:r>
              <w:rPr>
                <w:rFonts w:ascii="Calibri" w:hAnsi="Calibri"/>
                <w:color w:val="0B2545"/>
                <w:sz w:val="19"/>
              </w:rPr>
              <w:t>get_next_semester_courses</w:t>
            </w:r>
          </w:p>
        </w:tc>
        <w:tc>
          <w:tcPr>
            <w:tcW w:type="dxa" w:w="2600"/>
            <w:tcMar>
              <w:top w:w="80" w:type="dxa"/>
              <w:start w:w="120" w:type="dxa"/>
              <w:bottom w:w="80" w:type="dxa"/>
              <w:end w:w="120" w:type="dxa"/>
            </w:tcMar>
            <w:vAlign w:val="top"/>
          </w:tcPr>
          <w:p>
            <w:pPr>
              <w:spacing w:before="0" w:after="0" w:line="264" w:lineRule="auto"/>
            </w:pPr>
            <w:r>
              <w:rPr>
                <w:rFonts w:ascii="Calibri" w:hAnsi="Calibri"/>
                <w:color w:val="0B2545"/>
                <w:sz w:val="19"/>
              </w:rPr>
              <w:t>student_id or department + semester</w:t>
            </w:r>
          </w:p>
        </w:tc>
        <w:tc>
          <w:tcPr>
            <w:tcW w:type="dxa" w:w="4410"/>
            <w:tcMar>
              <w:top w:w="80" w:type="dxa"/>
              <w:start w:w="120" w:type="dxa"/>
              <w:bottom w:w="80" w:type="dxa"/>
              <w:end w:w="120" w:type="dxa"/>
            </w:tcMar>
            <w:vAlign w:val="top"/>
          </w:tcPr>
          <w:p>
            <w:pPr>
              <w:spacing w:before="0" w:after="0" w:line="264" w:lineRule="auto"/>
            </w:pPr>
            <w:r>
              <w:rPr>
                <w:rFonts w:ascii="Calibri" w:hAnsi="Calibri"/>
                <w:color w:val="0B2545"/>
                <w:sz w:val="19"/>
              </w:rPr>
              <w:t>course list with code, name, credits, type, GPA contribution</w:t>
            </w:r>
          </w:p>
        </w:tc>
      </w:tr>
      <w:tr>
        <w:tc>
          <w:tcPr>
            <w:tcW w:type="dxa" w:w="2350"/>
            <w:tcMar>
              <w:top w:w="80" w:type="dxa"/>
              <w:start w:w="120" w:type="dxa"/>
              <w:bottom w:w="80" w:type="dxa"/>
              <w:end w:w="120" w:type="dxa"/>
            </w:tcMar>
            <w:vAlign w:val="top"/>
          </w:tcPr>
          <w:p>
            <w:pPr>
              <w:spacing w:before="0" w:after="0" w:line="264" w:lineRule="auto"/>
            </w:pPr>
            <w:r>
              <w:rPr>
                <w:rFonts w:ascii="Calibri" w:hAnsi="Calibri"/>
                <w:color w:val="0B2545"/>
                <w:sz w:val="19"/>
              </w:rPr>
              <w:t>get_completed_results</w:t>
            </w:r>
          </w:p>
        </w:tc>
        <w:tc>
          <w:tcPr>
            <w:tcW w:type="dxa" w:w="2600"/>
            <w:tcMar>
              <w:top w:w="80" w:type="dxa"/>
              <w:start w:w="120" w:type="dxa"/>
              <w:bottom w:w="80" w:type="dxa"/>
              <w:end w:w="120" w:type="dxa"/>
            </w:tcMar>
            <w:vAlign w:val="top"/>
          </w:tcPr>
          <w:p>
            <w:pPr>
              <w:spacing w:before="0" w:after="0" w:line="264" w:lineRule="auto"/>
            </w:pPr>
            <w:r>
              <w:rPr>
                <w:rFonts w:ascii="Calibri" w:hAnsi="Calibri"/>
                <w:color w:val="0B2545"/>
                <w:sz w:val="19"/>
              </w:rPr>
              <w:t>student_id</w:t>
            </w:r>
          </w:p>
        </w:tc>
        <w:tc>
          <w:tcPr>
            <w:tcW w:type="dxa" w:w="4410"/>
            <w:tcMar>
              <w:top w:w="80" w:type="dxa"/>
              <w:start w:w="120" w:type="dxa"/>
              <w:bottom w:w="80" w:type="dxa"/>
              <w:end w:w="120" w:type="dxa"/>
            </w:tcMar>
            <w:vAlign w:val="top"/>
          </w:tcPr>
          <w:p>
            <w:pPr>
              <w:spacing w:before="0" w:after="0" w:line="264" w:lineRule="auto"/>
            </w:pPr>
            <w:r>
              <w:rPr>
                <w:rFonts w:ascii="Calibri" w:hAnsi="Calibri"/>
                <w:color w:val="0B2545"/>
                <w:sz w:val="19"/>
              </w:rPr>
              <w:t>results by semester with grades, grade points, credits, and attempts</w:t>
            </w:r>
          </w:p>
        </w:tc>
      </w:tr>
      <w:tr>
        <w:tc>
          <w:tcPr>
            <w:tcW w:type="dxa" w:w="2350"/>
            <w:tcMar>
              <w:top w:w="80" w:type="dxa"/>
              <w:start w:w="120" w:type="dxa"/>
              <w:bottom w:w="80" w:type="dxa"/>
              <w:end w:w="120" w:type="dxa"/>
            </w:tcMar>
            <w:vAlign w:val="top"/>
          </w:tcPr>
          <w:p>
            <w:pPr>
              <w:spacing w:before="0" w:after="0" w:line="264" w:lineRule="auto"/>
            </w:pPr>
            <w:r>
              <w:rPr>
                <w:rFonts w:ascii="Calibri" w:hAnsi="Calibri"/>
                <w:color w:val="0B2545"/>
                <w:sz w:val="19"/>
              </w:rPr>
              <w:t>calculate_required_gpa</w:t>
            </w:r>
          </w:p>
        </w:tc>
        <w:tc>
          <w:tcPr>
            <w:tcW w:type="dxa" w:w="2600"/>
            <w:tcMar>
              <w:top w:w="80" w:type="dxa"/>
              <w:start w:w="120" w:type="dxa"/>
              <w:bottom w:w="80" w:type="dxa"/>
              <w:end w:w="120" w:type="dxa"/>
            </w:tcMar>
            <w:vAlign w:val="top"/>
          </w:tcPr>
          <w:p>
            <w:pPr>
              <w:spacing w:before="0" w:after="0" w:line="264" w:lineRule="auto"/>
            </w:pPr>
            <w:r>
              <w:rPr>
                <w:rFonts w:ascii="Calibri" w:hAnsi="Calibri"/>
                <w:color w:val="0B2545"/>
                <w:sz w:val="19"/>
              </w:rPr>
              <w:t>student_id, target_cgpa</w:t>
            </w:r>
          </w:p>
        </w:tc>
        <w:tc>
          <w:tcPr>
            <w:tcW w:type="dxa" w:w="4410"/>
            <w:tcMar>
              <w:top w:w="80" w:type="dxa"/>
              <w:start w:w="120" w:type="dxa"/>
              <w:bottom w:w="80" w:type="dxa"/>
              <w:end w:w="120" w:type="dxa"/>
            </w:tcMar>
            <w:vAlign w:val="top"/>
          </w:tcPr>
          <w:p>
            <w:pPr>
              <w:spacing w:before="0" w:after="0" w:line="264" w:lineRule="auto"/>
            </w:pPr>
            <w:r>
              <w:rPr>
                <w:rFonts w:ascii="Calibri" w:hAnsi="Calibri"/>
                <w:color w:val="0B2545"/>
                <w:sz w:val="19"/>
              </w:rPr>
              <w:t>required remaining average and possible semester scenarios</w:t>
            </w:r>
          </w:p>
        </w:tc>
      </w:tr>
      <w:tr>
        <w:tc>
          <w:tcPr>
            <w:tcW w:type="dxa" w:w="2350"/>
            <w:tcMar>
              <w:top w:w="80" w:type="dxa"/>
              <w:start w:w="120" w:type="dxa"/>
              <w:bottom w:w="80" w:type="dxa"/>
              <w:end w:w="120" w:type="dxa"/>
            </w:tcMar>
            <w:vAlign w:val="top"/>
          </w:tcPr>
          <w:p>
            <w:pPr>
              <w:spacing w:before="0" w:after="0" w:line="264" w:lineRule="auto"/>
            </w:pPr>
            <w:r>
              <w:rPr>
                <w:rFonts w:ascii="Calibri" w:hAnsi="Calibri"/>
                <w:color w:val="0B2545"/>
                <w:sz w:val="19"/>
              </w:rPr>
              <w:t>get_attendance_risk</w:t>
            </w:r>
          </w:p>
        </w:tc>
        <w:tc>
          <w:tcPr>
            <w:tcW w:type="dxa" w:w="2600"/>
            <w:tcMar>
              <w:top w:w="80" w:type="dxa"/>
              <w:start w:w="120" w:type="dxa"/>
              <w:bottom w:w="80" w:type="dxa"/>
              <w:end w:w="120" w:type="dxa"/>
            </w:tcMar>
            <w:vAlign w:val="top"/>
          </w:tcPr>
          <w:p>
            <w:pPr>
              <w:spacing w:before="0" w:after="0" w:line="264" w:lineRule="auto"/>
            </w:pPr>
            <w:r>
              <w:rPr>
                <w:rFonts w:ascii="Calibri" w:hAnsi="Calibri"/>
                <w:color w:val="0B2545"/>
                <w:sz w:val="19"/>
              </w:rPr>
              <w:t>student_id, course_code optional</w:t>
            </w:r>
          </w:p>
        </w:tc>
        <w:tc>
          <w:tcPr>
            <w:tcW w:type="dxa" w:w="4410"/>
            <w:tcMar>
              <w:top w:w="80" w:type="dxa"/>
              <w:start w:w="120" w:type="dxa"/>
              <w:bottom w:w="80" w:type="dxa"/>
              <w:end w:w="120" w:type="dxa"/>
            </w:tcMar>
            <w:vAlign w:val="top"/>
          </w:tcPr>
          <w:p>
            <w:pPr>
              <w:spacing w:before="0" w:after="0" w:line="264" w:lineRule="auto"/>
            </w:pPr>
            <w:r>
              <w:rPr>
                <w:rFonts w:ascii="Calibri" w:hAnsi="Calibri"/>
                <w:color w:val="0B2545"/>
                <w:sz w:val="19"/>
              </w:rPr>
              <w:t>attendance percentage, threshold status, and risk explanation</w:t>
            </w:r>
          </w:p>
        </w:tc>
      </w:tr>
      <w:tr>
        <w:tc>
          <w:tcPr>
            <w:tcW w:type="dxa" w:w="2350"/>
            <w:tcMar>
              <w:top w:w="80" w:type="dxa"/>
              <w:start w:w="120" w:type="dxa"/>
              <w:bottom w:w="80" w:type="dxa"/>
              <w:end w:w="120" w:type="dxa"/>
            </w:tcMar>
            <w:vAlign w:val="top"/>
          </w:tcPr>
          <w:p>
            <w:pPr>
              <w:spacing w:before="0" w:after="0" w:line="264" w:lineRule="auto"/>
            </w:pPr>
            <w:r>
              <w:rPr>
                <w:rFonts w:ascii="Calibri" w:hAnsi="Calibri"/>
                <w:color w:val="0B2545"/>
                <w:sz w:val="19"/>
              </w:rPr>
              <w:t>retrieve_handbook_context</w:t>
            </w:r>
          </w:p>
        </w:tc>
        <w:tc>
          <w:tcPr>
            <w:tcW w:type="dxa" w:w="2600"/>
            <w:tcMar>
              <w:top w:w="80" w:type="dxa"/>
              <w:start w:w="120" w:type="dxa"/>
              <w:bottom w:w="80" w:type="dxa"/>
              <w:end w:w="120" w:type="dxa"/>
            </w:tcMar>
            <w:vAlign w:val="top"/>
          </w:tcPr>
          <w:p>
            <w:pPr>
              <w:spacing w:before="0" w:after="0" w:line="264" w:lineRule="auto"/>
            </w:pPr>
            <w:r>
              <w:rPr>
                <w:rFonts w:ascii="Calibri" w:hAnsi="Calibri"/>
                <w:color w:val="0B2545"/>
                <w:sz w:val="19"/>
              </w:rPr>
              <w:t>query + metadata filters</w:t>
            </w:r>
          </w:p>
        </w:tc>
        <w:tc>
          <w:tcPr>
            <w:tcW w:type="dxa" w:w="4410"/>
            <w:tcMar>
              <w:top w:w="80" w:type="dxa"/>
              <w:start w:w="120" w:type="dxa"/>
              <w:bottom w:w="80" w:type="dxa"/>
              <w:end w:w="120" w:type="dxa"/>
            </w:tcMar>
            <w:vAlign w:val="top"/>
          </w:tcPr>
          <w:p>
            <w:pPr>
              <w:spacing w:before="0" w:after="0" w:line="264" w:lineRule="auto"/>
            </w:pPr>
            <w:r>
              <w:rPr>
                <w:rFonts w:ascii="Calibri" w:hAnsi="Calibri"/>
                <w:color w:val="0B2545"/>
                <w:sz w:val="19"/>
              </w:rPr>
              <w:t>relevant handbook chunks and source metadata</w:t>
            </w:r>
          </w:p>
        </w:tc>
      </w:tr>
    </w:tbl>
    <w:p>
      <w:pPr>
        <w:spacing w:before="0" w:after="40" w:line="320" w:lineRule="auto"/>
      </w:pPr>
      <w:r>
        <w:rPr>
          <w:rFonts w:ascii="Calibri" w:hAnsi="Calibri"/>
          <w:b w:val="0"/>
          <w:i w:val="0"/>
          <w:color w:val="0B2545"/>
          <w:sz w:val="22"/>
        </w:rPr>
      </w:r>
    </w:p>
    <w:p>
      <w:pPr>
        <w:pStyle w:val="Heading1"/>
      </w:pPr>
      <w:r>
        <w:t>9. Prompting and Response Rules</w:t>
      </w:r>
    </w:p>
    <w:p>
      <w:pPr>
        <w:pStyle w:val="ListBullet"/>
        <w:spacing w:after="80" w:line="290" w:lineRule="auto"/>
        <w:ind w:left="540" w:hanging="279"/>
      </w:pPr>
      <w:r>
        <w:rPr>
          <w:rFonts w:ascii="Calibri" w:hAnsi="Calibri"/>
          <w:color w:val="0B2545"/>
          <w:sz w:val="22"/>
        </w:rPr>
        <w:t>Use Supabase data and calculator outputs as facts; do not override them with model guesses.</w:t>
      </w:r>
    </w:p>
    <w:p>
      <w:pPr>
        <w:pStyle w:val="ListBullet"/>
        <w:spacing w:after="80" w:line="290" w:lineRule="auto"/>
        <w:ind w:left="540" w:hanging="279"/>
      </w:pPr>
      <w:r>
        <w:rPr>
          <w:rFonts w:ascii="Calibri" w:hAnsi="Calibri"/>
          <w:color w:val="0B2545"/>
          <w:sz w:val="22"/>
        </w:rPr>
        <w:t>If the database is incomplete because results are still being entered, state exactly what data is missing before giving advice.</w:t>
      </w:r>
    </w:p>
    <w:p>
      <w:pPr>
        <w:pStyle w:val="ListBullet"/>
        <w:spacing w:after="80" w:line="290" w:lineRule="auto"/>
        <w:ind w:left="540" w:hanging="279"/>
      </w:pPr>
      <w:r>
        <w:rPr>
          <w:rFonts w:ascii="Calibri" w:hAnsi="Calibri"/>
          <w:color w:val="0B2545"/>
          <w:sz w:val="22"/>
        </w:rPr>
        <w:t>Ask a clarifying question when a target depends on unknown assumptions, such as total remaining credits or repeated courses.</w:t>
      </w:r>
    </w:p>
    <w:p>
      <w:pPr>
        <w:pStyle w:val="ListBullet"/>
        <w:spacing w:after="80" w:line="290" w:lineRule="auto"/>
        <w:ind w:left="540" w:hanging="279"/>
      </w:pPr>
      <w:r>
        <w:rPr>
          <w:rFonts w:ascii="Calibri" w:hAnsi="Calibri"/>
          <w:color w:val="0B2545"/>
          <w:sz w:val="22"/>
        </w:rPr>
        <w:t>Use a supportive tone, but keep academic decisions precise and evidence-based.</w:t>
      </w:r>
    </w:p>
    <w:p>
      <w:pPr>
        <w:pStyle w:val="ListBullet"/>
        <w:spacing w:after="80" w:line="290" w:lineRule="auto"/>
        <w:ind w:left="540" w:hanging="279"/>
      </w:pPr>
      <w:r>
        <w:rPr>
          <w:rFonts w:ascii="Calibri" w:hAnsi="Calibri"/>
          <w:color w:val="0B2545"/>
          <w:sz w:val="22"/>
        </w:rPr>
        <w:t>For private academic data, answer only for the authenticated student unless the user has a verified staff/admin role.</w:t>
      </w:r>
    </w:p>
    <w:p>
      <w:pPr>
        <w:pStyle w:val="Heading1"/>
      </w:pPr>
      <w:r>
        <w:t>10. Security and Privacy</w:t>
      </w:r>
    </w:p>
    <w:p>
      <w:pPr>
        <w:spacing w:before="0" w:after="160" w:line="320" w:lineRule="auto"/>
      </w:pPr>
      <w:r>
        <w:rPr>
          <w:rFonts w:ascii="Calibri" w:hAnsi="Calibri"/>
          <w:b w:val="0"/>
          <w:i w:val="0"/>
          <w:color w:val="0B2545"/>
          <w:sz w:val="22"/>
        </w:rPr>
        <w:t>Because the assistant will handle student results and attendance, security must be treated as a core design requirement. The frontend should never call the LLM directly with unrestricted database access. All AI requests should pass through a backend API that validates authentication, role, and row-level permissions.</w:t>
      </w:r>
    </w:p>
    <w:tbl>
      <w:tblPr>
        <w:tblW w:type="dxa" w:w="9360"/>
        <w:tblLayout w:type="fixed"/>
        <w:tblLook w:firstColumn="1" w:firstRow="1" w:lastColumn="0" w:lastRow="0" w:noHBand="0" w:noVBand="1" w:val="04A0"/>
        <w:jc w:val="left"/>
        <w:tblInd w:w="120" w:type="dxa"/>
        <w:tblBorders>
          <w:top w:val="single" w:sz="4" w:space="0" w:color="D9E2EF"/>
          <w:left w:val="single" w:sz="4" w:space="0" w:color="D9E2EF"/>
          <w:bottom w:val="single" w:sz="4" w:space="0" w:color="D9E2EF"/>
          <w:right w:val="single" w:sz="4" w:space="0" w:color="D9E2EF"/>
          <w:insideH w:val="single" w:sz="4" w:space="0" w:color="D9E2EF"/>
          <w:insideV w:val="single" w:sz="4" w:space="0" w:color="D9E2EF"/>
        </w:tblBorders>
      </w:tblPr>
      <w:tblGrid>
        <w:gridCol w:w="2850"/>
        <w:gridCol w:w="6510"/>
      </w:tblGrid>
      <w:tr>
        <w:tc>
          <w:tcPr>
            <w:tcW w:type="dxa" w:w="2850"/>
            <w:tcMar>
              <w:top w:w="80" w:type="dxa"/>
              <w:start w:w="120" w:type="dxa"/>
              <w:bottom w:w="80" w:type="dxa"/>
              <w:end w:w="120" w:type="dxa"/>
            </w:tcMar>
            <w:vAlign w:val="top"/>
            <w:shd w:fill="F4F6F9"/>
          </w:tcPr>
          <w:p>
            <w:pPr>
              <w:spacing w:before="0" w:after="0" w:line="264" w:lineRule="auto"/>
            </w:pPr>
            <w:r>
              <w:rPr>
                <w:rFonts w:ascii="Calibri" w:hAnsi="Calibri"/>
                <w:b/>
                <w:color w:val="1F4D78"/>
                <w:sz w:val="20"/>
              </w:rPr>
              <w:t>Risk</w:t>
            </w:r>
          </w:p>
        </w:tc>
        <w:tc>
          <w:tcPr>
            <w:tcW w:type="dxa" w:w="6510"/>
            <w:tcMar>
              <w:top w:w="80" w:type="dxa"/>
              <w:start w:w="120" w:type="dxa"/>
              <w:bottom w:w="80" w:type="dxa"/>
              <w:end w:w="120" w:type="dxa"/>
            </w:tcMar>
            <w:vAlign w:val="top"/>
            <w:shd w:fill="F4F6F9"/>
          </w:tcPr>
          <w:p>
            <w:pPr>
              <w:spacing w:before="0" w:after="0" w:line="264" w:lineRule="auto"/>
            </w:pPr>
            <w:r>
              <w:rPr>
                <w:rFonts w:ascii="Calibri" w:hAnsi="Calibri"/>
                <w:b/>
                <w:color w:val="1F4D78"/>
                <w:sz w:val="20"/>
              </w:rPr>
              <w:t>Mitigation</w:t>
            </w:r>
          </w:p>
        </w:tc>
      </w:tr>
      <w:tr>
        <w:tc>
          <w:tcPr>
            <w:tcW w:type="dxa" w:w="2850"/>
            <w:tcMar>
              <w:top w:w="80" w:type="dxa"/>
              <w:start w:w="120" w:type="dxa"/>
              <w:bottom w:w="80" w:type="dxa"/>
              <w:end w:w="120" w:type="dxa"/>
            </w:tcMar>
            <w:vAlign w:val="top"/>
          </w:tcPr>
          <w:p>
            <w:pPr>
              <w:spacing w:before="0" w:after="0" w:line="264" w:lineRule="auto"/>
            </w:pPr>
            <w:r>
              <w:rPr>
                <w:rFonts w:ascii="Calibri" w:hAnsi="Calibri"/>
                <w:color w:val="0B2545"/>
                <w:sz w:val="19"/>
              </w:rPr>
              <w:t>Student sees another student's results</w:t>
            </w:r>
          </w:p>
        </w:tc>
        <w:tc>
          <w:tcPr>
            <w:tcW w:type="dxa" w:w="6510"/>
            <w:tcMar>
              <w:top w:w="80" w:type="dxa"/>
              <w:start w:w="120" w:type="dxa"/>
              <w:bottom w:w="80" w:type="dxa"/>
              <w:end w:w="120" w:type="dxa"/>
            </w:tcMar>
            <w:vAlign w:val="top"/>
          </w:tcPr>
          <w:p>
            <w:pPr>
              <w:spacing w:before="0" w:after="0" w:line="264" w:lineRule="auto"/>
            </w:pPr>
            <w:r>
              <w:rPr>
                <w:rFonts w:ascii="Calibri" w:hAnsi="Calibri"/>
                <w:color w:val="0B2545"/>
                <w:sz w:val="19"/>
              </w:rPr>
              <w:t>Use Supabase RLS and backend role checks; tool functions must accept authenticated user context, not arbitrary student ids from the prompt.</w:t>
            </w:r>
          </w:p>
        </w:tc>
      </w:tr>
      <w:tr>
        <w:tc>
          <w:tcPr>
            <w:tcW w:type="dxa" w:w="2850"/>
            <w:tcMar>
              <w:top w:w="80" w:type="dxa"/>
              <w:start w:w="120" w:type="dxa"/>
              <w:bottom w:w="80" w:type="dxa"/>
              <w:end w:w="120" w:type="dxa"/>
            </w:tcMar>
            <w:vAlign w:val="top"/>
          </w:tcPr>
          <w:p>
            <w:pPr>
              <w:spacing w:before="0" w:after="0" w:line="264" w:lineRule="auto"/>
            </w:pPr>
            <w:r>
              <w:rPr>
                <w:rFonts w:ascii="Calibri" w:hAnsi="Calibri"/>
                <w:color w:val="0B2545"/>
                <w:sz w:val="19"/>
              </w:rPr>
              <w:t>LLM invents academic rules</w:t>
            </w:r>
          </w:p>
        </w:tc>
        <w:tc>
          <w:tcPr>
            <w:tcW w:type="dxa" w:w="6510"/>
            <w:tcMar>
              <w:top w:w="80" w:type="dxa"/>
              <w:start w:w="120" w:type="dxa"/>
              <w:bottom w:w="80" w:type="dxa"/>
              <w:end w:w="120" w:type="dxa"/>
            </w:tcMar>
            <w:vAlign w:val="top"/>
          </w:tcPr>
          <w:p>
            <w:pPr>
              <w:spacing w:before="0" w:after="0" w:line="264" w:lineRule="auto"/>
            </w:pPr>
            <w:r>
              <w:rPr>
                <w:rFonts w:ascii="Calibri" w:hAnsi="Calibri"/>
                <w:color w:val="0B2545"/>
                <w:sz w:val="19"/>
              </w:rPr>
              <w:t>Use RAG with handbook chunks and require citations/grounding for regulation answers.</w:t>
            </w:r>
          </w:p>
        </w:tc>
      </w:tr>
      <w:tr>
        <w:tc>
          <w:tcPr>
            <w:tcW w:type="dxa" w:w="2850"/>
            <w:tcMar>
              <w:top w:w="80" w:type="dxa"/>
              <w:start w:w="120" w:type="dxa"/>
              <w:bottom w:w="80" w:type="dxa"/>
              <w:end w:w="120" w:type="dxa"/>
            </w:tcMar>
            <w:vAlign w:val="top"/>
          </w:tcPr>
          <w:p>
            <w:pPr>
              <w:spacing w:before="0" w:after="0" w:line="264" w:lineRule="auto"/>
            </w:pPr>
            <w:r>
              <w:rPr>
                <w:rFonts w:ascii="Calibri" w:hAnsi="Calibri"/>
                <w:color w:val="0B2545"/>
                <w:sz w:val="19"/>
              </w:rPr>
              <w:t>Wrong GPA calculation</w:t>
            </w:r>
          </w:p>
        </w:tc>
        <w:tc>
          <w:tcPr>
            <w:tcW w:type="dxa" w:w="6510"/>
            <w:tcMar>
              <w:top w:w="80" w:type="dxa"/>
              <w:start w:w="120" w:type="dxa"/>
              <w:bottom w:w="80" w:type="dxa"/>
              <w:end w:w="120" w:type="dxa"/>
            </w:tcMar>
            <w:vAlign w:val="top"/>
          </w:tcPr>
          <w:p>
            <w:pPr>
              <w:spacing w:before="0" w:after="0" w:line="264" w:lineRule="auto"/>
            </w:pPr>
            <w:r>
              <w:rPr>
                <w:rFonts w:ascii="Calibri" w:hAnsi="Calibri"/>
                <w:color w:val="0B2545"/>
                <w:sz w:val="19"/>
              </w:rPr>
              <w:t>Move GPA math into tested backend functions and return computed values to the model.</w:t>
            </w:r>
          </w:p>
        </w:tc>
      </w:tr>
      <w:tr>
        <w:tc>
          <w:tcPr>
            <w:tcW w:type="dxa" w:w="2850"/>
            <w:tcMar>
              <w:top w:w="80" w:type="dxa"/>
              <w:start w:w="120" w:type="dxa"/>
              <w:bottom w:w="80" w:type="dxa"/>
              <w:end w:w="120" w:type="dxa"/>
            </w:tcMar>
            <w:vAlign w:val="top"/>
          </w:tcPr>
          <w:p>
            <w:pPr>
              <w:spacing w:before="0" w:after="0" w:line="264" w:lineRule="auto"/>
            </w:pPr>
            <w:r>
              <w:rPr>
                <w:rFonts w:ascii="Calibri" w:hAnsi="Calibri"/>
                <w:color w:val="0B2545"/>
                <w:sz w:val="19"/>
              </w:rPr>
              <w:t>Prompt injection from uploaded files</w:t>
            </w:r>
          </w:p>
        </w:tc>
        <w:tc>
          <w:tcPr>
            <w:tcW w:type="dxa" w:w="6510"/>
            <w:tcMar>
              <w:top w:w="80" w:type="dxa"/>
              <w:start w:w="120" w:type="dxa"/>
              <w:bottom w:w="80" w:type="dxa"/>
              <w:end w:w="120" w:type="dxa"/>
            </w:tcMar>
            <w:vAlign w:val="top"/>
          </w:tcPr>
          <w:p>
            <w:pPr>
              <w:spacing w:before="0" w:after="0" w:line="264" w:lineRule="auto"/>
            </w:pPr>
            <w:r>
              <w:rPr>
                <w:rFonts w:ascii="Calibri" w:hAnsi="Calibri"/>
                <w:color w:val="0B2545"/>
                <w:sz w:val="19"/>
              </w:rPr>
              <w:t>Treat retrieved text as untrusted context; system prompt must prevent tool misuse and data exfiltration.</w:t>
            </w:r>
          </w:p>
        </w:tc>
      </w:tr>
      <w:tr>
        <w:tc>
          <w:tcPr>
            <w:tcW w:type="dxa" w:w="2850"/>
            <w:tcMar>
              <w:top w:w="80" w:type="dxa"/>
              <w:start w:w="120" w:type="dxa"/>
              <w:bottom w:w="80" w:type="dxa"/>
              <w:end w:w="120" w:type="dxa"/>
            </w:tcMar>
            <w:vAlign w:val="top"/>
          </w:tcPr>
          <w:p>
            <w:pPr>
              <w:spacing w:before="0" w:after="0" w:line="264" w:lineRule="auto"/>
            </w:pPr>
            <w:r>
              <w:rPr>
                <w:rFonts w:ascii="Calibri" w:hAnsi="Calibri"/>
                <w:color w:val="0B2545"/>
                <w:sz w:val="19"/>
              </w:rPr>
              <w:t>Incomplete result data</w:t>
            </w:r>
          </w:p>
        </w:tc>
        <w:tc>
          <w:tcPr>
            <w:tcW w:type="dxa" w:w="6510"/>
            <w:tcMar>
              <w:top w:w="80" w:type="dxa"/>
              <w:start w:w="120" w:type="dxa"/>
              <w:bottom w:w="80" w:type="dxa"/>
              <w:end w:w="120" w:type="dxa"/>
            </w:tcMar>
            <w:vAlign w:val="top"/>
          </w:tcPr>
          <w:p>
            <w:pPr>
              <w:spacing w:before="0" w:after="0" w:line="264" w:lineRule="auto"/>
            </w:pPr>
            <w:r>
              <w:rPr>
                <w:rFonts w:ascii="Calibri" w:hAnsi="Calibri"/>
                <w:color w:val="0B2545"/>
                <w:sz w:val="19"/>
              </w:rPr>
              <w:t>Expose data completeness status and date of last update in personalized answers.</w:t>
            </w:r>
          </w:p>
        </w:tc>
      </w:tr>
    </w:tbl>
    <w:p>
      <w:pPr>
        <w:spacing w:before="0" w:after="40" w:line="320" w:lineRule="auto"/>
      </w:pPr>
      <w:r>
        <w:rPr>
          <w:rFonts w:ascii="Calibri" w:hAnsi="Calibri"/>
          <w:b w:val="0"/>
          <w:i w:val="0"/>
          <w:color w:val="0B2545"/>
          <w:sz w:val="22"/>
        </w:rPr>
      </w:r>
    </w:p>
    <w:p>
      <w:pPr>
        <w:pStyle w:val="Heading1"/>
      </w:pPr>
      <w:r>
        <w:t>11. Evaluation Plan</w:t>
      </w:r>
    </w:p>
    <w:p>
      <w:pPr>
        <w:spacing w:before="0" w:after="160" w:line="320" w:lineRule="auto"/>
      </w:pPr>
      <w:r>
        <w:rPr>
          <w:rFonts w:ascii="Calibri" w:hAnsi="Calibri"/>
          <w:b w:val="0"/>
          <w:i w:val="0"/>
          <w:color w:val="0B2545"/>
          <w:sz w:val="22"/>
        </w:rPr>
        <w:t>The assistant should be tested like an academic information system, not only like a chatbot. A small evaluation set should be created before launch, using real questions from students and expected answers based on the handbook and sample Supabase data.</w:t>
      </w:r>
    </w:p>
    <w:p>
      <w:pPr>
        <w:pStyle w:val="ListBullet"/>
        <w:spacing w:after="80" w:line="290" w:lineRule="auto"/>
        <w:ind w:left="540" w:hanging="279"/>
      </w:pPr>
      <w:r>
        <w:rPr>
          <w:rFonts w:ascii="Calibri" w:hAnsi="Calibri"/>
          <w:color w:val="0B2545"/>
          <w:sz w:val="22"/>
        </w:rPr>
        <w:t>Golden-answer tests: 50-100 common questions with expected answer patterns and required source sections.</w:t>
      </w:r>
    </w:p>
    <w:p>
      <w:pPr>
        <w:pStyle w:val="ListBullet"/>
        <w:spacing w:after="80" w:line="290" w:lineRule="auto"/>
        <w:ind w:left="540" w:hanging="279"/>
      </w:pPr>
      <w:r>
        <w:rPr>
          <w:rFonts w:ascii="Calibri" w:hAnsi="Calibri"/>
          <w:color w:val="0B2545"/>
          <w:sz w:val="22"/>
        </w:rPr>
        <w:t>Calculator tests: unit tests for GPA, CGPA, SGPA, required target GPA, impossible targets, repeated courses, and non-GPA courses.</w:t>
      </w:r>
    </w:p>
    <w:p>
      <w:pPr>
        <w:pStyle w:val="ListBullet"/>
        <w:spacing w:after="80" w:line="290" w:lineRule="auto"/>
        <w:ind w:left="540" w:hanging="279"/>
      </w:pPr>
      <w:r>
        <w:rPr>
          <w:rFonts w:ascii="Calibri" w:hAnsi="Calibri"/>
          <w:color w:val="0B2545"/>
          <w:sz w:val="22"/>
        </w:rPr>
        <w:t>Retrieval tests: check whether the correct handbook section appears in the top retrieved chunks.</w:t>
      </w:r>
    </w:p>
    <w:p>
      <w:pPr>
        <w:pStyle w:val="ListBullet"/>
        <w:spacing w:after="80" w:line="290" w:lineRule="auto"/>
        <w:ind w:left="540" w:hanging="279"/>
      </w:pPr>
      <w:r>
        <w:rPr>
          <w:rFonts w:ascii="Calibri" w:hAnsi="Calibri"/>
          <w:color w:val="0B2545"/>
          <w:sz w:val="22"/>
        </w:rPr>
        <w:t>Privacy tests: verify that a student cannot request another student's results, index, email, attendance, or GPA.</w:t>
      </w:r>
    </w:p>
    <w:p>
      <w:pPr>
        <w:pStyle w:val="ListBullet"/>
        <w:spacing w:after="80" w:line="290" w:lineRule="auto"/>
        <w:ind w:left="540" w:hanging="279"/>
      </w:pPr>
      <w:r>
        <w:rPr>
          <w:rFonts w:ascii="Calibri" w:hAnsi="Calibri"/>
          <w:color w:val="0B2545"/>
          <w:sz w:val="22"/>
        </w:rPr>
        <w:t>User feedback: add thumbs up/down and optional comments so wrong answers can be reviewed and fixed.</w:t>
      </w:r>
    </w:p>
    <w:p>
      <w:pPr>
        <w:pStyle w:val="Heading1"/>
      </w:pPr>
      <w:r>
        <w:t>12. Implementation Roadmap</w:t>
      </w:r>
    </w:p>
    <w:tbl>
      <w:tblPr>
        <w:tblW w:type="dxa" w:w="9360"/>
        <w:tblLayout w:type="fixed"/>
        <w:tblLook w:firstColumn="1" w:firstRow="1" w:lastColumn="0" w:lastRow="0" w:noHBand="0" w:noVBand="1" w:val="04A0"/>
        <w:jc w:val="left"/>
        <w:tblInd w:w="120" w:type="dxa"/>
        <w:tblBorders>
          <w:top w:val="single" w:sz="4" w:space="0" w:color="D9E2EF"/>
          <w:left w:val="single" w:sz="4" w:space="0" w:color="D9E2EF"/>
          <w:bottom w:val="single" w:sz="4" w:space="0" w:color="D9E2EF"/>
          <w:right w:val="single" w:sz="4" w:space="0" w:color="D9E2EF"/>
          <w:insideH w:val="single" w:sz="4" w:space="0" w:color="D9E2EF"/>
          <w:insideV w:val="single" w:sz="4" w:space="0" w:color="D9E2EF"/>
        </w:tblBorders>
      </w:tblPr>
      <w:tblGrid>
        <w:gridCol w:w="1200"/>
        <w:gridCol w:w="3300"/>
        <w:gridCol w:w="4860"/>
      </w:tblGrid>
      <w:tr>
        <w:tc>
          <w:tcPr>
            <w:tcW w:type="dxa" w:w="1200"/>
            <w:tcMar>
              <w:top w:w="80" w:type="dxa"/>
              <w:start w:w="120" w:type="dxa"/>
              <w:bottom w:w="80" w:type="dxa"/>
              <w:end w:w="120" w:type="dxa"/>
            </w:tcMar>
            <w:vAlign w:val="top"/>
            <w:shd w:fill="F4F6F9"/>
          </w:tcPr>
          <w:p>
            <w:pPr>
              <w:spacing w:before="0" w:after="0" w:line="264" w:lineRule="auto"/>
            </w:pPr>
            <w:r>
              <w:rPr>
                <w:rFonts w:ascii="Calibri" w:hAnsi="Calibri"/>
                <w:b/>
                <w:color w:val="1F4D78"/>
                <w:sz w:val="20"/>
              </w:rPr>
              <w:t>Phase</w:t>
            </w:r>
          </w:p>
        </w:tc>
        <w:tc>
          <w:tcPr>
            <w:tcW w:type="dxa" w:w="3300"/>
            <w:tcMar>
              <w:top w:w="80" w:type="dxa"/>
              <w:start w:w="120" w:type="dxa"/>
              <w:bottom w:w="80" w:type="dxa"/>
              <w:end w:w="120" w:type="dxa"/>
            </w:tcMar>
            <w:vAlign w:val="top"/>
            <w:shd w:fill="F4F6F9"/>
          </w:tcPr>
          <w:p>
            <w:pPr>
              <w:spacing w:before="0" w:after="0" w:line="264" w:lineRule="auto"/>
            </w:pPr>
            <w:r>
              <w:rPr>
                <w:rFonts w:ascii="Calibri" w:hAnsi="Calibri"/>
                <w:b/>
                <w:color w:val="1F4D78"/>
                <w:sz w:val="20"/>
              </w:rPr>
              <w:t>Scope</w:t>
            </w:r>
          </w:p>
        </w:tc>
        <w:tc>
          <w:tcPr>
            <w:tcW w:type="dxa" w:w="4860"/>
            <w:tcMar>
              <w:top w:w="80" w:type="dxa"/>
              <w:start w:w="120" w:type="dxa"/>
              <w:bottom w:w="80" w:type="dxa"/>
              <w:end w:w="120" w:type="dxa"/>
            </w:tcMar>
            <w:vAlign w:val="top"/>
            <w:shd w:fill="F4F6F9"/>
          </w:tcPr>
          <w:p>
            <w:pPr>
              <w:spacing w:before="0" w:after="0" w:line="264" w:lineRule="auto"/>
            </w:pPr>
            <w:r>
              <w:rPr>
                <w:rFonts w:ascii="Calibri" w:hAnsi="Calibri"/>
                <w:b/>
                <w:color w:val="1F4D78"/>
                <w:sz w:val="20"/>
              </w:rPr>
              <w:t>Deliverable</w:t>
            </w:r>
          </w:p>
        </w:tc>
      </w:tr>
      <w:tr>
        <w:tc>
          <w:tcPr>
            <w:tcW w:type="dxa" w:w="1200"/>
            <w:tcMar>
              <w:top w:w="80" w:type="dxa"/>
              <w:start w:w="120" w:type="dxa"/>
              <w:bottom w:w="80" w:type="dxa"/>
              <w:end w:w="120" w:type="dxa"/>
            </w:tcMar>
            <w:vAlign w:val="top"/>
          </w:tcPr>
          <w:p>
            <w:pPr>
              <w:spacing w:before="0" w:after="0" w:line="264" w:lineRule="auto"/>
            </w:pPr>
            <w:r>
              <w:rPr>
                <w:rFonts w:ascii="Calibri" w:hAnsi="Calibri"/>
                <w:color w:val="0B2545"/>
                <w:sz w:val="19"/>
              </w:rPr>
              <w:t>Phase 1</w:t>
            </w:r>
          </w:p>
        </w:tc>
        <w:tc>
          <w:tcPr>
            <w:tcW w:type="dxa" w:w="3300"/>
            <w:tcMar>
              <w:top w:w="80" w:type="dxa"/>
              <w:start w:w="120" w:type="dxa"/>
              <w:bottom w:w="80" w:type="dxa"/>
              <w:end w:w="120" w:type="dxa"/>
            </w:tcMar>
            <w:vAlign w:val="top"/>
          </w:tcPr>
          <w:p>
            <w:pPr>
              <w:spacing w:before="0" w:after="0" w:line="264" w:lineRule="auto"/>
            </w:pPr>
            <w:r>
              <w:rPr>
                <w:rFonts w:ascii="Calibri" w:hAnsi="Calibri"/>
                <w:color w:val="0B2545"/>
                <w:sz w:val="19"/>
              </w:rPr>
              <w:t>Data cleanup and curriculum modeling</w:t>
            </w:r>
          </w:p>
        </w:tc>
        <w:tc>
          <w:tcPr>
            <w:tcW w:type="dxa" w:w="4860"/>
            <w:tcMar>
              <w:top w:w="80" w:type="dxa"/>
              <w:start w:w="120" w:type="dxa"/>
              <w:bottom w:w="80" w:type="dxa"/>
              <w:end w:w="120" w:type="dxa"/>
            </w:tcMar>
            <w:vAlign w:val="top"/>
          </w:tcPr>
          <w:p>
            <w:pPr>
              <w:spacing w:before="0" w:after="0" w:line="264" w:lineRule="auto"/>
            </w:pPr>
            <w:r>
              <w:rPr>
                <w:rFonts w:ascii="Calibri" w:hAnsi="Calibri"/>
                <w:color w:val="0B2545"/>
                <w:sz w:val="19"/>
              </w:rPr>
              <w:t>Departments, courses, curriculum semesters, and handbook chunks ready in Supabase.</w:t>
            </w:r>
          </w:p>
        </w:tc>
      </w:tr>
      <w:tr>
        <w:tc>
          <w:tcPr>
            <w:tcW w:type="dxa" w:w="1200"/>
            <w:tcMar>
              <w:top w:w="80" w:type="dxa"/>
              <w:start w:w="120" w:type="dxa"/>
              <w:bottom w:w="80" w:type="dxa"/>
              <w:end w:w="120" w:type="dxa"/>
            </w:tcMar>
            <w:vAlign w:val="top"/>
          </w:tcPr>
          <w:p>
            <w:pPr>
              <w:spacing w:before="0" w:after="0" w:line="264" w:lineRule="auto"/>
            </w:pPr>
            <w:r>
              <w:rPr>
                <w:rFonts w:ascii="Calibri" w:hAnsi="Calibri"/>
                <w:color w:val="0B2545"/>
                <w:sz w:val="19"/>
              </w:rPr>
              <w:t>Phase 2</w:t>
            </w:r>
          </w:p>
        </w:tc>
        <w:tc>
          <w:tcPr>
            <w:tcW w:type="dxa" w:w="3300"/>
            <w:tcMar>
              <w:top w:w="80" w:type="dxa"/>
              <w:start w:w="120" w:type="dxa"/>
              <w:bottom w:w="80" w:type="dxa"/>
              <w:end w:w="120" w:type="dxa"/>
            </w:tcMar>
            <w:vAlign w:val="top"/>
          </w:tcPr>
          <w:p>
            <w:pPr>
              <w:spacing w:before="0" w:after="0" w:line="264" w:lineRule="auto"/>
            </w:pPr>
            <w:r>
              <w:rPr>
                <w:rFonts w:ascii="Calibri" w:hAnsi="Calibri"/>
                <w:color w:val="0B2545"/>
                <w:sz w:val="19"/>
              </w:rPr>
              <w:t>Basic handbook assistant</w:t>
            </w:r>
          </w:p>
        </w:tc>
        <w:tc>
          <w:tcPr>
            <w:tcW w:type="dxa" w:w="4860"/>
            <w:tcMar>
              <w:top w:w="80" w:type="dxa"/>
              <w:start w:w="120" w:type="dxa"/>
              <w:bottom w:w="80" w:type="dxa"/>
              <w:end w:w="120" w:type="dxa"/>
            </w:tcMar>
            <w:vAlign w:val="top"/>
          </w:tcPr>
          <w:p>
            <w:pPr>
              <w:spacing w:before="0" w:after="0" w:line="264" w:lineRule="auto"/>
            </w:pPr>
            <w:r>
              <w:rPr>
                <w:rFonts w:ascii="Calibri" w:hAnsi="Calibri"/>
                <w:color w:val="0B2545"/>
                <w:sz w:val="19"/>
              </w:rPr>
              <w:t>Students can ask general faculty questions with handbook-grounded answers.</w:t>
            </w:r>
          </w:p>
        </w:tc>
      </w:tr>
      <w:tr>
        <w:tc>
          <w:tcPr>
            <w:tcW w:type="dxa" w:w="1200"/>
            <w:tcMar>
              <w:top w:w="80" w:type="dxa"/>
              <w:start w:w="120" w:type="dxa"/>
              <w:bottom w:w="80" w:type="dxa"/>
              <w:end w:w="120" w:type="dxa"/>
            </w:tcMar>
            <w:vAlign w:val="top"/>
          </w:tcPr>
          <w:p>
            <w:pPr>
              <w:spacing w:before="0" w:after="0" w:line="264" w:lineRule="auto"/>
            </w:pPr>
            <w:r>
              <w:rPr>
                <w:rFonts w:ascii="Calibri" w:hAnsi="Calibri"/>
                <w:color w:val="0B2545"/>
                <w:sz w:val="19"/>
              </w:rPr>
              <w:t>Phase 3</w:t>
            </w:r>
          </w:p>
        </w:tc>
        <w:tc>
          <w:tcPr>
            <w:tcW w:type="dxa" w:w="3300"/>
            <w:tcMar>
              <w:top w:w="80" w:type="dxa"/>
              <w:start w:w="120" w:type="dxa"/>
              <w:bottom w:w="80" w:type="dxa"/>
              <w:end w:w="120" w:type="dxa"/>
            </w:tcMar>
            <w:vAlign w:val="top"/>
          </w:tcPr>
          <w:p>
            <w:pPr>
              <w:spacing w:before="0" w:after="0" w:line="264" w:lineRule="auto"/>
            </w:pPr>
            <w:r>
              <w:rPr>
                <w:rFonts w:ascii="Calibri" w:hAnsi="Calibri"/>
                <w:color w:val="0B2545"/>
                <w:sz w:val="19"/>
              </w:rPr>
              <w:t>Personalized student assistant</w:t>
            </w:r>
          </w:p>
        </w:tc>
        <w:tc>
          <w:tcPr>
            <w:tcW w:type="dxa" w:w="4860"/>
            <w:tcMar>
              <w:top w:w="80" w:type="dxa"/>
              <w:start w:w="120" w:type="dxa"/>
              <w:bottom w:w="80" w:type="dxa"/>
              <w:end w:w="120" w:type="dxa"/>
            </w:tcMar>
            <w:vAlign w:val="top"/>
          </w:tcPr>
          <w:p>
            <w:pPr>
              <w:spacing w:before="0" w:after="0" w:line="264" w:lineRule="auto"/>
            </w:pPr>
            <w:r>
              <w:rPr>
                <w:rFonts w:ascii="Calibri" w:hAnsi="Calibri"/>
                <w:color w:val="0B2545"/>
                <w:sz w:val="19"/>
              </w:rPr>
              <w:t>Assistant answers next semester subjects, completed credits, CGPA summary, and missing result status.</w:t>
            </w:r>
          </w:p>
        </w:tc>
      </w:tr>
      <w:tr>
        <w:tc>
          <w:tcPr>
            <w:tcW w:type="dxa" w:w="1200"/>
            <w:tcMar>
              <w:top w:w="80" w:type="dxa"/>
              <w:start w:w="120" w:type="dxa"/>
              <w:bottom w:w="80" w:type="dxa"/>
              <w:end w:w="120" w:type="dxa"/>
            </w:tcMar>
            <w:vAlign w:val="top"/>
          </w:tcPr>
          <w:p>
            <w:pPr>
              <w:spacing w:before="0" w:after="0" w:line="264" w:lineRule="auto"/>
            </w:pPr>
            <w:r>
              <w:rPr>
                <w:rFonts w:ascii="Calibri" w:hAnsi="Calibri"/>
                <w:color w:val="0B2545"/>
                <w:sz w:val="19"/>
              </w:rPr>
              <w:t>Phase 4</w:t>
            </w:r>
          </w:p>
        </w:tc>
        <w:tc>
          <w:tcPr>
            <w:tcW w:type="dxa" w:w="3300"/>
            <w:tcMar>
              <w:top w:w="80" w:type="dxa"/>
              <w:start w:w="120" w:type="dxa"/>
              <w:bottom w:w="80" w:type="dxa"/>
              <w:end w:w="120" w:type="dxa"/>
            </w:tcMar>
            <w:vAlign w:val="top"/>
          </w:tcPr>
          <w:p>
            <w:pPr>
              <w:spacing w:before="0" w:after="0" w:line="264" w:lineRule="auto"/>
            </w:pPr>
            <w:r>
              <w:rPr>
                <w:rFonts w:ascii="Calibri" w:hAnsi="Calibri"/>
                <w:color w:val="0B2545"/>
                <w:sz w:val="19"/>
              </w:rPr>
              <w:t>GPA target planner</w:t>
            </w:r>
          </w:p>
        </w:tc>
        <w:tc>
          <w:tcPr>
            <w:tcW w:type="dxa" w:w="4860"/>
            <w:tcMar>
              <w:top w:w="80" w:type="dxa"/>
              <w:start w:w="120" w:type="dxa"/>
              <w:bottom w:w="80" w:type="dxa"/>
              <w:end w:w="120" w:type="dxa"/>
            </w:tcMar>
            <w:vAlign w:val="top"/>
          </w:tcPr>
          <w:p>
            <w:pPr>
              <w:spacing w:before="0" w:after="0" w:line="264" w:lineRule="auto"/>
            </w:pPr>
            <w:r>
              <w:rPr>
                <w:rFonts w:ascii="Calibri" w:hAnsi="Calibri"/>
                <w:color w:val="0B2545"/>
                <w:sz w:val="19"/>
              </w:rPr>
              <w:t>What-if planning for target CGPA, Dean's List, class targets, and semester scenarios.</w:t>
            </w:r>
          </w:p>
        </w:tc>
      </w:tr>
      <w:tr>
        <w:tc>
          <w:tcPr>
            <w:tcW w:type="dxa" w:w="1200"/>
            <w:tcMar>
              <w:top w:w="80" w:type="dxa"/>
              <w:start w:w="120" w:type="dxa"/>
              <w:bottom w:w="80" w:type="dxa"/>
              <w:end w:w="120" w:type="dxa"/>
            </w:tcMar>
            <w:vAlign w:val="top"/>
          </w:tcPr>
          <w:p>
            <w:pPr>
              <w:spacing w:before="0" w:after="0" w:line="264" w:lineRule="auto"/>
            </w:pPr>
            <w:r>
              <w:rPr>
                <w:rFonts w:ascii="Calibri" w:hAnsi="Calibri"/>
                <w:color w:val="0B2545"/>
                <w:sz w:val="19"/>
              </w:rPr>
              <w:t>Phase 5</w:t>
            </w:r>
          </w:p>
        </w:tc>
        <w:tc>
          <w:tcPr>
            <w:tcW w:type="dxa" w:w="3300"/>
            <w:tcMar>
              <w:top w:w="80" w:type="dxa"/>
              <w:start w:w="120" w:type="dxa"/>
              <w:bottom w:w="80" w:type="dxa"/>
              <w:end w:w="120" w:type="dxa"/>
            </w:tcMar>
            <w:vAlign w:val="top"/>
          </w:tcPr>
          <w:p>
            <w:pPr>
              <w:spacing w:before="0" w:after="0" w:line="264" w:lineRule="auto"/>
            </w:pPr>
            <w:r>
              <w:rPr>
                <w:rFonts w:ascii="Calibri" w:hAnsi="Calibri"/>
                <w:color w:val="0B2545"/>
                <w:sz w:val="19"/>
              </w:rPr>
              <w:t>Risk and prediction layer</w:t>
            </w:r>
          </w:p>
        </w:tc>
        <w:tc>
          <w:tcPr>
            <w:tcW w:type="dxa" w:w="4860"/>
            <w:tcMar>
              <w:top w:w="80" w:type="dxa"/>
              <w:start w:w="120" w:type="dxa"/>
              <w:bottom w:w="80" w:type="dxa"/>
              <w:end w:w="120" w:type="dxa"/>
            </w:tcMar>
            <w:vAlign w:val="top"/>
          </w:tcPr>
          <w:p>
            <w:pPr>
              <w:spacing w:before="0" w:after="0" w:line="264" w:lineRule="auto"/>
            </w:pPr>
            <w:r>
              <w:rPr>
                <w:rFonts w:ascii="Calibri" w:hAnsi="Calibri"/>
                <w:color w:val="0B2545"/>
                <w:sz w:val="19"/>
              </w:rPr>
              <w:t>Attendance risk, performance trend warnings, and later CART-based prediction once enough historical data exists.</w:t>
            </w:r>
          </w:p>
        </w:tc>
      </w:tr>
    </w:tbl>
    <w:p>
      <w:pPr>
        <w:spacing w:before="0" w:after="40" w:line="320" w:lineRule="auto"/>
      </w:pPr>
      <w:r>
        <w:rPr>
          <w:rFonts w:ascii="Calibri" w:hAnsi="Calibri"/>
          <w:b w:val="0"/>
          <w:i w:val="0"/>
          <w:color w:val="0B2545"/>
          <w:sz w:val="22"/>
        </w:rPr>
      </w:r>
    </w:p>
    <w:p>
      <w:pPr>
        <w:pStyle w:val="Heading1"/>
      </w:pPr>
      <w:r>
        <w:t>13. Recommended MVP</w:t>
      </w:r>
    </w:p>
    <w:p>
      <w:pPr>
        <w:spacing w:before="0" w:after="160" w:line="320" w:lineRule="auto"/>
      </w:pPr>
      <w:r>
        <w:rPr>
          <w:rFonts w:ascii="Calibri" w:hAnsi="Calibri"/>
          <w:b w:val="0"/>
          <w:i w:val="0"/>
          <w:color w:val="0B2545"/>
          <w:sz w:val="22"/>
        </w:rPr>
        <w:t>The best first version should focus on reliability, not maximum AI complexity. The MVP should answer handbook questions, show next semester subjects, summarize current academic standing, and calculate target GPA scenarios. Prediction models such as CART should be added only after the database has enough clean historical results to train and validate them.</w:t>
      </w:r>
    </w:p>
    <w:p>
      <w:pPr>
        <w:spacing w:before="0" w:after="160" w:line="320" w:lineRule="auto"/>
      </w:pPr>
      <w:r>
        <w:rPr>
          <w:rFonts w:ascii="Calibri" w:hAnsi="Calibri"/>
          <w:b w:val="0"/>
          <w:i w:val="0"/>
          <w:color w:val="0B2545"/>
          <w:sz w:val="22"/>
        </w:rPr>
        <w:t>This keeps the biggest student value inside the first release: students can ask questions naturally and receive correct, personalized answers that previously required searching PDFs, checking spreadsheets, or manually calculating GPA.</w:t>
      </w:r>
    </w:p>
    <w:p>
      <w:pPr>
        <w:pStyle w:val="Heading1"/>
      </w:pPr>
      <w:r>
        <w:t>14. Example Answers</w:t>
      </w:r>
    </w:p>
    <w:tbl>
      <w:tblPr>
        <w:tblW w:type="dxa" w:w="9360"/>
        <w:tblLayout w:type="fixed"/>
        <w:tblLook w:firstColumn="1" w:firstRow="1" w:lastColumn="0" w:lastRow="0" w:noHBand="0" w:noVBand="1" w:val="04A0"/>
        <w:jc w:val="left"/>
        <w:tblInd w:w="120" w:type="dxa"/>
        <w:tblBorders>
          <w:top w:val="single" w:sz="4" w:space="0" w:color="D9E2EF"/>
          <w:left w:val="single" w:sz="4" w:space="0" w:color="D9E2EF"/>
          <w:bottom w:val="single" w:sz="4" w:space="0" w:color="D9E2EF"/>
          <w:right w:val="single" w:sz="4" w:space="0" w:color="D9E2EF"/>
          <w:insideH w:val="single" w:sz="4" w:space="0" w:color="D9E2EF"/>
          <w:insideV w:val="single" w:sz="4" w:space="0" w:color="D9E2EF"/>
        </w:tblBorders>
      </w:tblPr>
      <w:tblGrid>
        <w:gridCol w:w="2600"/>
        <w:gridCol w:w="6760"/>
      </w:tblGrid>
      <w:tr>
        <w:tc>
          <w:tcPr>
            <w:tcW w:type="dxa" w:w="2600"/>
            <w:tcMar>
              <w:top w:w="80" w:type="dxa"/>
              <w:start w:w="120" w:type="dxa"/>
              <w:bottom w:w="80" w:type="dxa"/>
              <w:end w:w="120" w:type="dxa"/>
            </w:tcMar>
            <w:vAlign w:val="top"/>
            <w:shd w:fill="F4F6F9"/>
          </w:tcPr>
          <w:p>
            <w:pPr>
              <w:spacing w:before="0" w:after="0" w:line="264" w:lineRule="auto"/>
            </w:pPr>
            <w:r>
              <w:rPr>
                <w:rFonts w:ascii="Calibri" w:hAnsi="Calibri"/>
                <w:b/>
                <w:color w:val="1F4D78"/>
                <w:sz w:val="20"/>
              </w:rPr>
              <w:t>Student Question</w:t>
            </w:r>
          </w:p>
        </w:tc>
        <w:tc>
          <w:tcPr>
            <w:tcW w:type="dxa" w:w="6760"/>
            <w:tcMar>
              <w:top w:w="80" w:type="dxa"/>
              <w:start w:w="120" w:type="dxa"/>
              <w:bottom w:w="80" w:type="dxa"/>
              <w:end w:w="120" w:type="dxa"/>
            </w:tcMar>
            <w:vAlign w:val="top"/>
            <w:shd w:fill="F4F6F9"/>
          </w:tcPr>
          <w:p>
            <w:pPr>
              <w:spacing w:before="0" w:after="0" w:line="264" w:lineRule="auto"/>
            </w:pPr>
            <w:r>
              <w:rPr>
                <w:rFonts w:ascii="Calibri" w:hAnsi="Calibri"/>
                <w:b/>
                <w:color w:val="1F4D78"/>
                <w:sz w:val="20"/>
              </w:rPr>
              <w:t>Expected Assistant Behavior</w:t>
            </w:r>
          </w:p>
        </w:tc>
      </w:tr>
      <w:tr>
        <w:tc>
          <w:tcPr>
            <w:tcW w:type="dxa" w:w="2600"/>
            <w:tcMar>
              <w:top w:w="80" w:type="dxa"/>
              <w:start w:w="120" w:type="dxa"/>
              <w:bottom w:w="80" w:type="dxa"/>
              <w:end w:w="120" w:type="dxa"/>
            </w:tcMar>
            <w:vAlign w:val="top"/>
          </w:tcPr>
          <w:p>
            <w:pPr>
              <w:spacing w:before="0" w:after="0" w:line="264" w:lineRule="auto"/>
            </w:pPr>
            <w:r>
              <w:rPr>
                <w:rFonts w:ascii="Calibri" w:hAnsi="Calibri"/>
                <w:color w:val="0B2545"/>
                <w:sz w:val="19"/>
              </w:rPr>
              <w:t>What are my subjects next semester?</w:t>
            </w:r>
          </w:p>
        </w:tc>
        <w:tc>
          <w:tcPr>
            <w:tcW w:type="dxa" w:w="6760"/>
            <w:tcMar>
              <w:top w:w="80" w:type="dxa"/>
              <w:start w:w="120" w:type="dxa"/>
              <w:bottom w:w="80" w:type="dxa"/>
              <w:end w:w="120" w:type="dxa"/>
            </w:tcMar>
            <w:vAlign w:val="top"/>
          </w:tcPr>
          <w:p>
            <w:pPr>
              <w:spacing w:before="0" w:after="0" w:line="264" w:lineRule="auto"/>
            </w:pPr>
            <w:r>
              <w:rPr>
                <w:rFonts w:ascii="Calibri" w:hAnsi="Calibri"/>
                <w:color w:val="0B2545"/>
                <w:sz w:val="19"/>
              </w:rPr>
              <w:t>Identify the student, determine next semester, fetch department curriculum, and list courses with credits and GPA contribution.</w:t>
            </w:r>
          </w:p>
        </w:tc>
      </w:tr>
      <w:tr>
        <w:tc>
          <w:tcPr>
            <w:tcW w:type="dxa" w:w="2600"/>
            <w:tcMar>
              <w:top w:w="80" w:type="dxa"/>
              <w:start w:w="120" w:type="dxa"/>
              <w:bottom w:w="80" w:type="dxa"/>
              <w:end w:w="120" w:type="dxa"/>
            </w:tcMar>
            <w:vAlign w:val="top"/>
          </w:tcPr>
          <w:p>
            <w:pPr>
              <w:spacing w:before="0" w:after="0" w:line="264" w:lineRule="auto"/>
            </w:pPr>
            <w:r>
              <w:rPr>
                <w:rFonts w:ascii="Calibri" w:hAnsi="Calibri"/>
                <w:color w:val="0B2545"/>
                <w:sz w:val="19"/>
              </w:rPr>
              <w:t>I want 3.5 CGPA. What should I get next?</w:t>
            </w:r>
          </w:p>
        </w:tc>
        <w:tc>
          <w:tcPr>
            <w:tcW w:type="dxa" w:w="6760"/>
            <w:tcMar>
              <w:top w:w="80" w:type="dxa"/>
              <w:start w:w="120" w:type="dxa"/>
              <w:bottom w:w="80" w:type="dxa"/>
              <w:end w:w="120" w:type="dxa"/>
            </w:tcMar>
            <w:vAlign w:val="top"/>
          </w:tcPr>
          <w:p>
            <w:pPr>
              <w:spacing w:before="0" w:after="0" w:line="264" w:lineRule="auto"/>
            </w:pPr>
            <w:r>
              <w:rPr>
                <w:rFonts w:ascii="Calibri" w:hAnsi="Calibri"/>
                <w:color w:val="0B2545"/>
                <w:sz w:val="19"/>
              </w:rPr>
              <w:t>Use current results and remaining credits, calculate required GPA, show realistic scenarios, and state assumptions.</w:t>
            </w:r>
          </w:p>
        </w:tc>
      </w:tr>
      <w:tr>
        <w:tc>
          <w:tcPr>
            <w:tcW w:type="dxa" w:w="2600"/>
            <w:tcMar>
              <w:top w:w="80" w:type="dxa"/>
              <w:start w:w="120" w:type="dxa"/>
              <w:bottom w:w="80" w:type="dxa"/>
              <w:end w:w="120" w:type="dxa"/>
            </w:tcMar>
            <w:vAlign w:val="top"/>
          </w:tcPr>
          <w:p>
            <w:pPr>
              <w:spacing w:before="0" w:after="0" w:line="264" w:lineRule="auto"/>
            </w:pPr>
            <w:r>
              <w:rPr>
                <w:rFonts w:ascii="Calibri" w:hAnsi="Calibri"/>
                <w:color w:val="0B2545"/>
                <w:sz w:val="19"/>
              </w:rPr>
              <w:t>Can I get Dean's List this semester?</w:t>
            </w:r>
          </w:p>
        </w:tc>
        <w:tc>
          <w:tcPr>
            <w:tcW w:type="dxa" w:w="6760"/>
            <w:tcMar>
              <w:top w:w="80" w:type="dxa"/>
              <w:start w:w="120" w:type="dxa"/>
              <w:bottom w:w="80" w:type="dxa"/>
              <w:end w:w="120" w:type="dxa"/>
            </w:tcMar>
            <w:vAlign w:val="top"/>
          </w:tcPr>
          <w:p>
            <w:pPr>
              <w:spacing w:before="0" w:after="0" w:line="264" w:lineRule="auto"/>
            </w:pPr>
            <w:r>
              <w:rPr>
                <w:rFonts w:ascii="Calibri" w:hAnsi="Calibri"/>
                <w:color w:val="0B2545"/>
                <w:sz w:val="19"/>
              </w:rPr>
              <w:t>Retrieve handbook rule, check semester results/completion status, and explain eligibility.</w:t>
            </w:r>
          </w:p>
        </w:tc>
      </w:tr>
      <w:tr>
        <w:tc>
          <w:tcPr>
            <w:tcW w:type="dxa" w:w="2600"/>
            <w:tcMar>
              <w:top w:w="80" w:type="dxa"/>
              <w:start w:w="120" w:type="dxa"/>
              <w:bottom w:w="80" w:type="dxa"/>
              <w:end w:w="120" w:type="dxa"/>
            </w:tcMar>
            <w:vAlign w:val="top"/>
          </w:tcPr>
          <w:p>
            <w:pPr>
              <w:spacing w:before="0" w:after="0" w:line="264" w:lineRule="auto"/>
            </w:pPr>
            <w:r>
              <w:rPr>
                <w:rFonts w:ascii="Calibri" w:hAnsi="Calibri"/>
                <w:color w:val="0B2545"/>
                <w:sz w:val="19"/>
              </w:rPr>
              <w:t>Am I at risk because of attendance?</w:t>
            </w:r>
          </w:p>
        </w:tc>
        <w:tc>
          <w:tcPr>
            <w:tcW w:type="dxa" w:w="6760"/>
            <w:tcMar>
              <w:top w:w="80" w:type="dxa"/>
              <w:start w:w="120" w:type="dxa"/>
              <w:bottom w:w="80" w:type="dxa"/>
              <w:end w:w="120" w:type="dxa"/>
            </w:tcMar>
            <w:vAlign w:val="top"/>
          </w:tcPr>
          <w:p>
            <w:pPr>
              <w:spacing w:before="0" w:after="0" w:line="264" w:lineRule="auto"/>
            </w:pPr>
            <w:r>
              <w:rPr>
                <w:rFonts w:ascii="Calibri" w:hAnsi="Calibri"/>
                <w:color w:val="0B2545"/>
                <w:sz w:val="19"/>
              </w:rPr>
              <w:t>Use attendance summaries and threshold rules, show current percentage and risk level.</w:t>
            </w:r>
          </w:p>
        </w:tc>
      </w:tr>
      <w:tr>
        <w:tc>
          <w:tcPr>
            <w:tcW w:type="dxa" w:w="2600"/>
            <w:tcMar>
              <w:top w:w="80" w:type="dxa"/>
              <w:start w:w="120" w:type="dxa"/>
              <w:bottom w:w="80" w:type="dxa"/>
              <w:end w:w="120" w:type="dxa"/>
            </w:tcMar>
            <w:vAlign w:val="top"/>
          </w:tcPr>
          <w:p>
            <w:pPr>
              <w:spacing w:before="0" w:after="0" w:line="264" w:lineRule="auto"/>
            </w:pPr>
            <w:r>
              <w:rPr>
                <w:rFonts w:ascii="Calibri" w:hAnsi="Calibri"/>
                <w:color w:val="0B2545"/>
                <w:sz w:val="19"/>
              </w:rPr>
              <w:t>What does EE3205 mean?</w:t>
            </w:r>
          </w:p>
        </w:tc>
        <w:tc>
          <w:tcPr>
            <w:tcW w:type="dxa" w:w="6760"/>
            <w:tcMar>
              <w:top w:w="80" w:type="dxa"/>
              <w:start w:w="120" w:type="dxa"/>
              <w:bottom w:w="80" w:type="dxa"/>
              <w:end w:w="120" w:type="dxa"/>
            </w:tcMar>
            <w:vAlign w:val="top"/>
          </w:tcPr>
          <w:p>
            <w:pPr>
              <w:spacing w:before="0" w:after="0" w:line="264" w:lineRule="auto"/>
            </w:pPr>
            <w:r>
              <w:rPr>
                <w:rFonts w:ascii="Calibri" w:hAnsi="Calibri"/>
                <w:color w:val="0B2545"/>
                <w:sz w:val="19"/>
              </w:rPr>
              <w:t>Fetch course details from structured curriculum and optionally explain department/code pattern from the handbook.</w:t>
            </w:r>
          </w:p>
        </w:tc>
      </w:tr>
    </w:tbl>
    <w:p>
      <w:pPr>
        <w:spacing w:before="0" w:after="40" w:line="320" w:lineRule="auto"/>
      </w:pPr>
      <w:r>
        <w:rPr>
          <w:rFonts w:ascii="Calibri" w:hAnsi="Calibri"/>
          <w:b w:val="0"/>
          <w:i w:val="0"/>
          <w:color w:val="0B2545"/>
          <w:sz w:val="22"/>
        </w:rPr>
      </w:r>
    </w:p>
    <w:p>
      <w:pPr>
        <w:pStyle w:val="Heading1"/>
      </w:pPr>
      <w:r>
        <w:t>15. Conclusion</w:t>
      </w:r>
    </w:p>
    <w:p>
      <w:pPr>
        <w:spacing w:before="0" w:after="160" w:line="320" w:lineRule="auto"/>
      </w:pPr>
      <w:r>
        <w:rPr>
          <w:rFonts w:ascii="Calibri" w:hAnsi="Calibri"/>
          <w:b w:val="0"/>
          <w:i w:val="0"/>
          <w:color w:val="0B2545"/>
          <w:sz w:val="22"/>
        </w:rPr>
        <w:t>The AI assistant can become the most valuable feature of the Performance Evaluation System if it is built as a grounded academic intelligence layer. The key decision is to separate conversation from truth: the LLM should communicate, but Supabase, handbook retrieval, and tested calculators should provide the facts. With this design, the assistant can answer student questions accurately, guide future academic planning, reduce manual confusion, and support faculty decision-making as the system grows.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Calibri" w:hAnsi="Calibri"/>
        <w:color w:val="5A6370"/>
        <w:sz w:val="17"/>
      </w:rPr>
      <w:t>Performance Evaluation System | AI Assistant Implementation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center"/>
    </w:pPr>
    <w:r>
      <w:rPr>
        <w:rFonts w:ascii="Calibri" w:hAnsi="Calibri"/>
        <w:color w:val="5A6370"/>
        <w:sz w:val="18"/>
      </w:rPr>
      <w:t>Faculty of Engineering, University of Sri Jayewardenepura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jc w:val="both"/>
    </w:pPr>
    <w:rPr>
      <w:rFonts w:ascii="Calibri" w:hAnsi="Calibri"/>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