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1 of 5</w:t>
      </w:r>
    </w:p>
    <w:p>
      <w:pPr>
        <w:spacing w:after="80"/>
      </w:pPr>
      <w:r>
        <w:rPr>
          <w:rFonts w:ascii="Calibri" w:cs="Calibri" w:eastAsia="Calibri" w:hAnsi="Calibri"/>
          <w:b/>
          <w:bCs/>
          <w:color w:val="1A1A1A"/>
          <w:sz w:val="56"/>
          <w:szCs w:val="56"/>
        </w:rPr>
        <w:t xml:space="preserve">System Overview</w:t>
      </w:r>
    </w:p>
    <w:p>
      <w:pPr>
        <w:spacing w:after="320"/>
      </w:pPr>
      <w:r>
        <w:rPr>
          <w:rFonts w:ascii="Calibri" w:cs="Calibri" w:eastAsia="Calibri" w:hAnsi="Calibri"/>
          <w:color w:val="8B1E2D"/>
          <w:sz w:val="26"/>
          <w:szCs w:val="26"/>
        </w:rPr>
        <w:t xml:space="preserve">What the PES is, and how the parts fit together</w:t>
      </w:r>
    </w:p>
    <w:p>
      <w:pPr>
        <w:spacing w:after="900" w:line="300"/>
      </w:pPr>
      <w:r>
        <w:rPr>
          <w:rFonts w:ascii="Calibri" w:cs="Calibri" w:eastAsia="Calibri" w:hAnsi="Calibri"/>
          <w:color w:val="5A5A5A"/>
          <w:sz w:val="21"/>
          <w:szCs w:val="21"/>
        </w:rPr>
        <w:t xml:space="preserve">Start here. This guide explains what the Performance Evaluation System does, who uses it, what it is built from, and how one click in the browser turns into an answer from the database. Read this before the other four guides.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What the PES is</w:t>
      </w:r>
    </w:p>
    <w:p>
      <w:pPr>
        <w:spacing w:after="150" w:line="276"/>
      </w:pPr>
      <w:r>
        <w:rPr>
          <w:rFonts w:ascii="Calibri" w:cs="Calibri" w:eastAsia="Calibri" w:hAnsi="Calibri"/>
          <w:b w:val="false"/>
          <w:bCs w:val="false"/>
          <w:i w:val="false"/>
          <w:iCs w:val="false"/>
          <w:color w:val="1A1A1A"/>
          <w:sz w:val="21"/>
          <w:szCs w:val="21"/>
        </w:rPr>
        <w:t xml:space="preserve">The Performance Evaluation System (PES) is a web application for the Faculty of Engineering at the University of Sri Jayewardenepura. It keeps the academic record of every undergraduate student and makes that record useful to the people who need it.</w:t>
      </w:r>
    </w:p>
    <w:p>
      <w:pPr>
        <w:spacing w:after="150" w:line="276"/>
      </w:pPr>
      <w:r>
        <w:rPr>
          <w:rFonts w:ascii="Calibri" w:cs="Calibri" w:eastAsia="Calibri" w:hAnsi="Calibri"/>
          <w:b w:val="false"/>
          <w:bCs w:val="false"/>
          <w:i w:val="false"/>
          <w:iCs w:val="false"/>
          <w:color w:val="1A1A1A"/>
          <w:sz w:val="21"/>
          <w:szCs w:val="21"/>
        </w:rPr>
        <w:t xml:space="preserve">In one sentence: the PES records what students enrol in, whether they attend, what marks they get, what grade that becomes, and who is responsible for helping them — and then shows each of those things only to the people allowed to see them.</w:t>
      </w:r>
    </w:p>
    <w:p>
      <w:pPr>
        <w:pStyle w:val="Heading2"/>
        <w:spacing w:after="120" w:before="300"/>
      </w:pPr>
      <w:r>
        <w:rPr>
          <w:rFonts w:ascii="Calibri" w:cs="Calibri" w:eastAsia="Calibri" w:hAnsi="Calibri"/>
          <w:b/>
          <w:bCs/>
          <w:color w:val="1A1A1A"/>
          <w:sz w:val="26"/>
          <w:szCs w:val="26"/>
        </w:rPr>
        <w:t xml:space="preserve">1.1 The problem it solves</w:t>
      </w:r>
    </w:p>
    <w:p>
      <w:pPr>
        <w:spacing w:after="150" w:line="276"/>
      </w:pPr>
      <w:r>
        <w:rPr>
          <w:rFonts w:ascii="Calibri" w:cs="Calibri" w:eastAsia="Calibri" w:hAnsi="Calibri"/>
          <w:b w:val="false"/>
          <w:bCs w:val="false"/>
          <w:i w:val="false"/>
          <w:iCs w:val="false"/>
          <w:color w:val="1A1A1A"/>
          <w:sz w:val="21"/>
          <w:szCs w:val="21"/>
        </w:rPr>
        <w:t xml:space="preserve">Before the PES, the same information lived in many places. Marks were in spreadsheets. Attendance was on paper. A student who wanted to know their GPA had to work it out by hand from a printed sheet. A head of department who wanted to know which students were at risk had to ask each lecturer separately.</w:t>
      </w:r>
    </w:p>
    <w:p>
      <w:pPr>
        <w:spacing w:after="150" w:line="276"/>
      </w:pPr>
      <w:r>
        <w:rPr>
          <w:rFonts w:ascii="Calibri" w:cs="Calibri" w:eastAsia="Calibri" w:hAnsi="Calibri"/>
          <w:b w:val="false"/>
          <w:bCs w:val="false"/>
          <w:i w:val="false"/>
          <w:iCs w:val="false"/>
          <w:color w:val="1A1A1A"/>
          <w:sz w:val="21"/>
          <w:szCs w:val="21"/>
        </w:rPr>
        <w:t xml:space="preserve">The PES puts all of it in one place, applies the Faculty Handbook rules automatically, and gives every kind of user their own view of it.</w:t>
      </w:r>
    </w:p>
    <w:p>
      <w:pPr>
        <w:pStyle w:val="Heading2"/>
        <w:spacing w:after="120" w:before="300"/>
      </w:pPr>
      <w:r>
        <w:rPr>
          <w:rFonts w:ascii="Calibri" w:cs="Calibri" w:eastAsia="Calibri" w:hAnsi="Calibri"/>
          <w:b/>
          <w:bCs/>
          <w:color w:val="1A1A1A"/>
          <w:sz w:val="26"/>
          <w:szCs w:val="26"/>
        </w:rPr>
        <w:t xml:space="preserve">1.2 What it does today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Enrolment</w:t>
      </w:r>
      <w:r>
        <w:rPr>
          <w:rFonts w:ascii="Calibri" w:cs="Calibri" w:eastAsia="Calibri" w:hAnsi="Calibri"/>
          <w:b w:val="false"/>
          <w:bCs w:val="false"/>
          <w:i w:val="false"/>
          <w:iCs w:val="false"/>
          <w:color w:val="1A1A1A"/>
          <w:sz w:val="21"/>
          <w:szCs w:val="21"/>
        </w:rPr>
        <w:t xml:space="preserve"> — students enrol in the modules for their semester, including modules they must repeat.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Attendance</w:t>
      </w:r>
      <w:r>
        <w:rPr>
          <w:rFonts w:ascii="Calibri" w:cs="Calibri" w:eastAsia="Calibri" w:hAnsi="Calibri"/>
          <w:b w:val="false"/>
          <w:bCs w:val="false"/>
          <w:i w:val="false"/>
          <w:iCs w:val="false"/>
          <w:color w:val="1A1A1A"/>
          <w:sz w:val="21"/>
          <w:szCs w:val="21"/>
        </w:rPr>
        <w:t xml:space="preserve"> — lecturers open a live session; students check in with a QR code or a short code. Admins can also mark a register by hand.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Results</w:t>
      </w:r>
      <w:r>
        <w:rPr>
          <w:rFonts w:ascii="Calibri" w:cs="Calibri" w:eastAsia="Calibri" w:hAnsi="Calibri"/>
          <w:b w:val="false"/>
          <w:bCs w:val="false"/>
          <w:i w:val="false"/>
          <w:iCs w:val="false"/>
          <w:color w:val="1A1A1A"/>
          <w:sz w:val="21"/>
          <w:szCs w:val="21"/>
        </w:rPr>
        <w:t xml:space="preserve"> — lecturers enter marks, the system works out the grade, the head of department publishes, and only then can students see it.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Feedback</w:t>
      </w:r>
      <w:r>
        <w:rPr>
          <w:rFonts w:ascii="Calibri" w:cs="Calibri" w:eastAsia="Calibri" w:hAnsi="Calibri"/>
          <w:b w:val="false"/>
          <w:bCs w:val="false"/>
          <w:i w:val="false"/>
          <w:iCs w:val="false"/>
          <w:color w:val="1A1A1A"/>
          <w:sz w:val="21"/>
          <w:szCs w:val="21"/>
        </w:rPr>
        <w:t xml:space="preserve"> — students give anonymous feedback on modules and lecturers, with a minimum response count before anyone can see the analytics.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Medical certificates</w:t>
      </w:r>
      <w:r>
        <w:rPr>
          <w:rFonts w:ascii="Calibri" w:cs="Calibri" w:eastAsia="Calibri" w:hAnsi="Calibri"/>
          <w:b w:val="false"/>
          <w:bCs w:val="false"/>
          <w:i w:val="false"/>
          <w:iCs w:val="false"/>
          <w:color w:val="1A1A1A"/>
          <w:sz w:val="21"/>
          <w:szCs w:val="21"/>
        </w:rPr>
        <w:t xml:space="preserve"> — students upload a certificate for specific modules and an admin approves or rejects each module separately.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Mentoring</w:t>
      </w:r>
      <w:r>
        <w:rPr>
          <w:rFonts w:ascii="Calibri" w:cs="Calibri" w:eastAsia="Calibri" w:hAnsi="Calibri"/>
          <w:b w:val="false"/>
          <w:bCs w:val="false"/>
          <w:i w:val="false"/>
          <w:iCs w:val="false"/>
          <w:color w:val="1A1A1A"/>
          <w:sz w:val="21"/>
          <w:szCs w:val="21"/>
        </w:rPr>
        <w:t xml:space="preserve"> — every student has a lecturer as a mentor, with a private chat and private notes.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Graduation planner</w:t>
      </w:r>
      <w:r>
        <w:rPr>
          <w:rFonts w:ascii="Calibri" w:cs="Calibri" w:eastAsia="Calibri" w:hAnsi="Calibri"/>
          <w:b w:val="false"/>
          <w:bCs w:val="false"/>
          <w:i w:val="false"/>
          <w:iCs w:val="false"/>
          <w:color w:val="1A1A1A"/>
          <w:sz w:val="21"/>
          <w:szCs w:val="21"/>
        </w:rPr>
        <w:t xml:space="preserve"> — a student can see what they still owe and what grades they need for a target class of honours.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AI Assistant</w:t>
      </w:r>
      <w:r>
        <w:rPr>
          <w:rFonts w:ascii="Calibri" w:cs="Calibri" w:eastAsia="Calibri" w:hAnsi="Calibri"/>
          <w:b w:val="false"/>
          <w:bCs w:val="false"/>
          <w:i w:val="false"/>
          <w:iCs w:val="false"/>
          <w:color w:val="1A1A1A"/>
          <w:sz w:val="21"/>
          <w:szCs w:val="21"/>
        </w:rPr>
        <w:t xml:space="preserve"> — a chat assistant that answers questions about a student's own record and about the Faculty Handbook.</w:t>
      </w:r>
    </w:p>
    <w:p>
      <w:pPr>
        <w:pStyle w:val="Heading2"/>
        <w:spacing w:after="120" w:before="300"/>
      </w:pPr>
      <w:r>
        <w:rPr>
          <w:rFonts w:ascii="Calibri" w:cs="Calibri" w:eastAsia="Calibri" w:hAnsi="Calibri"/>
          <w:b/>
          <w:bCs/>
          <w:color w:val="1A1A1A"/>
          <w:sz w:val="26"/>
          <w:szCs w:val="26"/>
        </w:rPr>
        <w:t xml:space="preserve">1.3 How big it is</w:t>
      </w:r>
    </w:p>
    <w:p>
      <w:pPr>
        <w:spacing w:after="150" w:line="276"/>
      </w:pPr>
      <w:r>
        <w:rPr>
          <w:rFonts w:ascii="Calibri" w:cs="Calibri" w:eastAsia="Calibri" w:hAnsi="Calibri"/>
          <w:b w:val="false"/>
          <w:bCs w:val="false"/>
          <w:i w:val="false"/>
          <w:iCs w:val="false"/>
          <w:color w:val="1A1A1A"/>
          <w:sz w:val="21"/>
          <w:szCs w:val="21"/>
        </w:rPr>
        <w:t xml:space="preserve">These are the real numbers from the live database on 10 September 2026. They matter because they tell you what scale the system is actually designed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6200"/>
        <w:gridCol w:w="2826"/>
      </w:tblGrid>
      <w:tr>
        <w:trPr>
          <w:tblHeader/>
        </w:trPr>
        <w:tc>
          <w:tcPr>
            <w:tcW w:type="dxa" w:w="6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w:t>
            </w:r>
          </w:p>
        </w:tc>
        <w:tc>
          <w:tcPr>
            <w:tcW w:type="dxa" w:w="2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 (department and faculty level)</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Courses in the catalogue</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230</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 offerings (a course taught in a given year)</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Enrolment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5,624</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7,392</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tables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functions written for the app</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migrations (change history)</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182</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page and component files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132</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This is a faculty-sized system, not a national one. That single fact decides a lot of design choices later in these guides — for example, why long lists are not virtualised and why some queries are allowed to be simple.</w:t>
      </w:r>
    </w:p>
    <w:p>
      <w:r>
        <w:br w:type="page"/>
      </w:r>
    </w:p>
    <w:p>
      <w:pPr>
        <w:pStyle w:val="Heading1"/>
        <w:spacing w:after="170" w:before="380"/>
      </w:pPr>
      <w:r>
        <w:rPr>
          <w:rFonts w:ascii="Calibri" w:cs="Calibri" w:eastAsia="Calibri" w:hAnsi="Calibri"/>
          <w:b/>
          <w:bCs/>
          <w:color w:val="8B1E2D"/>
          <w:sz w:val="32"/>
          <w:szCs w:val="32"/>
        </w:rPr>
        <w:t xml:space="preserve">2. Who uses it</w:t>
      </w:r>
    </w:p>
    <w:p>
      <w:pPr>
        <w:spacing w:after="150" w:line="276"/>
      </w:pPr>
      <w:r>
        <w:rPr>
          <w:rFonts w:ascii="Calibri" w:cs="Calibri" w:eastAsia="Calibri" w:hAnsi="Calibri"/>
          <w:b w:val="false"/>
          <w:bCs w:val="false"/>
          <w:i w:val="false"/>
          <w:iCs w:val="false"/>
          <w:color w:val="1A1A1A"/>
          <w:sz w:val="21"/>
          <w:szCs w:val="21"/>
        </w:rPr>
        <w:t xml:space="preserve">The PES has four roles. A role decides which portal you land in and what the database will let you read and write.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500"/>
        <w:gridCol w:w="2400"/>
        <w:gridCol w:w="5126"/>
      </w:tblGrid>
      <w:tr>
        <w:trPr>
          <w:tblHeader/>
        </w:trPr>
        <w:tc>
          <w:tcPr>
            <w:tcW w:type="dxa" w:w="1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they are</w:t>
            </w:r>
          </w:p>
        </w:tc>
        <w:tc>
          <w:tcPr>
            <w:tcW w:type="dxa" w:w="5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they can reach</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undergraduate</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 Nothing about any other student.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Teaching staff</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modules they are assigned to, and the students in those modules. Also their own mentees.</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2.1 Head of Department is not a role</w:t>
      </w:r>
    </w:p>
    <w:p>
      <w:pPr>
        <w:spacing w:after="150" w:line="276"/>
      </w:pPr>
      <w:r>
        <w:rPr>
          <w:rFonts w:ascii="Calibri" w:cs="Calibri" w:eastAsia="Calibri" w:hAnsi="Calibri"/>
          <w:b w:val="false"/>
          <w:bCs w:val="false"/>
          <w:i w:val="false"/>
          <w:iCs w:val="false"/>
          <w:color w:val="1A1A1A"/>
          <w:sz w:val="21"/>
          <w:szCs w:val="21"/>
        </w:rPr>
        <w:t xml:space="preserve">This catches people out, so it is worth stating early. A Head of Department (HOD) is a lecturer who currently holds an appointment. It is not a fifth role.</w:t>
      </w:r>
    </w:p>
    <w:p>
      <w:pPr>
        <w:spacing w:after="150" w:line="276"/>
      </w:pPr>
      <w:r>
        <w:rPr>
          <w:rFonts w:ascii="Calibri" w:cs="Calibri" w:eastAsia="Calibri" w:hAnsi="Calibri"/>
          <w:b w:val="false"/>
          <w:bCs w:val="false"/>
          <w:i w:val="false"/>
          <w:iCs w:val="false"/>
          <w:color w:val="1A1A1A"/>
          <w:sz w:val="21"/>
          <w:szCs w:val="21"/>
        </w:rPr>
        <w:t xml:space="preserve">The appointment lives in its own table, </w:t>
      </w:r>
      <w:r>
        <w:rPr>
          <w:rFonts w:ascii="Consolas" w:cs="Consolas" w:eastAsia="Consolas" w:hAnsi="Consolas"/>
          <w:b w:val="false"/>
          <w:bCs w:val="false"/>
          <w:i w:val="false"/>
          <w:iCs w:val="false"/>
          <w:color w:val="8B1E2D"/>
          <w:sz w:val="19"/>
          <w:szCs w:val="19"/>
        </w:rPr>
        <w:t xml:space="preserve">hod_appointments</w:t>
      </w:r>
      <w:r>
        <w:rPr>
          <w:rFonts w:ascii="Calibri" w:cs="Calibri" w:eastAsia="Calibri" w:hAnsi="Calibri"/>
          <w:b w:val="false"/>
          <w:bCs w:val="false"/>
          <w:i w:val="false"/>
          <w:iCs w:val="false"/>
          <w:color w:val="1A1A1A"/>
          <w:sz w:val="21"/>
          <w:szCs w:val="21"/>
        </w:rPr>
        <w:t xml:space="preserve">, with a start date, an end date and an active flag. When someone stops being head, the appointment row is closed. The person's lecturer record is not touched.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IT WAS BUILT THIS WAY</w:t>
            </w:r>
          </w:p>
          <w:p>
            <w:pPr>
              <w:spacing w:line="276"/>
            </w:pPr>
            <w:r>
              <w:rPr>
                <w:rFonts w:ascii="Calibri" w:cs="Calibri" w:eastAsia="Calibri" w:hAnsi="Calibri"/>
                <w:color w:val="1A1A1A"/>
                <w:sz w:val="20"/>
                <w:szCs w:val="20"/>
              </w:rPr>
              <w:t xml:space="preserve">A headship is temporary and a person is not. Keeping the appointment separate means the history of who led a department is preserved, and ending a headship cannot accidentally damage a lecturer's teaching record or their identity.</w:t>
            </w:r>
          </w:p>
        </w:tc>
      </w:tr>
    </w:tbl>
    <w:p>
      <w:pPr>
        <w:spacing w:after="150" w:line="276"/>
      </w:pPr>
      <w:r>
        <w:rPr>
          <w:rFonts w:ascii="Calibri" w:cs="Calibri" w:eastAsia="Calibri" w:hAnsi="Calibri"/>
          <w:b w:val="false"/>
          <w:bCs w:val="false"/>
          <w:i w:val="false"/>
          <w:iCs w:val="false"/>
          <w:color w:val="1A1A1A"/>
          <w:sz w:val="21"/>
          <w:szCs w:val="21"/>
        </w:rPr>
        <w:t xml:space="preserve">In practice this means there is one staff portal, not two. A lecturer who is also head of department sees the same portal with extra items in the menu.</w:t>
      </w:r>
    </w:p>
    <w:p>
      <w:r>
        <w:br w:type="page"/>
      </w:r>
    </w:p>
    <w:p>
      <w:pPr>
        <w:pStyle w:val="Heading1"/>
        <w:spacing w:after="170" w:before="380"/>
      </w:pPr>
      <w:r>
        <w:rPr>
          <w:rFonts w:ascii="Calibri" w:cs="Calibri" w:eastAsia="Calibri" w:hAnsi="Calibri"/>
          <w:b/>
          <w:bCs/>
          <w:color w:val="8B1E2D"/>
          <w:sz w:val="32"/>
          <w:szCs w:val="32"/>
        </w:rPr>
        <w:t xml:space="preserve">3. The shape of the system</w:t>
      </w:r>
    </w:p>
    <w:p>
      <w:pPr>
        <w:pStyle w:val="Heading2"/>
        <w:spacing w:after="120" w:before="300"/>
      </w:pPr>
      <w:r>
        <w:rPr>
          <w:rFonts w:ascii="Calibri" w:cs="Calibri" w:eastAsia="Calibri" w:hAnsi="Calibri"/>
          <w:b/>
          <w:bCs/>
          <w:color w:val="1A1A1A"/>
          <w:sz w:val="26"/>
          <w:szCs w:val="26"/>
        </w:rPr>
        <w:t xml:space="preserve">3.1 There is no backend server</w:t>
      </w:r>
    </w:p>
    <w:p>
      <w:pPr>
        <w:spacing w:after="150" w:line="276"/>
      </w:pPr>
      <w:r>
        <w:rPr>
          <w:rFonts w:ascii="Calibri" w:cs="Calibri" w:eastAsia="Calibri" w:hAnsi="Calibri"/>
          <w:b w:val="false"/>
          <w:bCs w:val="false"/>
          <w:i w:val="false"/>
          <w:iCs w:val="false"/>
          <w:color w:val="1A1A1A"/>
          <w:sz w:val="21"/>
          <w:szCs w:val="21"/>
        </w:rPr>
        <w:t xml:space="preserve">This is the most important architectural fact in the whole project, and it is unusual enough to state plainly.</w:t>
      </w:r>
    </w:p>
    <w:p>
      <w:pPr>
        <w:spacing w:after="150" w:line="276"/>
      </w:pPr>
      <w:r>
        <w:rPr>
          <w:rFonts w:ascii="Calibri" w:cs="Calibri" w:eastAsia="Calibri" w:hAnsi="Calibri"/>
          <w:b w:val="false"/>
          <w:bCs w:val="false"/>
          <w:i w:val="false"/>
          <w:iCs w:val="false"/>
          <w:color w:val="1A1A1A"/>
          <w:sz w:val="21"/>
          <w:szCs w:val="21"/>
        </w:rPr>
        <w:t xml:space="preserve">The PES has no Node.js or Java server of its own. There are exactly two parts:</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browser application</w:t>
      </w:r>
      <w:r>
        <w:rPr>
          <w:rFonts w:ascii="Calibri" w:cs="Calibri" w:eastAsia="Calibri" w:hAnsi="Calibri"/>
          <w:b w:val="false"/>
          <w:bCs w:val="false"/>
          <w:i w:val="false"/>
          <w:iCs w:val="false"/>
          <w:color w:val="1A1A1A"/>
          <w:sz w:val="21"/>
          <w:szCs w:val="21"/>
        </w:rPr>
        <w:t xml:space="preserve"> — a React app, built with Vite, served as static files from Vercel.</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Supabase</w:t>
      </w:r>
      <w:r>
        <w:rPr>
          <w:rFonts w:ascii="Calibri" w:cs="Calibri" w:eastAsia="Calibri" w:hAnsi="Calibri"/>
          <w:b w:val="false"/>
          <w:bCs w:val="false"/>
          <w:i w:val="false"/>
          <w:iCs w:val="false"/>
          <w:color w:val="1A1A1A"/>
          <w:sz w:val="21"/>
          <w:szCs w:val="21"/>
        </w:rPr>
        <w:t xml:space="preserve"> — a hosted PostgreSQL database that also exposes itself over HTTPS, handles login, and stores uploaded files.</w:t>
      </w:r>
    </w:p>
    <w:p>
      <w:pPr>
        <w:spacing w:after="150" w:line="276"/>
      </w:pPr>
      <w:r>
        <w:rPr>
          <w:rFonts w:ascii="Calibri" w:cs="Calibri" w:eastAsia="Calibri" w:hAnsi="Calibri"/>
          <w:b w:val="false"/>
          <w:bCs w:val="false"/>
          <w:i w:val="false"/>
          <w:iCs w:val="false"/>
          <w:color w:val="1A1A1A"/>
          <w:sz w:val="21"/>
          <w:szCs w:val="21"/>
        </w:rPr>
        <w:t xml:space="preserve">The browser talks straight to the database over HTTPS. There is no middle layer to check permissions.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Browser (React on Vercel)</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HTTPS, carrying the signed-in user's token</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 Auth        (who is this person?)</w:t>
            </w:r>
          </w:p>
          <w:p>
            <w:pPr>
              <w:spacing w:after="20" w:line="240"/>
            </w:pPr>
            <w:r>
              <w:rPr>
                <w:rFonts w:ascii="Consolas" w:cs="Consolas" w:eastAsia="Consolas" w:hAnsi="Consolas"/>
                <w:color w:val="23303B"/>
                <w:sz w:val="18"/>
                <w:szCs w:val="18"/>
              </w:rPr>
              <w:t xml:space="preserve">    +-- PostgREST   (turns HTTP into SQL)</w:t>
            </w:r>
          </w:p>
          <w:p>
            <w:pPr>
              <w:spacing w:after="20" w:line="240"/>
            </w:pPr>
            <w:r>
              <w:rPr>
                <w:rFonts w:ascii="Consolas" w:cs="Consolas" w:eastAsia="Consolas" w:hAnsi="Consolas"/>
                <w:color w:val="23303B"/>
                <w:sz w:val="18"/>
                <w:szCs w:val="18"/>
              </w:rPr>
              <w:t xml:space="preserve">    +-- PostgreSQL  (the data + ALL the rules)</w:t>
            </w:r>
          </w:p>
          <w:p>
            <w:pPr>
              <w:spacing w:after="20" w:line="240"/>
            </w:pPr>
            <w:r>
              <w:rPr>
                <w:rFonts w:ascii="Consolas" w:cs="Consolas" w:eastAsia="Consolas" w:hAnsi="Consolas"/>
                <w:color w:val="23303B"/>
                <w:sz w:val="18"/>
                <w:szCs w:val="18"/>
              </w:rPr>
              <w:t xml:space="preserve">    +-- Storage     (uploaded files)</w:t>
            </w:r>
          </w:p>
          <w:p>
            <w:pPr>
              <w:spacing w:after="20" w:line="240"/>
            </w:pPr>
            <w:r>
              <w:rPr>
                <w:rFonts w:ascii="Consolas" w:cs="Consolas" w:eastAsia="Consolas" w:hAnsi="Consolas"/>
                <w:color w:val="23303B"/>
                <w:sz w:val="18"/>
                <w:szCs w:val="18"/>
              </w:rPr>
              <w:t xml:space="preserve">    +-- Realtime    (live updates for chat)</w:t>
            </w:r>
          </w:p>
          <w:p>
            <w:pPr>
              <w:spacing w:after="20" w:line="240"/>
            </w:pPr>
            <w:r>
              <w:rPr>
                <w:rFonts w:ascii="Consolas" w:cs="Consolas" w:eastAsia="Consolas" w:hAnsi="Consolas"/>
                <w:color w:val="23303B"/>
                <w:sz w:val="18"/>
                <w:szCs w:val="18"/>
              </w:rPr>
              <w:t xml:space="preserve">    +-- Edge Function 'ai-assistant' (calls Gemini)</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CONSEQUENCE YOU MUST REMEMBER</w:t>
            </w:r>
          </w:p>
          <w:p>
            <w:pPr>
              <w:spacing w:line="276"/>
            </w:pPr>
            <w:r>
              <w:rPr>
                <w:rFonts w:ascii="Calibri" w:cs="Calibri" w:eastAsia="Calibri" w:hAnsi="Calibri"/>
                <w:color w:val="1A1A1A"/>
                <w:sz w:val="20"/>
                <w:szCs w:val="20"/>
              </w:rPr>
              <w:t xml:space="preserve">Because the browser talks directly to the database, the database itself has to enforce every rule. If a rule only exists in the React code, a user can bypass it by opening the browser console. Guide 4 is entirely about how the database enforces those rules.</w:t>
            </w:r>
          </w:p>
        </w:tc>
      </w:tr>
    </w:tbl>
    <w:p>
      <w:pPr>
        <w:pStyle w:val="Heading2"/>
        <w:spacing w:after="120" w:before="300"/>
      </w:pPr>
      <w:r>
        <w:rPr>
          <w:rFonts w:ascii="Calibri" w:cs="Calibri" w:eastAsia="Calibri" w:hAnsi="Calibri"/>
          <w:b/>
          <w:bCs/>
          <w:color w:val="1A1A1A"/>
          <w:sz w:val="26"/>
          <w:szCs w:val="26"/>
        </w:rPr>
        <w:t xml:space="preserve">3.2 What each technology is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Technology</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does here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18 + TypeScript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the user interface. TypeScript catches mistakes before the code runs.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Vite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and bundles the app, and runs the local development server.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Router 7</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Decides which page shows for which URL, and guards the private 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Tailwind CSS + Radix UI</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Styling and accessible interface parts (dialogs, menus, checkboxes).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JS client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one library that talks to the database, auth, storage and realtime.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PostgreSQL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Stores the data and enforces every access rule through Row Level Security.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Recharts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Draws the charts on the dashboards.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jsPDF</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Generates PDF result sheets and feedback reports in the browser.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Vercel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Hosts the built site and rebuilds it automatically on every push.</w:t>
            </w:r>
          </w:p>
        </w:tc>
      </w:tr>
    </w:tbl>
    <w:p>
      <w:r>
        <w:br w:type="page"/>
      </w:r>
    </w:p>
    <w:p>
      <w:pPr>
        <w:pStyle w:val="Heading1"/>
        <w:spacing w:after="170" w:before="380"/>
      </w:pPr>
      <w:r>
        <w:rPr>
          <w:rFonts w:ascii="Calibri" w:cs="Calibri" w:eastAsia="Calibri" w:hAnsi="Calibri"/>
          <w:b/>
          <w:bCs/>
          <w:color w:val="8B1E2D"/>
          <w:sz w:val="32"/>
          <w:szCs w:val="32"/>
        </w:rPr>
        <w:t xml:space="preserve">4. The folder map</w:t>
      </w:r>
    </w:p>
    <w:p>
      <w:pPr>
        <w:spacing w:after="150" w:line="276"/>
      </w:pPr>
      <w:r>
        <w:rPr>
          <w:rFonts w:ascii="Calibri" w:cs="Calibri" w:eastAsia="Calibri" w:hAnsi="Calibri"/>
          <w:b w:val="false"/>
          <w:bCs w:val="false"/>
          <w:i w:val="false"/>
          <w:iCs w:val="false"/>
          <w:color w:val="1A1A1A"/>
          <w:sz w:val="21"/>
          <w:szCs w:val="21"/>
        </w:rPr>
        <w:t xml:space="preserve">Here is where things live. Only the folders that matter are listed.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Performanceevaluationsystem/</w:t>
            </w:r>
          </w:p>
          <w:p>
            <w:pPr>
              <w:spacing w:after="20" w:line="240"/>
            </w:pPr>
            <w:r>
              <w:rPr>
                <w:rFonts w:ascii="Consolas" w:cs="Consolas" w:eastAsia="Consolas" w:hAnsi="Consolas"/>
                <w:color w:val="23303B"/>
                <w:sz w:val="18"/>
                <w:szCs w:val="18"/>
              </w:rPr>
              <w:t xml:space="preserve">  pes_app/                     &lt;-- the actual application</w:t>
            </w:r>
          </w:p>
          <w:p>
            <w:pPr>
              <w:spacing w:after="20" w:line="240"/>
            </w:pPr>
            <w:r>
              <w:rPr>
                <w:rFonts w:ascii="Consolas" w:cs="Consolas" w:eastAsia="Consolas" w:hAnsi="Consolas"/>
                <w:color w:val="23303B"/>
                <w:sz w:val="18"/>
                <w:szCs w:val="18"/>
              </w:rPr>
              <w:t xml:space="preserve">    src/</w:t>
            </w:r>
          </w:p>
          <w:p>
            <w:pPr>
              <w:spacing w:after="20" w:line="240"/>
            </w:pPr>
            <w:r>
              <w:rPr>
                <w:rFonts w:ascii="Consolas" w:cs="Consolas" w:eastAsia="Consolas" w:hAnsi="Consolas"/>
                <w:color w:val="23303B"/>
                <w:sz w:val="18"/>
                <w:szCs w:val="18"/>
              </w:rPr>
              <w:t xml:space="preserve">      app/</w:t>
            </w:r>
          </w:p>
          <w:p>
            <w:pPr>
              <w:spacing w:after="20" w:line="240"/>
            </w:pPr>
            <w:r>
              <w:rPr>
                <w:rFonts w:ascii="Consolas" w:cs="Consolas" w:eastAsia="Consolas" w:hAnsi="Consolas"/>
                <w:color w:val="23303B"/>
                <w:sz w:val="18"/>
                <w:szCs w:val="18"/>
              </w:rPr>
              <w:t xml:space="preserve">        pages/                 student pages (Dashboard, Results, ...)</w:t>
            </w:r>
          </w:p>
          <w:p>
            <w:pPr>
              <w:spacing w:after="20" w:line="240"/>
            </w:pPr>
            <w:r>
              <w:rPr>
                <w:rFonts w:ascii="Consolas" w:cs="Consolas" w:eastAsia="Consolas" w:hAnsi="Consolas"/>
                <w:color w:val="23303B"/>
                <w:sz w:val="18"/>
                <w:szCs w:val="18"/>
              </w:rPr>
              <w:t xml:space="preserve">          admin/               the 9 admin pages</w:t>
            </w:r>
          </w:p>
          <w:p>
            <w:pPr>
              <w:spacing w:after="20" w:line="240"/>
            </w:pPr>
            <w:r>
              <w:rPr>
                <w:rFonts w:ascii="Consolas" w:cs="Consolas" w:eastAsia="Consolas" w:hAnsi="Consolas"/>
                <w:color w:val="23303B"/>
                <w:sz w:val="18"/>
                <w:szCs w:val="18"/>
              </w:rPr>
              <w:t xml:space="preserve">          staff/               the 10 lecturer / HOD pages</w:t>
            </w:r>
          </w:p>
          <w:p>
            <w:pPr>
              <w:spacing w:after="20" w:line="240"/>
            </w:pPr>
            <w:r>
              <w:rPr>
                <w:rFonts w:ascii="Consolas" w:cs="Consolas" w:eastAsia="Consolas" w:hAnsi="Consolas"/>
                <w:color w:val="23303B"/>
                <w:sz w:val="18"/>
                <w:szCs w:val="18"/>
              </w:rPr>
              <w:t xml:space="preserve">        components/            reusable interface pieces, by feature</w:t>
            </w:r>
          </w:p>
          <w:p>
            <w:pPr>
              <w:spacing w:after="20" w:line="240"/>
            </w:pPr>
            <w:r>
              <w:rPr>
                <w:rFonts w:ascii="Consolas" w:cs="Consolas" w:eastAsia="Consolas" w:hAnsi="Consolas"/>
                <w:color w:val="23303B"/>
                <w:sz w:val="18"/>
                <w:szCs w:val="18"/>
              </w:rPr>
              <w:t xml:space="preserve">        layouts/               the frame around each portal</w:t>
            </w:r>
          </w:p>
          <w:p>
            <w:pPr>
              <w:spacing w:after="20" w:line="240"/>
            </w:pPr>
            <w:r>
              <w:rPr>
                <w:rFonts w:ascii="Consolas" w:cs="Consolas" w:eastAsia="Consolas" w:hAnsi="Consolas"/>
                <w:color w:val="23303B"/>
                <w:sz w:val="18"/>
                <w:szCs w:val="18"/>
              </w:rPr>
              <w:t xml:space="preserve">        context/               AuthContext - who is signed in</w:t>
            </w:r>
          </w:p>
          <w:p>
            <w:pPr>
              <w:spacing w:after="20" w:line="240"/>
            </w:pPr>
            <w:r>
              <w:rPr>
                <w:rFonts w:ascii="Consolas" w:cs="Consolas" w:eastAsia="Consolas" w:hAnsi="Consolas"/>
                <w:color w:val="23303B"/>
                <w:sz w:val="18"/>
                <w:szCs w:val="18"/>
              </w:rPr>
              <w:t xml:space="preserve">        hooks/                 shared React logic</w:t>
            </w:r>
          </w:p>
          <w:p>
            <w:pPr>
              <w:spacing w:after="20" w:line="240"/>
            </w:pPr>
            <w:r>
              <w:rPr>
                <w:rFonts w:ascii="Consolas" w:cs="Consolas" w:eastAsia="Consolas" w:hAnsi="Consolas"/>
                <w:color w:val="23303B"/>
                <w:sz w:val="18"/>
                <w:szCs w:val="18"/>
              </w:rPr>
              <w:t xml:space="preserve">        routes.tsx             the URL map</w:t>
            </w:r>
          </w:p>
          <w:p>
            <w:pPr>
              <w:spacing w:after="20" w:line="240"/>
            </w:pPr>
            <w:r>
              <w:rPr>
                <w:rFonts w:ascii="Consolas" w:cs="Consolas" w:eastAsia="Consolas" w:hAnsi="Consolas"/>
                <w:color w:val="23303B"/>
                <w:sz w:val="18"/>
                <w:szCs w:val="18"/>
              </w:rPr>
              <w:t xml:space="preserve">      lib/                     logic that is not interface</w:t>
            </w:r>
          </w:p>
          <w:p>
            <w:pPr>
              <w:spacing w:after="20" w:line="240"/>
            </w:pPr>
            <w:r>
              <w:rPr>
                <w:rFonts w:ascii="Consolas" w:cs="Consolas" w:eastAsia="Consolas" w:hAnsi="Consolas"/>
                <w:color w:val="23303B"/>
                <w:sz w:val="18"/>
                <w:szCs w:val="18"/>
              </w:rPr>
              <w:t xml:space="preserve">        supabase.ts            the one database client</w:t>
            </w:r>
          </w:p>
          <w:p>
            <w:pPr>
              <w:spacing w:after="20" w:line="240"/>
            </w:pPr>
            <w:r>
              <w:rPr>
                <w:rFonts w:ascii="Consolas" w:cs="Consolas" w:eastAsia="Consolas" w:hAnsi="Consolas"/>
                <w:color w:val="23303B"/>
                <w:sz w:val="18"/>
                <w:szCs w:val="18"/>
              </w:rPr>
              <w:t xml:space="preserve">        types.ts               shared TypeScript types</w:t>
            </w:r>
          </w:p>
          <w:p>
            <w:pPr>
              <w:spacing w:after="20" w:line="240"/>
            </w:pPr>
            <w:r>
              <w:rPr>
                <w:rFonts w:ascii="Consolas" w:cs="Consolas" w:eastAsia="Consolas" w:hAnsi="Consolas"/>
                <w:color w:val="23303B"/>
                <w:sz w:val="18"/>
                <w:szCs w:val="18"/>
              </w:rPr>
              <w:t xml:space="preserve">        settings.ts            the regulation engine</w:t>
            </w:r>
          </w:p>
          <w:p>
            <w:pPr>
              <w:spacing w:after="20" w:line="240"/>
            </w:pPr>
            <w:r>
              <w:rPr>
                <w:rFonts w:ascii="Consolas" w:cs="Consolas" w:eastAsia="Consolas" w:hAnsi="Consolas"/>
                <w:color w:val="23303B"/>
                <w:sz w:val="18"/>
                <w:szCs w:val="18"/>
              </w:rPr>
              <w:t xml:space="preserve">        *Service.ts            grouped database calls</w:t>
            </w:r>
          </w:p>
          <w:p>
            <w:pPr>
              <w:spacing w:after="20" w:line="240"/>
            </w:pPr>
            <w:r>
              <w:rPr>
                <w:rFonts w:ascii="Consolas" w:cs="Consolas" w:eastAsia="Consolas" w:hAnsi="Consolas"/>
                <w:color w:val="23303B"/>
                <w:sz w:val="18"/>
                <w:szCs w:val="18"/>
              </w:rPr>
              <w:t xml:space="preserve">        chatbotEngine.ts       the AI assistant brain</w:t>
            </w:r>
          </w:p>
          <w:p>
            <w:pPr>
              <w:spacing w:after="20" w:line="240"/>
            </w:pPr>
            <w:r>
              <w:rPr>
                <w:rFonts w:ascii="Consolas" w:cs="Consolas" w:eastAsia="Consolas" w:hAnsi="Consolas"/>
                <w:color w:val="23303B"/>
                <w:sz w:val="18"/>
                <w:szCs w:val="18"/>
              </w:rPr>
              <w:t xml:space="preserve">      assets/                  images</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migrations/                179 files - the full database history</w:t>
            </w:r>
          </w:p>
          <w:p>
            <w:pPr>
              <w:spacing w:after="20" w:line="240"/>
            </w:pPr>
            <w:r>
              <w:rPr>
                <w:rFonts w:ascii="Consolas" w:cs="Consolas" w:eastAsia="Consolas" w:hAnsi="Consolas"/>
                <w:color w:val="23303B"/>
                <w:sz w:val="18"/>
                <w:szCs w:val="18"/>
              </w:rPr>
              <w:t xml:space="preserve">    functions/ai-assistant/    the Gemini edge function</w:t>
            </w:r>
          </w:p>
          <w:p>
            <w:pPr>
              <w:spacing w:after="20" w:line="240"/>
            </w:pPr>
            <w:r>
              <w:rPr>
                <w:rFonts w:ascii="Consolas" w:cs="Consolas" w:eastAsia="Consolas" w:hAnsi="Consolas"/>
                <w:color w:val="23303B"/>
                <w:sz w:val="18"/>
                <w:szCs w:val="18"/>
              </w:rPr>
              <w:t xml:space="preserve">  docs/                        handbook extraction scripts</w:t>
            </w:r>
          </w:p>
          <w:p>
            <w:pPr>
              <w:spacing w:after="20" w:line="240"/>
            </w:pPr>
            <w:r>
              <w:rPr>
                <w:rFonts w:ascii="Consolas" w:cs="Consolas" w:eastAsia="Consolas" w:hAnsi="Consolas"/>
                <w:color w:val="23303B"/>
                <w:sz w:val="18"/>
                <w:szCs w:val="18"/>
              </w:rPr>
              <w:t xml:space="preserve">  pes-scripts/                 one-off data loading scripts</w:t>
            </w:r>
          </w:p>
          <w:p>
            <w:pPr>
              <w:spacing w:after="20" w:line="240"/>
            </w:pPr>
            <w:r>
              <w:rPr>
                <w:rFonts w:ascii="Consolas" w:cs="Consolas" w:eastAsia="Consolas" w:hAnsi="Consolas"/>
                <w:color w:val="23303B"/>
                <w:sz w:val="18"/>
                <w:szCs w:val="18"/>
              </w:rPr>
              <w:t xml:space="preserve">  Faculty Handbook 2026 new.pdf</w:t>
            </w:r>
          </w:p>
          <w:p>
            <w:pPr>
              <w:spacing w:after="20" w:line="240"/>
            </w:pPr>
            <w:r>
              <w:rPr>
                <w:rFonts w:ascii="Consolas" w:cs="Consolas" w:eastAsia="Consolas" w:hAnsi="Consolas"/>
                <w:color w:val="23303B"/>
                <w:sz w:val="18"/>
                <w:szCs w:val="18"/>
              </w:rPr>
              <w:t xml:space="preserve">  PES_Report.pdf</w:t>
            </w:r>
          </w:p>
        </w:tc>
      </w:tr>
    </w:tbl>
    <w:p>
      <w:pPr>
        <w:pStyle w:val="Heading2"/>
        <w:spacing w:after="120" w:before="300"/>
      </w:pPr>
      <w:r>
        <w:rPr>
          <w:rFonts w:ascii="Calibri" w:cs="Calibri" w:eastAsia="Calibri" w:hAnsi="Calibri"/>
          <w:b/>
          <w:bCs/>
          <w:color w:val="1A1A1A"/>
          <w:sz w:val="26"/>
          <w:szCs w:val="26"/>
        </w:rPr>
        <w:t xml:space="preserve">4.1 The one rule about lib/</w:t>
      </w:r>
    </w:p>
    <w:p>
      <w:pPr>
        <w:spacing w:after="150" w:line="276"/>
      </w:pPr>
      <w:r>
        <w:rPr>
          <w:rFonts w:ascii="Calibri" w:cs="Calibri" w:eastAsia="Calibri" w:hAnsi="Calibri"/>
          <w:b w:val="false"/>
          <w:bCs w:val="false"/>
          <w:i w:val="false"/>
          <w:iCs w:val="false"/>
          <w:color w:val="1A1A1A"/>
          <w:sz w:val="21"/>
          <w:szCs w:val="21"/>
        </w:rPr>
        <w:t xml:space="preserve">Anything under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is logic with no interface attached. Anything under </w:t>
      </w:r>
      <w:r>
        <w:rPr>
          <w:rFonts w:ascii="Consolas" w:cs="Consolas" w:eastAsia="Consolas" w:hAnsi="Consolas"/>
          <w:b w:val="false"/>
          <w:bCs w:val="false"/>
          <w:i w:val="false"/>
          <w:iCs w:val="false"/>
          <w:color w:val="8B1E2D"/>
          <w:sz w:val="19"/>
          <w:szCs w:val="19"/>
        </w:rPr>
        <w:t xml:space="preserve">src/app/</w:t>
      </w:r>
      <w:r>
        <w:rPr>
          <w:rFonts w:ascii="Calibri" w:cs="Calibri" w:eastAsia="Calibri" w:hAnsi="Calibri"/>
          <w:b w:val="false"/>
          <w:bCs w:val="false"/>
          <w:i w:val="false"/>
          <w:iCs w:val="false"/>
          <w:color w:val="1A1A1A"/>
          <w:sz w:val="21"/>
          <w:szCs w:val="21"/>
        </w:rPr>
        <w:t xml:space="preserve"> draws something on the screen. Keeping them apart is what lets the same calculation be used by a page, a PDF and the AI assistant without being written three times.</w:t>
      </w:r>
    </w:p>
    <w:p>
      <w:r>
        <w:br w:type="page"/>
      </w:r>
    </w:p>
    <w:p>
      <w:pPr>
        <w:pStyle w:val="Heading1"/>
        <w:spacing w:after="170" w:before="380"/>
      </w:pPr>
      <w:r>
        <w:rPr>
          <w:rFonts w:ascii="Calibri" w:cs="Calibri" w:eastAsia="Calibri" w:hAnsi="Calibri"/>
          <w:b/>
          <w:bCs/>
          <w:color w:val="8B1E2D"/>
          <w:sz w:val="32"/>
          <w:szCs w:val="32"/>
        </w:rPr>
        <w:t xml:space="preserve">5. How one request travels</w:t>
      </w:r>
    </w:p>
    <w:p>
      <w:pPr>
        <w:spacing w:after="150" w:line="276"/>
      </w:pPr>
      <w:r>
        <w:rPr>
          <w:rFonts w:ascii="Calibri" w:cs="Calibri" w:eastAsia="Calibri" w:hAnsi="Calibri"/>
          <w:b w:val="false"/>
          <w:bCs w:val="false"/>
          <w:i w:val="false"/>
          <w:iCs w:val="false"/>
          <w:color w:val="1A1A1A"/>
          <w:sz w:val="21"/>
          <w:szCs w:val="21"/>
        </w:rPr>
        <w:t xml:space="preserve">This is the part worth understanding properly. Everything else in the system is a variation of it.</w:t>
      </w:r>
    </w:p>
    <w:p>
      <w:pPr>
        <w:spacing w:after="150" w:line="276"/>
      </w:pPr>
      <w:r>
        <w:rPr>
          <w:rFonts w:ascii="Calibri" w:cs="Calibri" w:eastAsia="Calibri" w:hAnsi="Calibri"/>
          <w:b w:val="false"/>
          <w:bCs w:val="false"/>
          <w:i w:val="false"/>
          <w:iCs w:val="false"/>
          <w:color w:val="1A1A1A"/>
          <w:sz w:val="21"/>
          <w:szCs w:val="21"/>
        </w:rPr>
        <w:t xml:space="preserve">Follow a student opening their Results page.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student clicks Results.</w:t>
      </w:r>
      <w:r>
        <w:rPr>
          <w:rFonts w:ascii="Calibri" w:cs="Calibri" w:eastAsia="Calibri" w:hAnsi="Calibri"/>
          <w:b w:val="false"/>
          <w:bCs w:val="false"/>
          <w:i w:val="false"/>
          <w:iCs w:val="false"/>
          <w:color w:val="1A1A1A"/>
          <w:sz w:val="21"/>
          <w:szCs w:val="21"/>
        </w:rPr>
        <w:t xml:space="preserve"> React Router matches </w:t>
      </w:r>
      <w:r>
        <w:rPr>
          <w:rFonts w:ascii="Consolas" w:cs="Consolas" w:eastAsia="Consolas" w:hAnsi="Consolas"/>
          <w:b w:val="false"/>
          <w:bCs w:val="false"/>
          <w:i w:val="false"/>
          <w:iCs w:val="false"/>
          <w:color w:val="8B1E2D"/>
          <w:sz w:val="19"/>
          <w:szCs w:val="19"/>
        </w:rPr>
        <w:t xml:space="preserve">/app/results</w:t>
      </w:r>
      <w:r>
        <w:rPr>
          <w:rFonts w:ascii="Calibri" w:cs="Calibri" w:eastAsia="Calibri" w:hAnsi="Calibri"/>
          <w:b w:val="false"/>
          <w:bCs w:val="false"/>
          <w:i w:val="false"/>
          <w:iCs w:val="false"/>
          <w:color w:val="1A1A1A"/>
          <w:sz w:val="21"/>
          <w:szCs w:val="21"/>
        </w:rPr>
        <w:t xml:space="preserve"> and starts downloading that page's code chunk.</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ProtectedRoute checks the session.</w:t>
      </w:r>
      <w:r>
        <w:rPr>
          <w:rFonts w:ascii="Calibri" w:cs="Calibri" w:eastAsia="Calibri" w:hAnsi="Calibri"/>
          <w:b w:val="false"/>
          <w:bCs w:val="false"/>
          <w:i w:val="false"/>
          <w:iCs w:val="false"/>
          <w:color w:val="1A1A1A"/>
          <w:sz w:val="21"/>
          <w:szCs w:val="21"/>
        </w:rPr>
        <w:t xml:space="preserve"> If nobody is signed in, it redirects to the login page. If a lecturer somehow reached this URL, it sends them to their own portal instead.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page calls a database function.</w:t>
      </w:r>
      <w:r>
        <w:rPr>
          <w:rFonts w:ascii="Calibri" w:cs="Calibri" w:eastAsia="Calibri" w:hAnsi="Calibri"/>
          <w:b w:val="false"/>
          <w:bCs w:val="false"/>
          <w:i w:val="false"/>
          <w:iCs w:val="false"/>
          <w:color w:val="1A1A1A"/>
          <w:sz w:val="21"/>
          <w:szCs w:val="21"/>
        </w:rPr>
        <w:t xml:space="preserve"> It runs </w:t>
      </w:r>
      <w:r>
        <w:rPr>
          <w:rFonts w:ascii="Consolas" w:cs="Consolas" w:eastAsia="Consolas" w:hAnsi="Consolas"/>
          <w:b w:val="false"/>
          <w:bCs w:val="false"/>
          <w:i w:val="false"/>
          <w:iCs w:val="false"/>
          <w:color w:val="8B1E2D"/>
          <w:sz w:val="19"/>
          <w:szCs w:val="19"/>
        </w:rPr>
        <w:t xml:space="preserve">supabase.rpc('get_student_results')</w:t>
      </w:r>
      <w:r>
        <w:rPr>
          <w:rFonts w:ascii="Calibri" w:cs="Calibri" w:eastAsia="Calibri" w:hAnsi="Calibri"/>
          <w:b w:val="false"/>
          <w:bCs w:val="false"/>
          <w:i w:val="false"/>
          <w:iCs w:val="false"/>
          <w:color w:val="1A1A1A"/>
          <w:sz w:val="21"/>
          <w:szCs w:val="21"/>
        </w:rPr>
        <w:t xml:space="preserv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browser sends an HTTPS request.</w:t>
      </w:r>
      <w:r>
        <w:rPr>
          <w:rFonts w:ascii="Calibri" w:cs="Calibri" w:eastAsia="Calibri" w:hAnsi="Calibri"/>
          <w:b w:val="false"/>
          <w:bCs w:val="false"/>
          <w:i w:val="false"/>
          <w:iCs w:val="false"/>
          <w:color w:val="1A1A1A"/>
          <w:sz w:val="21"/>
          <w:szCs w:val="21"/>
        </w:rPr>
        <w:t xml:space="preserve"> Attached to it is the signed-in user's access token — a signed piece of text proving who they are.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Supabase verifies the token</w:t>
      </w:r>
      <w:r>
        <w:rPr>
          <w:rFonts w:ascii="Calibri" w:cs="Calibri" w:eastAsia="Calibri" w:hAnsi="Calibri"/>
          <w:b w:val="false"/>
          <w:bCs w:val="false"/>
          <w:i w:val="false"/>
          <w:iCs w:val="false"/>
          <w:color w:val="1A1A1A"/>
          <w:sz w:val="21"/>
          <w:szCs w:val="21"/>
        </w:rPr>
        <w:t xml:space="preserve"> and starts a database connection acting as that user.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database applies its own rules.</w:t>
      </w:r>
      <w:r>
        <w:rPr>
          <w:rFonts w:ascii="Calibri" w:cs="Calibri" w:eastAsia="Calibri" w:hAnsi="Calibri"/>
          <w:b w:val="false"/>
          <w:bCs w:val="false"/>
          <w:i w:val="false"/>
          <w:iCs w:val="false"/>
          <w:color w:val="1A1A1A"/>
          <w:sz w:val="21"/>
          <w:szCs w:val="21"/>
        </w:rPr>
        <w:t xml:space="preserve"> Row Level Security filters the rows to the ones this student is allowed to see, and the function itself refuses to return unpublished marks.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Rows come back as JSON</w:t>
      </w:r>
      <w:r>
        <w:rPr>
          <w:rFonts w:ascii="Calibri" w:cs="Calibri" w:eastAsia="Calibri" w:hAnsi="Calibri"/>
          <w:b w:val="false"/>
          <w:bCs w:val="false"/>
          <w:i w:val="false"/>
          <w:iCs w:val="false"/>
          <w:color w:val="1A1A1A"/>
          <w:sz w:val="21"/>
          <w:szCs w:val="21"/>
        </w:rPr>
        <w:t xml:space="preserve"> and React draws them.</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STEP THAT DOES THE REAL WORK</w:t>
            </w:r>
          </w:p>
          <w:p>
            <w:pPr>
              <w:spacing w:line="276"/>
            </w:pPr>
            <w:r>
              <w:rPr>
                <w:rFonts w:ascii="Calibri" w:cs="Calibri" w:eastAsia="Calibri" w:hAnsi="Calibri"/>
                <w:color w:val="1A1A1A"/>
                <w:sz w:val="20"/>
                <w:szCs w:val="20"/>
              </w:rPr>
              <w:t xml:space="preserve">Step 6 is where security actually happens. Steps 2 and 3 are convenience — they make the app pleasant to use. If you deleted them, the system would still be safe, just ugly. If you deleted step 6, nothing would be safe at all.</w:t>
            </w:r>
          </w:p>
        </w:tc>
      </w:tr>
    </w:tbl>
    <w:p>
      <w:pPr>
        <w:pStyle w:val="Heading2"/>
        <w:spacing w:after="120" w:before="300"/>
      </w:pPr>
      <w:r>
        <w:rPr>
          <w:rFonts w:ascii="Calibri" w:cs="Calibri" w:eastAsia="Calibri" w:hAnsi="Calibri"/>
          <w:b/>
          <w:bCs/>
          <w:color w:val="1A1A1A"/>
          <w:sz w:val="26"/>
          <w:szCs w:val="26"/>
        </w:rPr>
        <w:t xml:space="preserve">5.1 Two ways the app reads data</w:t>
      </w:r>
    </w:p>
    <w:p>
      <w:pPr>
        <w:spacing w:after="150" w:line="276"/>
      </w:pPr>
      <w:r>
        <w:rPr>
          <w:rFonts w:ascii="Calibri" w:cs="Calibri" w:eastAsia="Calibri" w:hAnsi="Calibri"/>
          <w:b w:val="false"/>
          <w:bCs w:val="false"/>
          <w:i w:val="false"/>
          <w:iCs w:val="false"/>
          <w:color w:val="1A1A1A"/>
          <w:sz w:val="21"/>
          <w:szCs w:val="21"/>
        </w:rPr>
        <w:t xml:space="preserve">You will see both patterns all over the codebase, and it is worth knowing why each is used.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00"/>
        <w:gridCol w:w="3100"/>
        <w:gridCol w:w="4026"/>
      </w:tblGrid>
      <w:tr>
        <w:trPr>
          <w:tblHeader/>
        </w:trPr>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Pattern</w:t>
            </w:r>
          </w:p>
        </w:tc>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Looks like</w:t>
            </w:r>
          </w:p>
        </w:tc>
        <w:tc>
          <w:tcPr>
            <w:tcW w:type="dxa" w:w="4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Used when</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Direct table read</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supabase.from('courses').select(...)</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rows are simple and Row Level Security alone is enough to decide who sees what.</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 call (RPC)</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supabase.rpc('get_my_mentees')</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answer needs joining, calculating, or a rule that RLS cannot express on its own — for example, hiding a mark until it is published.</w:t>
            </w:r>
          </w:p>
        </w:tc>
      </w:tr>
    </w:tbl>
    <w:p>
      <w:pPr>
        <w:spacing w:after="150" w:line="276"/>
      </w:pPr>
      <w:r>
        <w:rPr>
          <w:rFonts w:ascii="Calibri" w:cs="Calibri" w:eastAsia="Calibri" w:hAnsi="Calibri"/>
          <w:b w:val="false"/>
          <w:bCs w:val="false"/>
          <w:i w:val="false"/>
          <w:iCs w:val="false"/>
          <w:color w:val="1A1A1A"/>
          <w:sz w:val="21"/>
          <w:szCs w:val="21"/>
        </w:rPr>
        <w:t xml:space="preserve">Most of the interesting features use the second pattern. There are 139 such functions. Guide 2 explains how they are organised.</w:t>
      </w:r>
    </w:p>
    <w:p>
      <w:r>
        <w:br w:type="page"/>
      </w:r>
    </w:p>
    <w:p>
      <w:pPr>
        <w:pStyle w:val="Heading1"/>
        <w:spacing w:after="170" w:before="380"/>
      </w:pPr>
      <w:r>
        <w:rPr>
          <w:rFonts w:ascii="Calibri" w:cs="Calibri" w:eastAsia="Calibri" w:hAnsi="Calibri"/>
          <w:b/>
          <w:bCs/>
          <w:color w:val="8B1E2D"/>
          <w:sz w:val="32"/>
          <w:szCs w:val="32"/>
        </w:rPr>
        <w:t xml:space="preserve">6. The three rule books</w:t>
      </w:r>
    </w:p>
    <w:p>
      <w:pPr>
        <w:spacing w:after="150" w:line="276"/>
      </w:pPr>
      <w:r>
        <w:rPr>
          <w:rFonts w:ascii="Calibri" w:cs="Calibri" w:eastAsia="Calibri" w:hAnsi="Calibri"/>
          <w:b w:val="false"/>
          <w:bCs w:val="false"/>
          <w:i w:val="false"/>
          <w:iCs w:val="false"/>
          <w:color w:val="1A1A1A"/>
          <w:sz w:val="21"/>
          <w:szCs w:val="21"/>
        </w:rPr>
        <w:t xml:space="preserve">The system's academic behaviour comes from three places. Knowing which is which saves a lot of confusion.</w:t>
      </w:r>
    </w:p>
    <w:p>
      <w:pPr>
        <w:pStyle w:val="Heading3"/>
        <w:spacing w:after="90" w:before="220"/>
      </w:pPr>
      <w:r>
        <w:rPr>
          <w:rFonts w:ascii="Calibri" w:cs="Calibri" w:eastAsia="Calibri" w:hAnsi="Calibri"/>
          <w:b/>
          <w:bCs/>
          <w:color w:val="8B1E2D"/>
          <w:sz w:val="23"/>
          <w:szCs w:val="23"/>
        </w:rPr>
        <w:t xml:space="preserve">6.1 The Faculty Handbook 2026</w:t>
      </w:r>
    </w:p>
    <w:p>
      <w:pPr>
        <w:spacing w:after="150" w:line="276"/>
      </w:pPr>
      <w:r>
        <w:rPr>
          <w:rFonts w:ascii="Calibri" w:cs="Calibri" w:eastAsia="Calibri" w:hAnsi="Calibri"/>
          <w:b w:val="false"/>
          <w:bCs w:val="false"/>
          <w:i w:val="false"/>
          <w:iCs w:val="false"/>
          <w:color w:val="1A1A1A"/>
          <w:sz w:val="21"/>
          <w:szCs w:val="21"/>
        </w:rPr>
        <w:t xml:space="preserve">The printed regulations. It defines the grading scale, what an R grade means, what an F grade means, the honours classifications, and the credit requirements. It is the source of truth, but the computer cannot read it.</w:t>
      </w:r>
    </w:p>
    <w:p>
      <w:pPr>
        <w:pStyle w:val="Heading3"/>
        <w:spacing w:after="90" w:before="220"/>
      </w:pPr>
      <w:r>
        <w:rPr>
          <w:rFonts w:ascii="Calibri" w:cs="Calibri" w:eastAsia="Calibri" w:hAnsi="Calibri"/>
          <w:b/>
          <w:bCs/>
          <w:color w:val="8B1E2D"/>
          <w:sz w:val="23"/>
          <w:szCs w:val="23"/>
        </w:rPr>
        <w:t xml:space="preserve">6.2 The system_settings table</w:t>
      </w:r>
    </w:p>
    <w:p>
      <w:pPr>
        <w:spacing w:after="150" w:line="276"/>
      </w:pPr>
      <w:r>
        <w:rPr>
          <w:rFonts w:ascii="Calibri" w:cs="Calibri" w:eastAsia="Calibri" w:hAnsi="Calibri"/>
          <w:b w:val="false"/>
          <w:bCs w:val="false"/>
          <w:i w:val="false"/>
          <w:iCs w:val="false"/>
          <w:color w:val="1A1A1A"/>
          <w:sz w:val="21"/>
          <w:szCs w:val="21"/>
        </w:rPr>
        <w:t xml:space="preserve">The Handbook's rules, written into the database as data rather than as code. There are 17 settings. Because they are data, the faculty can change a threshold without a developer redeploying the app.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2500"/>
        <w:gridCol w:w="33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Setting</w:t>
            </w:r>
          </w:p>
        </w:tc>
        <w:tc>
          <w:tcPr>
            <w:tcW w:type="dxa" w:w="2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 today</w:t>
            </w:r>
          </w:p>
        </w:tc>
        <w:tc>
          <w:tcPr>
            <w:tcW w:type="dxa" w:w="3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Minimum attendance percentage.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attendance_prewarning_threshold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Below this, the student gets an early warning.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graduation_total_credits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144</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 needed to graduate.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total_semesters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Length of the degree.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oa_weights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 30%, ESE 70%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built.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resit_max_grade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best grade obtainable on a re-sit.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gpv_scale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 4.0 ... F/R/L = 0.0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 point value for each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grade_boundaries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from 85, A from 75,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mark becomes which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honours_classifications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from 3.70,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Class of honours thresholds.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feedback_min_responses_for_analytics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Fewer replies than this and nobody may see the analytics.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a safety net in code: if the settings table cannot be read, src/lib/settings.ts falls back to the same faculty defaults. The system degrades to correct behaviour rather than to zeroes.</w:t>
      </w:r>
    </w:p>
    <w:p>
      <w:pPr>
        <w:pStyle w:val="Heading3"/>
        <w:spacing w:after="90" w:before="220"/>
      </w:pPr>
      <w:r>
        <w:rPr>
          <w:rFonts w:ascii="Calibri" w:cs="Calibri" w:eastAsia="Calibri" w:hAnsi="Calibri"/>
          <w:b/>
          <w:bCs/>
          <w:color w:val="8B1E2D"/>
          <w:sz w:val="23"/>
          <w:szCs w:val="23"/>
        </w:rPr>
        <w:t xml:space="preserve">6.3 Row Level Security policies</w:t>
      </w:r>
    </w:p>
    <w:p>
      <w:pPr>
        <w:spacing w:after="150" w:line="276"/>
      </w:pPr>
      <w:r>
        <w:rPr>
          <w:rFonts w:ascii="Calibri" w:cs="Calibri" w:eastAsia="Calibri" w:hAnsi="Calibri"/>
          <w:b w:val="false"/>
          <w:bCs w:val="false"/>
          <w:i w:val="false"/>
          <w:iCs w:val="false"/>
          <w:color w:val="1A1A1A"/>
          <w:sz w:val="21"/>
          <w:szCs w:val="21"/>
        </w:rPr>
        <w:t xml:space="preserve">The privacy rules, written as SQL attached to each table. These decide who may see which row. They are covered fully in Guide 4.</w:t>
      </w:r>
    </w:p>
    <w:p>
      <w:r>
        <w:br w:type="page"/>
      </w:r>
    </w:p>
    <w:p>
      <w:pPr>
        <w:pStyle w:val="Heading1"/>
        <w:spacing w:after="170" w:before="380"/>
      </w:pPr>
      <w:r>
        <w:rPr>
          <w:rFonts w:ascii="Calibri" w:cs="Calibri" w:eastAsia="Calibri" w:hAnsi="Calibri"/>
          <w:b/>
          <w:bCs/>
          <w:color w:val="8B1E2D"/>
          <w:sz w:val="32"/>
          <w:szCs w:val="32"/>
        </w:rPr>
        <w:t xml:space="preserve">7. How the project is developed and deployed</w:t>
      </w:r>
    </w:p>
    <w:p>
      <w:pPr>
        <w:pStyle w:val="Heading2"/>
        <w:spacing w:after="120" w:before="300"/>
      </w:pPr>
      <w:r>
        <w:rPr>
          <w:rFonts w:ascii="Calibri" w:cs="Calibri" w:eastAsia="Calibri" w:hAnsi="Calibri"/>
          <w:b/>
          <w:bCs/>
          <w:color w:val="1A1A1A"/>
          <w:sz w:val="26"/>
          <w:szCs w:val="26"/>
        </w:rPr>
        <w:t xml:space="preserve">7.1 Two branches</w:t>
      </w:r>
    </w:p>
    <w:p>
      <w:pPr>
        <w:spacing w:after="150" w:line="276"/>
      </w:pPr>
      <w:r>
        <w:rPr>
          <w:rFonts w:ascii="Calibri" w:cs="Calibri" w:eastAsia="Calibri" w:hAnsi="Calibri"/>
          <w:b w:val="false"/>
          <w:bCs w:val="false"/>
          <w:i w:val="false"/>
          <w:iCs w:val="false"/>
          <w:color w:val="1A1A1A"/>
          <w:sz w:val="21"/>
          <w:szCs w:val="21"/>
        </w:rPr>
        <w:t xml:space="preserve">Work is committed to </w:t>
      </w:r>
      <w:r>
        <w:rPr>
          <w:rFonts w:ascii="Consolas" w:cs="Consolas" w:eastAsia="Consolas" w:hAnsi="Consolas"/>
          <w:b w:val="false"/>
          <w:bCs w:val="false"/>
          <w:i w:val="false"/>
          <w:iCs w:val="false"/>
          <w:color w:val="8B1E2D"/>
          <w:sz w:val="19"/>
          <w:szCs w:val="19"/>
        </w:rPr>
        <w:t xml:space="preserve">dev</w:t>
      </w:r>
      <w:r>
        <w:rPr>
          <w:rFonts w:ascii="Calibri" w:cs="Calibri" w:eastAsia="Calibri" w:hAnsi="Calibri"/>
          <w:b w:val="false"/>
          <w:bCs w:val="false"/>
          <w:i w:val="false"/>
          <w:iCs w:val="false"/>
          <w:color w:val="1A1A1A"/>
          <w:sz w:val="21"/>
          <w:szCs w:val="21"/>
        </w:rPr>
        <w:t xml:space="preserve"> first. When it is ready, the same commits are copied onto </w:t>
      </w:r>
      <w:r>
        <w:rPr>
          <w:rFonts w:ascii="Consolas" w:cs="Consolas" w:eastAsia="Consolas" w:hAnsi="Consolas"/>
          <w:b w:val="false"/>
          <w:bCs w:val="false"/>
          <w:i w:val="false"/>
          <w:iCs w:val="false"/>
          <w:color w:val="8B1E2D"/>
          <w:sz w:val="19"/>
          <w:szCs w:val="19"/>
        </w:rPr>
        <w:t xml:space="preserve">main</w:t>
      </w:r>
      <w:r>
        <w:rPr>
          <w:rFonts w:ascii="Calibri" w:cs="Calibri" w:eastAsia="Calibri" w:hAnsi="Calibri"/>
          <w:b w:val="false"/>
          <w:bCs w:val="false"/>
          <w:i w:val="false"/>
          <w:iCs w:val="false"/>
          <w:color w:val="1A1A1A"/>
          <w:sz w:val="21"/>
          <w:szCs w:val="21"/>
        </w:rPr>
        <w:t xml:space="preserve"> with </w:t>
      </w:r>
      <w:r>
        <w:rPr>
          <w:rFonts w:ascii="Consolas" w:cs="Consolas" w:eastAsia="Consolas" w:hAnsi="Consolas"/>
          <w:b w:val="false"/>
          <w:bCs w:val="false"/>
          <w:i w:val="false"/>
          <w:iCs w:val="false"/>
          <w:color w:val="8B1E2D"/>
          <w:sz w:val="19"/>
          <w:szCs w:val="19"/>
        </w:rPr>
        <w:t xml:space="preserve">git cherry-pick</w:t>
      </w:r>
      <w:r>
        <w:rPr>
          <w:rFonts w:ascii="Calibri" w:cs="Calibri" w:eastAsia="Calibri" w:hAnsi="Calibri"/>
          <w:b w:val="false"/>
          <w:bCs w:val="false"/>
          <w:i w:val="false"/>
          <w:iCs w:val="false"/>
          <w:color w:val="1A1A1A"/>
          <w:sz w:val="21"/>
          <w:szCs w:val="21"/>
        </w:rPr>
        <w:t xml:space="preserve">. The two branches are never merged into each other.</w:t>
      </w:r>
    </w:p>
    <w:p>
      <w:pPr>
        <w:spacing w:after="150" w:line="276"/>
      </w:pPr>
      <w:r>
        <w:rPr>
          <w:rFonts w:ascii="Calibri" w:cs="Calibri" w:eastAsia="Calibri" w:hAnsi="Calibri"/>
          <w:b w:val="false"/>
          <w:bCs w:val="false"/>
          <w:i w:val="false"/>
          <w:iCs w:val="false"/>
          <w:color w:val="1A1A1A"/>
          <w:sz w:val="21"/>
          <w:szCs w:val="21"/>
        </w:rPr>
        <w:t xml:space="preserve">Vercel watches both. A push to dev produces a preview site; a push to main produces the live site.</w:t>
      </w:r>
    </w:p>
    <w:p>
      <w:pPr>
        <w:pStyle w:val="Heading2"/>
        <w:spacing w:after="120" w:before="300"/>
      </w:pPr>
      <w:r>
        <w:rPr>
          <w:rFonts w:ascii="Calibri" w:cs="Calibri" w:eastAsia="Calibri" w:hAnsi="Calibri"/>
          <w:b/>
          <w:bCs/>
          <w:color w:val="1A1A1A"/>
          <w:sz w:val="26"/>
          <w:szCs w:val="26"/>
        </w:rPr>
        <w:t xml:space="preserve">7.2 Database changes</w:t>
      </w:r>
    </w:p>
    <w:p>
      <w:pPr>
        <w:spacing w:after="150" w:line="276"/>
      </w:pPr>
      <w:r>
        <w:rPr>
          <w:rFonts w:ascii="Calibri" w:cs="Calibri" w:eastAsia="Calibri" w:hAnsi="Calibri"/>
          <w:b w:val="false"/>
          <w:bCs w:val="false"/>
          <w:i w:val="false"/>
          <w:iCs w:val="false"/>
          <w:color w:val="1A1A1A"/>
          <w:sz w:val="21"/>
          <w:szCs w:val="21"/>
        </w:rPr>
        <w:t xml:space="preserve">Database changes are applied to the live Supabase project and then exported into numbered files under supabase/migrations/. There are 179 of them, and together they are the complete history of how the database reached its current shape.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20260909151251_count_enrolments_where_the_rows_are.sql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Each file name carries the date and time it was applied, so the order is never ambiguous.</w:t>
      </w:r>
    </w:p>
    <w:p>
      <w:pPr>
        <w:pStyle w:val="Heading2"/>
        <w:spacing w:after="120" w:before="300"/>
      </w:pPr>
      <w:r>
        <w:rPr>
          <w:rFonts w:ascii="Calibri" w:cs="Calibri" w:eastAsia="Calibri" w:hAnsi="Calibri"/>
          <w:b/>
          <w:bCs/>
          <w:color w:val="1A1A1A"/>
          <w:sz w:val="26"/>
          <w:szCs w:val="26"/>
        </w:rPr>
        <w:t xml:space="preserve">7.3 Running it on your own machine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cd pes_app</w:t>
            </w:r>
          </w:p>
          <w:p>
            <w:pPr>
              <w:spacing w:after="20" w:line="240"/>
            </w:pPr>
            <w:r>
              <w:rPr>
                <w:rFonts w:ascii="Consolas" w:cs="Consolas" w:eastAsia="Consolas" w:hAnsi="Consolas"/>
                <w:color w:val="23303B"/>
                <w:sz w:val="18"/>
                <w:szCs w:val="18"/>
              </w:rPr>
              <w:t xml:space="preserve">npm install</w:t>
            </w:r>
          </w:p>
          <w:p>
            <w:pPr>
              <w:spacing w:after="20" w:line="240"/>
            </w:pPr>
            <w:r>
              <w:rPr>
                <w:rFonts w:ascii="Consolas" w:cs="Consolas" w:eastAsia="Consolas" w:hAnsi="Consolas"/>
                <w:color w:val="23303B"/>
                <w:sz w:val="18"/>
                <w:szCs w:val="18"/>
              </w:rPr>
              <w:t xml:space="preserve">npm run dev        # opens http://localhost:5173</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npm run typecheck  # check TypeScript, should print nothing</w:t>
            </w:r>
          </w:p>
          <w:p>
            <w:pPr>
              <w:spacing w:after="20" w:line="240"/>
            </w:pPr>
            <w:r>
              <w:rPr>
                <w:rFonts w:ascii="Consolas" w:cs="Consolas" w:eastAsia="Consolas" w:hAnsi="Consolas"/>
                <w:color w:val="23303B"/>
                <w:sz w:val="18"/>
                <w:szCs w:val="18"/>
              </w:rPr>
              <w:t xml:space="preserve">npm run build      # production build</w:t>
            </w:r>
          </w:p>
        </w:tc>
      </w:tr>
    </w:tbl>
    <w:p>
      <w:pPr>
        <w:spacing w:after="150" w:line="276"/>
      </w:pPr>
      <w:r>
        <w:rPr>
          <w:rFonts w:ascii="Calibri" w:cs="Calibri" w:eastAsia="Calibri" w:hAnsi="Calibri"/>
          <w:b w:val="false"/>
          <w:bCs w:val="false"/>
          <w:i w:val="false"/>
          <w:iCs w:val="false"/>
          <w:color w:val="1A1A1A"/>
          <w:sz w:val="21"/>
          <w:szCs w:val="21"/>
        </w:rPr>
        <w:t xml:space="preserve">You will need a </w:t>
      </w:r>
      <w:r>
        <w:rPr>
          <w:rFonts w:ascii="Consolas" w:cs="Consolas" w:eastAsia="Consolas" w:hAnsi="Consolas"/>
          <w:b w:val="false"/>
          <w:bCs w:val="false"/>
          <w:i w:val="false"/>
          <w:iCs w:val="false"/>
          <w:color w:val="8B1E2D"/>
          <w:sz w:val="19"/>
          <w:szCs w:val="19"/>
        </w:rPr>
        <w:t xml:space="preserve">pes_app/.env.local</w:t>
      </w:r>
      <w:r>
        <w:rPr>
          <w:rFonts w:ascii="Calibri" w:cs="Calibri" w:eastAsia="Calibri" w:hAnsi="Calibri"/>
          <w:b w:val="false"/>
          <w:bCs w:val="false"/>
          <w:i w:val="false"/>
          <w:iCs w:val="false"/>
          <w:color w:val="1A1A1A"/>
          <w:sz w:val="21"/>
          <w:szCs w:val="21"/>
        </w:rPr>
        <w:t xml:space="preserve"> file holding the Supabase project URL and the public key. It is deliberately not in version control.</w:t>
      </w:r>
    </w:p>
    <w:p>
      <w:r>
        <w:br w:type="page"/>
      </w:r>
    </w:p>
    <w:p>
      <w:pPr>
        <w:pStyle w:val="Heading1"/>
        <w:spacing w:after="170" w:before="380"/>
      </w:pPr>
      <w:r>
        <w:rPr>
          <w:rFonts w:ascii="Calibri" w:cs="Calibri" w:eastAsia="Calibri" w:hAnsi="Calibri"/>
          <w:b/>
          <w:bCs/>
          <w:color w:val="8B1E2D"/>
          <w:sz w:val="32"/>
          <w:szCs w:val="32"/>
        </w:rPr>
        <w:t xml:space="preserve">8. What is built, and what is next</w:t>
      </w:r>
    </w:p>
    <w:p>
      <w:pPr>
        <w:pStyle w:val="Heading2"/>
        <w:spacing w:after="120" w:before="300"/>
      </w:pPr>
      <w:r>
        <w:rPr>
          <w:rFonts w:ascii="Calibri" w:cs="Calibri" w:eastAsia="Calibri" w:hAnsi="Calibri"/>
          <w:b/>
          <w:bCs/>
          <w:color w:val="1A1A1A"/>
          <w:sz w:val="26"/>
          <w:szCs w:val="26"/>
        </w:rPr>
        <w:t xml:space="preserve">8.1 Complete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Login and the four roles, with three separate portals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catalogue, offerings and lecturer assignment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Enrolment, including repeats for R, F and L grades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Attendance, both live sessions and manual registers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with the full entry to publication workflow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Feedback, with approval, anonymity and a privacy threshold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Medical certificates, reviewed module by module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Mentoring, with live chat, file attachments and private notes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Graduation planner and academic standing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PDF result sheets and feedback reports</w:t>
      </w:r>
    </w:p>
    <w:p>
      <w:pPr>
        <w:pStyle w:val="Heading2"/>
        <w:spacing w:after="120" w:before="300"/>
      </w:pPr>
      <w:r>
        <w:rPr>
          <w:rFonts w:ascii="Calibri" w:cs="Calibri" w:eastAsia="Calibri" w:hAnsi="Calibri"/>
          <w:b/>
          <w:bCs/>
          <w:color w:val="1A1A1A"/>
          <w:sz w:val="26"/>
          <w:szCs w:val="26"/>
        </w:rPr>
        <w:t xml:space="preserve">8.2 Rebuilt in September 2026 — the AI Assistant</w:t>
      </w:r>
    </w:p>
    <w:p>
      <w:pPr>
        <w:spacing w:after="150" w:line="276"/>
      </w:pPr>
      <w:r>
        <w:rPr>
          <w:rFonts w:ascii="Calibri" w:cs="Calibri" w:eastAsia="Calibri" w:hAnsi="Calibri"/>
          <w:b w:val="false"/>
          <w:bCs w:val="false"/>
          <w:i w:val="false"/>
          <w:iCs w:val="false"/>
          <w:color w:val="1A1A1A"/>
          <w:sz w:val="21"/>
          <w:szCs w:val="21"/>
        </w:rPr>
        <w:t xml:space="preserve">The assistant used to sort each message into one of six known question types and answer from a hand-written sentence with the numbers dropped in, which is why it read as a collection of canned replies. It now sends every message to a language model, which chooses for itself which of twelve database functions to call and writes the answer from what they return.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Twelve tools</w:t>
      </w:r>
      <w:r>
        <w:rPr>
          <w:rFonts w:ascii="Calibri" w:cs="Calibri" w:eastAsia="Calibri" w:hAnsi="Calibri"/>
          <w:b w:val="false"/>
          <w:bCs w:val="false"/>
          <w:i w:val="false"/>
          <w:iCs w:val="false"/>
          <w:color w:val="1A1A1A"/>
          <w:sz w:val="21"/>
          <w:szCs w:val="21"/>
        </w:rPr>
        <w:t xml:space="preserve"> covering standing, results, GPA targets, courses, attendance, minors, outstanding modules and medical certificates.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Handbook search</w:t>
      </w:r>
      <w:r>
        <w:rPr>
          <w:rFonts w:ascii="Calibri" w:cs="Calibri" w:eastAsia="Calibri" w:hAnsi="Calibri"/>
          <w:b w:val="false"/>
          <w:bCs w:val="false"/>
          <w:i w:val="false"/>
          <w:iCs w:val="false"/>
          <w:color w:val="1A1A1A"/>
          <w:sz w:val="21"/>
          <w:szCs w:val="21"/>
        </w:rPr>
        <w:t xml:space="preserve"> over 131 stored pieces, combining word matching with vector similarity, and cited with a page number.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same grounding rule as before</w:t>
      </w:r>
      <w:r>
        <w:rPr>
          <w:rFonts w:ascii="Calibri" w:cs="Calibri" w:eastAsia="Calibri" w:hAnsi="Calibri"/>
          <w:b w:val="false"/>
          <w:bCs w:val="false"/>
          <w:i w:val="false"/>
          <w:iCs w:val="false"/>
          <w:color w:val="1A1A1A"/>
          <w:sz w:val="21"/>
          <w:szCs w:val="21"/>
        </w:rPr>
        <w:t xml:space="preserve"> — it may state only what a database function returned, and never does GPA arithmetic itself.</w:t>
      </w:r>
    </w:p>
    <w:p>
      <w:pPr>
        <w:spacing w:after="150" w:line="276"/>
      </w:pPr>
      <w:r>
        <w:rPr>
          <w:rFonts w:ascii="Calibri" w:cs="Calibri" w:eastAsia="Calibri" w:hAnsi="Calibri"/>
          <w:b w:val="false"/>
          <w:bCs w:val="false"/>
          <w:i w:val="false"/>
          <w:iCs w:val="false"/>
          <w:color w:val="1A1A1A"/>
          <w:sz w:val="21"/>
          <w:szCs w:val="21"/>
        </w:rPr>
        <w:t xml:space="preserve">Guide 5 describes it in full, including the one thing that still limits it: the free AI quota allows about five questions a day, which has to be paid for before students are given the feature.</w:t>
      </w:r>
    </w:p>
    <w:p>
      <w:pPr>
        <w:pStyle w:val="Heading2"/>
        <w:spacing w:after="120" w:before="300"/>
      </w:pPr>
      <w:r>
        <w:rPr>
          <w:rFonts w:ascii="Calibri" w:cs="Calibri" w:eastAsia="Calibri" w:hAnsi="Calibri"/>
          <w:b/>
          <w:bCs/>
          <w:color w:val="1A1A1A"/>
          <w:sz w:val="26"/>
          <w:szCs w:val="26"/>
        </w:rPr>
        <w:t xml:space="preserve">8.3 Deliberately not built</w:t>
      </w:r>
    </w:p>
    <w:p>
      <w:pPr>
        <w:spacing w:after="150" w:line="276"/>
      </w:pPr>
      <w:r>
        <w:rPr>
          <w:rFonts w:ascii="Calibri" w:cs="Calibri" w:eastAsia="Calibri" w:hAnsi="Calibri"/>
          <w:b w:val="false"/>
          <w:bCs w:val="false"/>
          <w:i w:val="false"/>
          <w:iCs w:val="false"/>
          <w:color w:val="1A1A1A"/>
          <w:sz w:val="21"/>
          <w:szCs w:val="21"/>
        </w:rPr>
        <w:t xml:space="preserve">Two Handbook rules are recorded but not enforced: the Dean's List, and the time limits on completing the degree. These were noted during the September 2026 review and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Where to go next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62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Guide</w:t>
            </w:r>
          </w:p>
        </w:tc>
        <w:tc>
          <w:tcPr>
            <w:tcW w:type="dxa" w:w="6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Read it when you want to know</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 — Database Guide</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every table holds and how the tables connect.</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 Login, Roles and Permissions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signing in works and how a role is decided.</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 — Security and Row Level Security</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database stops people seeing what is not theirs.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 — Features and Data Flows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each feature works, step by step, from click to database.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Suggested order: this guide, then 3, then 4, then 2, then 5. Guides 3 and 4 explain the ideas that the table structure in Guide 2 only makes sense in light of.</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2026-09-11T12:17:19.715Z</dcterms:created>
  <dcterms:modified xsi:type="dcterms:W3CDTF">2026-09-11T12:17:19.715Z</dcterms:modified>
</cp:coreProperties>
</file>

<file path=docProps/custom.xml><?xml version="1.0" encoding="utf-8"?>
<Properties xmlns="http://schemas.openxmlformats.org/officeDocument/2006/custom-properties" xmlns:vt="http://schemas.openxmlformats.org/officeDocument/2006/docPropsVTypes"/>
</file>