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2 of 7</w:t>
      </w:r>
    </w:p>
    <w:p>
      <w:pPr>
        <w:spacing w:after="80"/>
      </w:pPr>
      <w:r>
        <w:rPr>
          <w:rFonts w:ascii="Calibri" w:cs="Calibri" w:eastAsia="Calibri" w:hAnsi="Calibri"/>
          <w:b/>
          <w:bCs/>
          <w:i w:val="false"/>
          <w:iCs w:val="false"/>
          <w:color w:val="1A1A1A"/>
          <w:sz w:val="56"/>
          <w:szCs w:val="56"/>
        </w:rPr>
        <w:t xml:space="preserve">Database Guide</w:t>
      </w:r>
    </w:p>
    <w:p>
      <w:pPr>
        <w:spacing w:after="320"/>
      </w:pPr>
      <w:r>
        <w:rPr>
          <w:rFonts w:ascii="Calibri" w:cs="Calibri" w:eastAsia="Calibri" w:hAnsi="Calibri"/>
          <w:b w:val="false"/>
          <w:bCs w:val="false"/>
          <w:i w:val="false"/>
          <w:iCs w:val="false"/>
          <w:color w:val="8B1E2D"/>
          <w:sz w:val="26"/>
          <w:szCs w:val="26"/>
        </w:rPr>
        <w:t xml:space="preserve">Every table, what it holds, and how they connect</w:t>
      </w:r>
    </w:p>
    <w:p>
      <w:pPr>
        <w:spacing w:after="900" w:line="300"/>
      </w:pPr>
      <w:r>
        <w:rPr>
          <w:rFonts w:ascii="Calibri" w:cs="Calibri" w:eastAsia="Calibri" w:hAnsi="Calibri"/>
          <w:b w:val="false"/>
          <w:bCs w:val="false"/>
          <w:i w:val="false"/>
          <w:iCs w:val="false"/>
          <w:color w:val="5A5A5A"/>
          <w:sz w:val="21"/>
          <w:szCs w:val="21"/>
        </w:rPr>
        <w:t xml:space="preserve">The PES keeps everything in one PostgreSQL 17 database: 51 tables, 248 functions, 2 views and the files beside them. This guide walks through them area by area, in the order the academic year actually happens: people, then courses, then enrolment, attendance and results, then everything that hangs off them.</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figures from the live database on that date  ·  first written 10 September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How to think about this database</w:t>
            </w:r>
          </w:hyperlink>
        </w:p>
        <w:p>
          <w:pPr>
            <w:tabs>
              <w:tab w:val="right" w:leader="dot" w:pos="9026"/>
            </w:tabs>
            <w:spacing w:after="40" w:before="120"/>
          </w:pPr>
          <w:hyperlink w:anchor="_Toc_2" w:history="1">
            <w:r>
              <w:rPr>
                <w:rFonts w:ascii="Calibri" w:cs="Calibri" w:eastAsia="Calibri" w:hAnsi="Calibri"/>
                <w:b/>
                <w:bCs/>
                <w:i w:val="false"/>
                <w:iCs w:val="false"/>
                <w:color w:val="1A1A1A"/>
                <w:sz w:val="21"/>
                <w:szCs w:val="21"/>
              </w:rPr>
              <w:t xml:space="preserve">2. People and accounts</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2.1 students</w:t>
            </w:r>
          </w:hyperlink>
        </w:p>
        <w:p>
          <w:pPr>
            <w:tabs>
              <w:tab w:val="right" w:leader="dot" w:pos="9026"/>
            </w:tabs>
            <w:spacing w:after="40" w:before="0"/>
            <w:ind w:left="360"/>
          </w:pPr>
          <w:hyperlink w:anchor="_Toc_4" w:history="1">
            <w:r>
              <w:rPr>
                <w:rFonts w:ascii="Calibri" w:cs="Calibri" w:eastAsia="Calibri" w:hAnsi="Calibri"/>
                <w:b w:val="false"/>
                <w:bCs w:val="false"/>
                <w:i w:val="false"/>
                <w:iCs w:val="false"/>
                <w:color w:val="5A5A5A"/>
                <w:sz w:val="20"/>
                <w:szCs w:val="20"/>
              </w:rPr>
              <w:t xml:space="preserve">2.2 lecturers</w:t>
            </w:r>
          </w:hyperlink>
        </w:p>
        <w:p>
          <w:pPr>
            <w:tabs>
              <w:tab w:val="right" w:leader="dot" w:pos="9026"/>
            </w:tabs>
            <w:spacing w:after="40" w:before="0"/>
            <w:ind w:left="360"/>
          </w:pPr>
          <w:hyperlink w:anchor="_Toc_5" w:history="1">
            <w:r>
              <w:rPr>
                <w:rFonts w:ascii="Calibri" w:cs="Calibri" w:eastAsia="Calibri" w:hAnsi="Calibri"/>
                <w:b w:val="false"/>
                <w:bCs w:val="false"/>
                <w:i w:val="false"/>
                <w:iCs w:val="false"/>
                <w:color w:val="5A5A5A"/>
                <w:sz w:val="20"/>
                <w:szCs w:val="20"/>
              </w:rPr>
              <w:t xml:space="preserve">2.3 admins</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2.4 hod_appointments</w:t>
            </w:r>
          </w:hyperlink>
        </w:p>
        <w:p>
          <w:pPr>
            <w:tabs>
              <w:tab w:val="right" w:leader="dot" w:pos="9026"/>
            </w:tabs>
            <w:spacing w:after="40" w:before="0"/>
            <w:ind w:left="360"/>
          </w:pPr>
          <w:hyperlink w:anchor="_Toc_7" w:history="1">
            <w:r>
              <w:rPr>
                <w:rFonts w:ascii="Calibri" w:cs="Calibri" w:eastAsia="Calibri" w:hAnsi="Calibri"/>
                <w:b w:val="false"/>
                <w:bCs w:val="false"/>
                <w:i w:val="false"/>
                <w:iCs w:val="false"/>
                <w:color w:val="5A5A5A"/>
                <w:sz w:val="20"/>
                <w:szCs w:val="20"/>
              </w:rPr>
              <w:t xml:space="preserve">2.5 The account tables</w:t>
            </w:r>
          </w:hyperlink>
        </w:p>
        <w:p>
          <w:pPr>
            <w:tabs>
              <w:tab w:val="right" w:leader="dot" w:pos="9026"/>
            </w:tabs>
            <w:spacing w:after="40" w:before="0"/>
            <w:ind w:left="360"/>
          </w:pPr>
          <w:hyperlink w:anchor="_Toc_8" w:history="1">
            <w:r>
              <w:rPr>
                <w:rFonts w:ascii="Calibri" w:cs="Calibri" w:eastAsia="Calibri" w:hAnsi="Calibri"/>
                <w:b w:val="false"/>
                <w:bCs w:val="false"/>
                <w:i w:val="false"/>
                <w:iCs w:val="false"/>
                <w:color w:val="5A5A5A"/>
                <w:sz w:val="20"/>
                <w:szCs w:val="20"/>
              </w:rPr>
              <w:t xml:space="preserve">2.6 Batches</w:t>
            </w:r>
          </w:hyperlink>
        </w:p>
        <w:p>
          <w:pPr>
            <w:tabs>
              <w:tab w:val="right" w:leader="dot" w:pos="9026"/>
            </w:tabs>
            <w:spacing w:after="40" w:before="120"/>
          </w:pPr>
          <w:hyperlink w:anchor="_Toc_9" w:history="1">
            <w:r>
              <w:rPr>
                <w:rFonts w:ascii="Calibri" w:cs="Calibri" w:eastAsia="Calibri" w:hAnsi="Calibri"/>
                <w:b/>
                <w:bCs/>
                <w:i w:val="false"/>
                <w:iCs w:val="false"/>
                <w:color w:val="1A1A1A"/>
                <w:sz w:val="21"/>
                <w:szCs w:val="21"/>
              </w:rPr>
              <w:t xml:space="preserve">3. Courses and teaching</w:t>
            </w:r>
          </w:hyperlink>
        </w:p>
        <w:p>
          <w:pPr>
            <w:tabs>
              <w:tab w:val="right" w:leader="dot" w:pos="9026"/>
            </w:tabs>
            <w:spacing w:after="40" w:before="0"/>
            <w:ind w:left="360"/>
          </w:pPr>
          <w:hyperlink w:anchor="_Toc_10" w:history="1">
            <w:r>
              <w:rPr>
                <w:rFonts w:ascii="Calibri" w:cs="Calibri" w:eastAsia="Calibri" w:hAnsi="Calibri"/>
                <w:b w:val="false"/>
                <w:bCs w:val="false"/>
                <w:i w:val="false"/>
                <w:iCs w:val="false"/>
                <w:color w:val="5A5A5A"/>
                <w:sz w:val="20"/>
                <w:szCs w:val="20"/>
              </w:rPr>
              <w:t xml:space="preserve">3.1 courses</w:t>
            </w:r>
          </w:hyperlink>
        </w:p>
        <w:p>
          <w:pPr>
            <w:tabs>
              <w:tab w:val="right" w:leader="dot" w:pos="9026"/>
            </w:tabs>
            <w:spacing w:after="40" w:before="0"/>
            <w:ind w:left="360"/>
          </w:pPr>
          <w:hyperlink w:anchor="_Toc_11" w:history="1">
            <w:r>
              <w:rPr>
                <w:rFonts w:ascii="Calibri" w:cs="Calibri" w:eastAsia="Calibri" w:hAnsi="Calibri"/>
                <w:b w:val="false"/>
                <w:bCs w:val="false"/>
                <w:i w:val="false"/>
                <w:iCs w:val="false"/>
                <w:color w:val="5A5A5A"/>
                <w:sz w:val="20"/>
                <w:szCs w:val="20"/>
              </w:rPr>
              <w:t xml:space="preserve">3.2 course_offerings</w:t>
            </w:r>
          </w:hyperlink>
        </w:p>
        <w:p>
          <w:pPr>
            <w:tabs>
              <w:tab w:val="right" w:leader="dot" w:pos="9026"/>
            </w:tabs>
            <w:spacing w:after="40" w:before="0"/>
            <w:ind w:left="360"/>
          </w:pPr>
          <w:hyperlink w:anchor="_Toc_12" w:history="1">
            <w:r>
              <w:rPr>
                <w:rFonts w:ascii="Calibri" w:cs="Calibri" w:eastAsia="Calibri" w:hAnsi="Calibri"/>
                <w:b w:val="false"/>
                <w:bCs w:val="false"/>
                <w:i w:val="false"/>
                <w:iCs w:val="false"/>
                <w:color w:val="5A5A5A"/>
                <w:sz w:val="20"/>
                <w:szCs w:val="20"/>
              </w:rPr>
              <w:t xml:space="preserve">3.3 course_lecturers</w:t>
            </w:r>
          </w:hyperlink>
        </w:p>
        <w:p>
          <w:pPr>
            <w:tabs>
              <w:tab w:val="right" w:leader="dot" w:pos="9026"/>
            </w:tabs>
            <w:spacing w:after="40" w:before="0"/>
            <w:ind w:left="360"/>
          </w:pPr>
          <w:hyperlink w:anchor="_Toc_13" w:history="1">
            <w:r>
              <w:rPr>
                <w:rFonts w:ascii="Calibri" w:cs="Calibri" w:eastAsia="Calibri" w:hAnsi="Calibri"/>
                <w:b w:val="false"/>
                <w:bCs w:val="false"/>
                <w:i w:val="false"/>
                <w:iCs w:val="false"/>
                <w:color w:val="5A5A5A"/>
                <w:sz w:val="20"/>
                <w:szCs w:val="20"/>
              </w:rPr>
              <w:t xml:space="preserve">3.4 curriculum_slots</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3.5 Minors: the study plan</w:t>
            </w:r>
          </w:hyperlink>
        </w:p>
        <w:p>
          <w:pPr>
            <w:tabs>
              <w:tab w:val="right" w:leader="dot" w:pos="9026"/>
            </w:tabs>
            <w:spacing w:after="40" w:before="120"/>
          </w:pPr>
          <w:hyperlink w:anchor="_Toc_15" w:history="1">
            <w:r>
              <w:rPr>
                <w:rFonts w:ascii="Calibri" w:cs="Calibri" w:eastAsia="Calibri" w:hAnsi="Calibri"/>
                <w:b/>
                <w:bCs/>
                <w:i w:val="false"/>
                <w:iCs w:val="false"/>
                <w:color w:val="1A1A1A"/>
                <w:sz w:val="21"/>
                <w:szCs w:val="21"/>
              </w:rPr>
              <w:t xml:space="preserve">4. Enrolment</w:t>
            </w:r>
          </w:hyperlink>
        </w:p>
        <w:p>
          <w:pPr>
            <w:tabs>
              <w:tab w:val="right" w:leader="dot" w:pos="9026"/>
            </w:tabs>
            <w:spacing w:after="40" w:before="0"/>
            <w:ind w:left="360"/>
          </w:pPr>
          <w:hyperlink w:anchor="_Toc_16" w:history="1">
            <w:r>
              <w:rPr>
                <w:rFonts w:ascii="Calibri" w:cs="Calibri" w:eastAsia="Calibri" w:hAnsi="Calibri"/>
                <w:b w:val="false"/>
                <w:bCs w:val="false"/>
                <w:i w:val="false"/>
                <w:iCs w:val="false"/>
                <w:color w:val="5A5A5A"/>
                <w:sz w:val="20"/>
                <w:szCs w:val="20"/>
              </w:rPr>
              <w:t xml:space="preserve">4.1 enrollment_periods</w:t>
            </w:r>
          </w:hyperlink>
        </w:p>
        <w:p>
          <w:pPr>
            <w:tabs>
              <w:tab w:val="right" w:leader="dot" w:pos="9026"/>
            </w:tabs>
            <w:spacing w:after="40" w:before="0"/>
            <w:ind w:left="360"/>
          </w:pPr>
          <w:hyperlink w:anchor="_Toc_17" w:history="1">
            <w:r>
              <w:rPr>
                <w:rFonts w:ascii="Calibri" w:cs="Calibri" w:eastAsia="Calibri" w:hAnsi="Calibri"/>
                <w:b w:val="false"/>
                <w:bCs w:val="false"/>
                <w:i w:val="false"/>
                <w:iCs w:val="false"/>
                <w:color w:val="5A5A5A"/>
                <w:sz w:val="20"/>
                <w:szCs w:val="20"/>
              </w:rPr>
              <w:t xml:space="preserve">4.2 enrollments</w:t>
            </w:r>
          </w:hyperlink>
        </w:p>
        <w:p>
          <w:pPr>
            <w:tabs>
              <w:tab w:val="right" w:leader="dot" w:pos="9026"/>
            </w:tabs>
            <w:spacing w:after="40" w:before="120"/>
          </w:pPr>
          <w:hyperlink w:anchor="_Toc_18" w:history="1">
            <w:r>
              <w:rPr>
                <w:rFonts w:ascii="Calibri" w:cs="Calibri" w:eastAsia="Calibri" w:hAnsi="Calibri"/>
                <w:b/>
                <w:bCs/>
                <w:i w:val="false"/>
                <w:iCs w:val="false"/>
                <w:color w:val="1A1A1A"/>
                <w:sz w:val="21"/>
                <w:szCs w:val="21"/>
              </w:rPr>
              <w:t xml:space="preserve">5. Attendance</w:t>
            </w:r>
          </w:hyperlink>
        </w:p>
        <w:p>
          <w:pPr>
            <w:tabs>
              <w:tab w:val="right" w:leader="dot" w:pos="9026"/>
            </w:tabs>
            <w:spacing w:after="40" w:before="0"/>
            <w:ind w:left="360"/>
          </w:pPr>
          <w:hyperlink w:anchor="_Toc_19" w:history="1">
            <w:r>
              <w:rPr>
                <w:rFonts w:ascii="Calibri" w:cs="Calibri" w:eastAsia="Calibri" w:hAnsi="Calibri"/>
                <w:b w:val="false"/>
                <w:bCs w:val="false"/>
                <w:i w:val="false"/>
                <w:iCs w:val="false"/>
                <w:color w:val="5A5A5A"/>
                <w:sz w:val="20"/>
                <w:szCs w:val="20"/>
              </w:rPr>
              <w:t xml:space="preserve">5.1 attendance</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5.2 The live session tables</w:t>
            </w:r>
          </w:hyperlink>
        </w:p>
        <w:p>
          <w:pPr>
            <w:tabs>
              <w:tab w:val="right" w:leader="dot" w:pos="9026"/>
            </w:tabs>
            <w:spacing w:after="40" w:before="120"/>
          </w:pPr>
          <w:hyperlink w:anchor="_Toc_21" w:history="1">
            <w:r>
              <w:rPr>
                <w:rFonts w:ascii="Calibri" w:cs="Calibri" w:eastAsia="Calibri" w:hAnsi="Calibri"/>
                <w:b/>
                <w:bCs/>
                <w:i w:val="false"/>
                <w:iCs w:val="false"/>
                <w:color w:val="1A1A1A"/>
                <w:sz w:val="21"/>
                <w:szCs w:val="21"/>
              </w:rPr>
              <w:t xml:space="preserve">6. Results</w:t>
            </w:r>
          </w:hyperlink>
        </w:p>
        <w:p>
          <w:pPr>
            <w:tabs>
              <w:tab w:val="right" w:leader="dot" w:pos="9026"/>
            </w:tabs>
            <w:spacing w:after="40" w:before="0"/>
            <w:ind w:left="360"/>
          </w:pPr>
          <w:hyperlink w:anchor="_Toc_22" w:history="1">
            <w:r>
              <w:rPr>
                <w:rFonts w:ascii="Calibri" w:cs="Calibri" w:eastAsia="Calibri" w:hAnsi="Calibri"/>
                <w:b w:val="false"/>
                <w:bCs w:val="false"/>
                <w:i w:val="false"/>
                <w:iCs w:val="false"/>
                <w:color w:val="5A5A5A"/>
                <w:sz w:val="20"/>
                <w:szCs w:val="20"/>
              </w:rPr>
              <w:t xml:space="preserve">6.1 results</w:t>
            </w:r>
          </w:hyperlink>
        </w:p>
        <w:p>
          <w:pPr>
            <w:tabs>
              <w:tab w:val="right" w:leader="dot" w:pos="9026"/>
            </w:tabs>
            <w:spacing w:after="40" w:before="0"/>
            <w:ind w:left="360"/>
          </w:pPr>
          <w:hyperlink w:anchor="_Toc_23" w:history="1">
            <w:r>
              <w:rPr>
                <w:rFonts w:ascii="Calibri" w:cs="Calibri" w:eastAsia="Calibri" w:hAnsi="Calibri"/>
                <w:b w:val="false"/>
                <w:bCs w:val="false"/>
                <w:i w:val="false"/>
                <w:iCs w:val="false"/>
                <w:color w:val="5A5A5A"/>
                <w:sz w:val="20"/>
                <w:szCs w:val="20"/>
              </w:rPr>
              <w:t xml:space="preserve">6.2 The two views</w:t>
            </w:r>
          </w:hyperlink>
        </w:p>
        <w:p>
          <w:pPr>
            <w:tabs>
              <w:tab w:val="right" w:leader="dot" w:pos="9026"/>
            </w:tabs>
            <w:spacing w:after="40" w:before="120"/>
          </w:pPr>
          <w:hyperlink w:anchor="_Toc_24" w:history="1">
            <w:r>
              <w:rPr>
                <w:rFonts w:ascii="Calibri" w:cs="Calibri" w:eastAsia="Calibri" w:hAnsi="Calibri"/>
                <w:b/>
                <w:bCs/>
                <w:i w:val="false"/>
                <w:iCs w:val="false"/>
                <w:color w:val="1A1A1A"/>
                <w:sz w:val="21"/>
                <w:szCs w:val="21"/>
              </w:rPr>
              <w:t xml:space="preserve">7. Feedback</w:t>
            </w:r>
          </w:hyperlink>
        </w:p>
        <w:p>
          <w:pPr>
            <w:tabs>
              <w:tab w:val="right" w:leader="dot" w:pos="9026"/>
            </w:tabs>
            <w:spacing w:after="40" w:before="120"/>
          </w:pPr>
          <w:hyperlink w:anchor="_Toc_25" w:history="1">
            <w:r>
              <w:rPr>
                <w:rFonts w:ascii="Calibri" w:cs="Calibri" w:eastAsia="Calibri" w:hAnsi="Calibri"/>
                <w:b/>
                <w:bCs/>
                <w:i w:val="false"/>
                <w:iCs w:val="false"/>
                <w:color w:val="1A1A1A"/>
                <w:sz w:val="21"/>
                <w:szCs w:val="21"/>
              </w:rPr>
              <w:t xml:space="preserve">8. Medical certificates</w:t>
            </w:r>
          </w:hyperlink>
        </w:p>
        <w:p>
          <w:pPr>
            <w:tabs>
              <w:tab w:val="right" w:leader="dot" w:pos="9026"/>
            </w:tabs>
            <w:spacing w:after="40" w:before="120"/>
          </w:pPr>
          <w:hyperlink w:anchor="_Toc_26" w:history="1">
            <w:r>
              <w:rPr>
                <w:rFonts w:ascii="Calibri" w:cs="Calibri" w:eastAsia="Calibri" w:hAnsi="Calibri"/>
                <w:b/>
                <w:bCs/>
                <w:i w:val="false"/>
                <w:iCs w:val="false"/>
                <w:color w:val="1A1A1A"/>
                <w:sz w:val="21"/>
                <w:szCs w:val="21"/>
              </w:rPr>
              <w:t xml:space="preserve">9. Mentoring</w:t>
            </w:r>
          </w:hyperlink>
        </w:p>
        <w:p>
          <w:pPr>
            <w:tabs>
              <w:tab w:val="right" w:leader="dot" w:pos="9026"/>
            </w:tabs>
            <w:spacing w:after="40" w:before="120"/>
          </w:pPr>
          <w:hyperlink w:anchor="_Toc_27" w:history="1">
            <w:r>
              <w:rPr>
                <w:rFonts w:ascii="Calibri" w:cs="Calibri" w:eastAsia="Calibri" w:hAnsi="Calibri"/>
                <w:b/>
                <w:bCs/>
                <w:i w:val="false"/>
                <w:iCs w:val="false"/>
                <w:color w:val="1A1A1A"/>
                <w:sz w:val="21"/>
                <w:szCs w:val="21"/>
              </w:rPr>
              <w:t xml:space="preserve">10. The Graduation Planner's own tables</w:t>
            </w:r>
          </w:hyperlink>
        </w:p>
        <w:p>
          <w:pPr>
            <w:tabs>
              <w:tab w:val="right" w:leader="dot" w:pos="9026"/>
            </w:tabs>
            <w:spacing w:after="40" w:before="120"/>
          </w:pPr>
          <w:hyperlink w:anchor="_Toc_28" w:history="1">
            <w:r>
              <w:rPr>
                <w:rFonts w:ascii="Calibri" w:cs="Calibri" w:eastAsia="Calibri" w:hAnsi="Calibri"/>
                <w:b/>
                <w:bCs/>
                <w:i w:val="false"/>
                <w:iCs w:val="false"/>
                <w:color w:val="1A1A1A"/>
                <w:sz w:val="21"/>
                <w:szCs w:val="21"/>
              </w:rPr>
              <w:t xml:space="preserve">11. Communication</w:t>
            </w:r>
          </w:hyperlink>
        </w:p>
        <w:p>
          <w:pPr>
            <w:tabs>
              <w:tab w:val="right" w:leader="dot" w:pos="9026"/>
            </w:tabs>
            <w:spacing w:after="40" w:before="120"/>
          </w:pPr>
          <w:hyperlink w:anchor="_Toc_29" w:history="1">
            <w:r>
              <w:rPr>
                <w:rFonts w:ascii="Calibri" w:cs="Calibri" w:eastAsia="Calibri" w:hAnsi="Calibri"/>
                <w:b/>
                <w:bCs/>
                <w:i w:val="false"/>
                <w:iCs w:val="false"/>
                <w:color w:val="1A1A1A"/>
                <w:sz w:val="21"/>
                <w:szCs w:val="21"/>
              </w:rPr>
              <w:t xml:space="preserve">12. The assistant's knowledge</w:t>
            </w:r>
          </w:hyperlink>
        </w:p>
        <w:p>
          <w:pPr>
            <w:tabs>
              <w:tab w:val="right" w:leader="dot" w:pos="9026"/>
            </w:tabs>
            <w:spacing w:after="40" w:before="120"/>
          </w:pPr>
          <w:hyperlink w:anchor="_Toc_30" w:history="1">
            <w:r>
              <w:rPr>
                <w:rFonts w:ascii="Calibri" w:cs="Calibri" w:eastAsia="Calibri" w:hAnsi="Calibri"/>
                <w:b/>
                <w:bCs/>
                <w:i w:val="false"/>
                <w:iCs w:val="false"/>
                <w:color w:val="1A1A1A"/>
                <w:sz w:val="21"/>
                <w:szCs w:val="21"/>
              </w:rPr>
              <w:t xml:space="preserve">13. The regulation engine: system_settings</w:t>
            </w:r>
          </w:hyperlink>
        </w:p>
        <w:p>
          <w:pPr>
            <w:tabs>
              <w:tab w:val="right" w:leader="dot" w:pos="9026"/>
            </w:tabs>
            <w:spacing w:after="40" w:before="120"/>
          </w:pPr>
          <w:hyperlink w:anchor="_Toc_31" w:history="1">
            <w:r>
              <w:rPr>
                <w:rFonts w:ascii="Calibri" w:cs="Calibri" w:eastAsia="Calibri" w:hAnsi="Calibri"/>
                <w:b/>
                <w:bCs/>
                <w:i w:val="false"/>
                <w:iCs w:val="false"/>
                <w:color w:val="1A1A1A"/>
                <w:sz w:val="21"/>
                <w:szCs w:val="21"/>
              </w:rPr>
              <w:t xml:space="preserve">14. The function layer</w:t>
            </w:r>
          </w:hyperlink>
        </w:p>
        <w:p>
          <w:pPr>
            <w:tabs>
              <w:tab w:val="right" w:leader="dot" w:pos="9026"/>
            </w:tabs>
            <w:spacing w:after="40" w:before="0"/>
            <w:ind w:left="360"/>
          </w:pPr>
          <w:hyperlink w:anchor="_Toc_32" w:history="1">
            <w:r>
              <w:rPr>
                <w:rFonts w:ascii="Calibri" w:cs="Calibri" w:eastAsia="Calibri" w:hAnsi="Calibri"/>
                <w:b w:val="false"/>
                <w:bCs w:val="false"/>
                <w:i w:val="false"/>
                <w:iCs w:val="false"/>
                <w:color w:val="5A5A5A"/>
                <w:sz w:val="20"/>
                <w:szCs w:val="20"/>
              </w:rPr>
              <w:t xml:space="preserve">14.1 Every function, by area</w:t>
            </w:r>
          </w:hyperlink>
        </w:p>
        <w:p>
          <w:pPr>
            <w:tabs>
              <w:tab w:val="right" w:leader="dot" w:pos="9026"/>
            </w:tabs>
            <w:spacing w:after="40" w:before="120"/>
          </w:pPr>
          <w:hyperlink w:anchor="_Toc_33" w:history="1">
            <w:r>
              <w:rPr>
                <w:rFonts w:ascii="Calibri" w:cs="Calibri" w:eastAsia="Calibri" w:hAnsi="Calibri"/>
                <w:b/>
                <w:bCs/>
                <w:i w:val="false"/>
                <w:iCs w:val="false"/>
                <w:color w:val="1A1A1A"/>
                <w:sz w:val="21"/>
                <w:szCs w:val="21"/>
              </w:rPr>
              <w:t xml:space="preserve">15. Beyond the tables</w:t>
            </w:r>
          </w:hyperlink>
        </w:p>
        <w:p>
          <w:pPr>
            <w:tabs>
              <w:tab w:val="right" w:leader="dot" w:pos="9026"/>
            </w:tabs>
            <w:spacing w:after="40" w:before="0"/>
            <w:ind w:left="360"/>
          </w:pPr>
          <w:hyperlink w:anchor="_Toc_34" w:history="1">
            <w:r>
              <w:rPr>
                <w:rFonts w:ascii="Calibri" w:cs="Calibri" w:eastAsia="Calibri" w:hAnsi="Calibri"/>
                <w:b w:val="false"/>
                <w:bCs w:val="false"/>
                <w:i w:val="false"/>
                <w:iCs w:val="false"/>
                <w:color w:val="5A5A5A"/>
                <w:sz w:val="20"/>
                <w:szCs w:val="20"/>
              </w:rPr>
              <w:t xml:space="preserve">15.1 File storage</w:t>
            </w:r>
          </w:hyperlink>
        </w:p>
        <w:p>
          <w:pPr>
            <w:tabs>
              <w:tab w:val="right" w:leader="dot" w:pos="9026"/>
            </w:tabs>
            <w:spacing w:after="40" w:before="0"/>
            <w:ind w:left="360"/>
          </w:pPr>
          <w:hyperlink w:anchor="_Toc_35" w:history="1">
            <w:r>
              <w:rPr>
                <w:rFonts w:ascii="Calibri" w:cs="Calibri" w:eastAsia="Calibri" w:hAnsi="Calibri"/>
                <w:b w:val="false"/>
                <w:bCs w:val="false"/>
                <w:i w:val="false"/>
                <w:iCs w:val="false"/>
                <w:color w:val="5A5A5A"/>
                <w:sz w:val="20"/>
                <w:szCs w:val="20"/>
              </w:rPr>
              <w:t xml:space="preserve">15.2 Extensions</w:t>
            </w:r>
          </w:hyperlink>
        </w:p>
        <w:p>
          <w:pPr>
            <w:tabs>
              <w:tab w:val="right" w:leader="dot" w:pos="9026"/>
            </w:tabs>
            <w:spacing w:after="40" w:before="0"/>
            <w:ind w:left="360"/>
          </w:pPr>
          <w:hyperlink w:anchor="_Toc_36" w:history="1">
            <w:r>
              <w:rPr>
                <w:rFonts w:ascii="Calibri" w:cs="Calibri" w:eastAsia="Calibri" w:hAnsi="Calibri"/>
                <w:b w:val="false"/>
                <w:bCs w:val="false"/>
                <w:i w:val="false"/>
                <w:iCs w:val="false"/>
                <w:color w:val="5A5A5A"/>
                <w:sz w:val="20"/>
                <w:szCs w:val="20"/>
              </w:rPr>
              <w:t xml:space="preserve">15.3 The scheduled job</w:t>
            </w:r>
          </w:hyperlink>
        </w:p>
        <w:p>
          <w:pPr>
            <w:tabs>
              <w:tab w:val="right" w:leader="dot" w:pos="9026"/>
            </w:tabs>
            <w:spacing w:after="40" w:before="0"/>
            <w:ind w:left="360"/>
          </w:pPr>
          <w:hyperlink w:anchor="_Toc_37" w:history="1">
            <w:r>
              <w:rPr>
                <w:rFonts w:ascii="Calibri" w:cs="Calibri" w:eastAsia="Calibri" w:hAnsi="Calibri"/>
                <w:b w:val="false"/>
                <w:bCs w:val="false"/>
                <w:i w:val="false"/>
                <w:iCs w:val="false"/>
                <w:color w:val="5A5A5A"/>
                <w:sz w:val="20"/>
                <w:szCs w:val="20"/>
              </w:rPr>
              <w:t xml:space="preserve">15.4 Realtime</w:t>
            </w:r>
          </w:hyperlink>
        </w:p>
        <w:p>
          <w:pPr>
            <w:tabs>
              <w:tab w:val="right" w:leader="dot" w:pos="9026"/>
            </w:tabs>
            <w:spacing w:after="40" w:before="120"/>
          </w:pPr>
          <w:hyperlink w:anchor="_Toc_38" w:history="1">
            <w:r>
              <w:rPr>
                <w:rFonts w:ascii="Calibri" w:cs="Calibri" w:eastAsia="Calibri" w:hAnsi="Calibri"/>
                <w:b/>
                <w:bCs/>
                <w:i w:val="false"/>
                <w:iCs w:val="false"/>
                <w:color w:val="1A1A1A"/>
                <w:sz w:val="21"/>
                <w:szCs w:val="21"/>
              </w:rPr>
              <w:t xml:space="preserve">16. Migrations</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How to think about this database</w:t>
      </w:r>
      <w:bookmarkEnd w:id="1"/>
    </w:p>
    <w:p>
      <w:pPr>
        <w:spacing w:after="150" w:line="276"/>
      </w:pPr>
      <w:r>
        <w:rPr>
          <w:rFonts w:ascii="Calibri" w:cs="Calibri" w:eastAsia="Calibri" w:hAnsi="Calibri"/>
          <w:b w:val="false"/>
          <w:bCs w:val="false"/>
          <w:i w:val="false"/>
          <w:iCs w:val="false"/>
          <w:color w:val="1A1A1A"/>
          <w:sz w:val="21"/>
          <w:szCs w:val="21"/>
        </w:rPr>
        <w:t xml:space="preserve">Do not start by reading all 51 tables. Start with the four ideas that shape them.</w:t>
      </w:r>
    </w:p>
    <w:p>
      <w:pPr>
        <w:spacing w:after="150" w:line="276"/>
      </w:pPr>
      <w:r>
        <w:rPr>
          <w:rFonts w:ascii="Calibri" w:cs="Calibri" w:eastAsia="Calibri" w:hAnsi="Calibri"/>
          <w:b/>
          <w:bCs/>
          <w:i w:val="false"/>
          <w:iCs w:val="false"/>
          <w:color w:val="1A1A1A"/>
          <w:sz w:val="21"/>
          <w:szCs w:val="21"/>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 and attendance and results belong to an offering too.</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THIS MATTERS</w:t>
            </w:r>
          </w:p>
          <w:p>
            <w:pPr>
              <w:spacing w:line="276"/>
            </w:pPr>
            <w:r>
              <w:rPr>
                <w:rFonts w:ascii="Calibri" w:cs="Calibri" w:eastAsia="Calibri" w:hAnsi="Calibri"/>
                <w:b w:val="false"/>
                <w:bCs w:val="false"/>
                <w:i w:val="false"/>
                <w:iCs w:val="false"/>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Their sign-in account lives in Supabase's own </w:t>
      </w:r>
      <w:r>
        <w:rPr>
          <w:rFonts w:ascii="Consolas" w:cs="Consolas" w:eastAsia="Consolas" w:hAnsi="Consolas"/>
          <w:b w:val="false"/>
          <w:bCs w:val="false"/>
          <w:i w:val="false"/>
          <w:iCs w:val="false"/>
          <w:color w:val="8B1E2D"/>
          <w:sz w:val="19"/>
          <w:szCs w:val="19"/>
        </w:rPr>
        <w:t xml:space="preserve">auth.users</w:t>
      </w:r>
      <w:r>
        <w:rPr>
          <w:rFonts w:ascii="Calibri" w:cs="Calibri" w:eastAsia="Calibri" w:hAnsi="Calibri"/>
          <w:b w:val="false"/>
          <w:bCs w:val="false"/>
          <w:i w:val="false"/>
          <w:iCs w:val="false"/>
          <w:color w:val="1A1A1A"/>
          <w:sz w:val="21"/>
          <w:szCs w:val="21"/>
        </w:rPr>
        <w:t xml:space="preserve">, and the row in one of the three tables is what gives that account an academic meaning. Guide 3 explains why, and the fixed order in which they are searched.</w:t>
      </w:r>
    </w:p>
    <w:p>
      <w:pPr>
        <w:spacing w:after="150" w:line="276"/>
      </w:pPr>
      <w:r>
        <w:rPr>
          <w:rFonts w:ascii="Calibri" w:cs="Calibri" w:eastAsia="Calibri" w:hAnsi="Calibri"/>
          <w:b/>
          <w:bCs/>
          <w:i w:val="false"/>
          <w:iCs w:val="false"/>
          <w:color w:val="1A1A1A"/>
          <w:sz w:val="21"/>
          <w:szCs w:val="21"/>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When an account is switched off, it is deactivated, not removed. History is kept because results, feedback and attendance all point back at it. The one deliberate exception is removing a whole batch that has left the faculty (section 2.6), and even that offers an export first.</w:t>
      </w:r>
    </w:p>
    <w:p>
      <w:pPr>
        <w:spacing w:after="150" w:line="276"/>
      </w:pPr>
      <w:r>
        <w:rPr>
          <w:rFonts w:ascii="Calibri" w:cs="Calibri" w:eastAsia="Calibri" w:hAnsi="Calibri"/>
          <w:b/>
          <w:bCs/>
          <w:i w:val="false"/>
          <w:iCs w:val="false"/>
          <w:color w:val="1A1A1A"/>
          <w:sz w:val="21"/>
          <w:szCs w:val="21"/>
        </w:rPr>
        <w:t xml:space="preserve">Idea 4 — The database decides, and the database derives</w:t>
      </w:r>
    </w:p>
    <w:p>
      <w:pPr>
        <w:spacing w:after="150" w:line="276"/>
      </w:pPr>
      <w:r>
        <w:rPr>
          <w:rFonts w:ascii="Calibri" w:cs="Calibri" w:eastAsia="Calibri" w:hAnsi="Calibri"/>
          <w:b w:val="false"/>
          <w:bCs w:val="false"/>
          <w:i w:val="false"/>
          <w:iCs w:val="false"/>
          <w:color w:val="1A1A1A"/>
          <w:sz w:val="21"/>
          <w:szCs w:val="21"/>
        </w:rPr>
        <w:t xml:space="preserve">A grade point is never typed: a trigger derives it from the grade. A notification is never written by a page: a trigger writes it. A student's current semester is never stored: a function works it out from their batch. Wherever a value can be derived from another, it is, so the two can never disagree.</w:t>
      </w:r>
    </w:p>
    <w:p>
      <w:r>
        <w:br w:type="page"/>
      </w:r>
    </w:p>
    <w:p>
      <w:pPr>
        <w:pStyle w:val="Heading1"/>
        <w:keepNext/>
        <w:spacing w:after="170" w:before="380"/>
      </w:pPr>
      <w:bookmarkStart w:id="2" w:name="_Toc_2"/>
      <w:r>
        <w:rPr>
          <w:rFonts w:ascii="Calibri" w:cs="Calibri" w:eastAsia="Calibri" w:hAnsi="Calibri"/>
          <w:b/>
          <w:bCs/>
          <w:i w:val="false"/>
          <w:iCs w:val="false"/>
          <w:color w:val="8B1E2D"/>
          <w:sz w:val="32"/>
          <w:szCs w:val="32"/>
        </w:rPr>
        <w:t xml:space="preserve">2. People and accounts</w:t>
      </w:r>
      <w:bookmarkEnd w:id="2"/>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2.1 students</w:t>
      </w:r>
      <w:bookmarkEnd w:id="3"/>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Same value as the Supabase Auth user id. This is what makes the whole security model work.</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reg_number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Registration number, stored as bare digits (</w:t>
            </w:r>
            <w:r>
              <w:rPr>
                <w:rFonts w:ascii="Consolas" w:cs="Consolas" w:eastAsia="Consolas" w:hAnsi="Consolas"/>
                <w:b w:val="false"/>
                <w:bCs w:val="false"/>
                <w:i w:val="false"/>
                <w:iCs w:val="false"/>
                <w:color w:val="8B1E2D"/>
                <w:sz w:val="17"/>
                <w:szCs w:val="17"/>
              </w:rPr>
              <w:t xml:space="preserve">108953</w:t>
            </w:r>
            <w:r>
              <w:rPr>
                <w:rFonts w:ascii="Calibri" w:cs="Calibri" w:eastAsia="Calibri" w:hAnsi="Calibri"/>
                <w:b w:val="false"/>
                <w:bCs w:val="false"/>
                <w:i w:val="false"/>
                <w:iCs w:val="false"/>
                <w:color w:val="1A1A1A"/>
                <w:sz w:val="19"/>
                <w:szCs w:val="19"/>
              </w:rPr>
              <w:t xml:space="preserve">); the app prints it as EN108953.</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index_number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Index number, e.g. 22/ENG/079.</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email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Personal details.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of the four degree departments, or empty for a first-year intake that has not been divided yet.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batch_year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year the student started. Their semester is calculated from this.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role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Always the text 'student'. Enforced by a check constraint.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withdrawn, transferred or graduated.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Profile picture, stored in the avatars bucket.</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Notice there is no 'semester' column. A student's current semester is worked out from batch_year by </w:t>
      </w:r>
      <w:r>
        <w:rPr>
          <w:rFonts w:ascii="Consolas" w:cs="Consolas" w:eastAsia="Consolas" w:hAnsi="Consolas"/>
          <w:b w:val="false"/>
          <w:bCs w:val="false"/>
          <w:i w:val="false"/>
          <w:iCs w:val="false"/>
          <w:color w:val="8B1E2D"/>
          <w:sz w:val="18"/>
          <w:szCs w:val="18"/>
        </w:rPr>
        <w:t xml:space="preserve">current_semester_for_batch()</w:t>
      </w:r>
      <w:r>
        <w:rPr>
          <w:rFonts w:ascii="Calibri" w:cs="Calibri" w:eastAsia="Calibri" w:hAnsi="Calibri"/>
          <w:b w:val="false"/>
          <w:bCs w:val="false"/>
          <w:i/>
          <w:iCs/>
          <w:color w:val="5A5A5A"/>
          <w:sz w:val="20"/>
          <w:szCs w:val="20"/>
        </w:rPr>
        <w:t xml:space="preserve">. Storing it would mean updating 167 rows every semester and getting it wrong once.</w:t>
      </w:r>
    </w:p>
    <w:p>
      <w:pPr>
        <w:pStyle w:val="Heading2"/>
        <w:keepNext/>
        <w:spacing w:after="120" w:before="300"/>
      </w:pPr>
      <w:bookmarkStart w:id="4" w:name="_Toc_4"/>
      <w:r>
        <w:rPr>
          <w:rFonts w:ascii="Calibri" w:cs="Calibri" w:eastAsia="Calibri" w:hAnsi="Calibri"/>
          <w:b/>
          <w:bCs/>
          <w:i w:val="false"/>
          <w:iCs w:val="false"/>
          <w:color w:val="1A1A1A"/>
          <w:sz w:val="26"/>
          <w:szCs w:val="26"/>
        </w:rPr>
        <w:t xml:space="preserve">2.2 lecturers</w:t>
      </w:r>
      <w:bookmarkEnd w:id="4"/>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lecturer's own id, used everywhere teaching is recorded.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auth_user_id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Supabase Auth id. Separate from id, and nullable — a lecturer can exist in the records before they ever get a login.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title, email, staff_no</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Personal and staff details. A lecturer may change their own title and name, nothing else.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home department.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or inactive.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profile photo.</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SECURITY NOTE ABOUT THIS TABLE</w:t>
            </w:r>
          </w:p>
          <w:p>
            <w:pPr>
              <w:spacing w:line="276"/>
            </w:pPr>
            <w:r>
              <w:rPr>
                <w:rFonts w:ascii="Calibri" w:cs="Calibri" w:eastAsia="Calibri" w:hAnsi="Calibri"/>
                <w:b w:val="false"/>
                <w:bCs w:val="false"/>
                <w:i w:val="false"/>
                <w:iCs w:val="false"/>
                <w:color w:val="1A1A1A"/>
                <w:sz w:val="20"/>
                <w:szCs w:val="20"/>
              </w:rPr>
              <w:t xml:space="preserve">Until 9 September 2026 every signed-in user could read all 41 rows including auth_user_id. That is now restricted to the person's own row; everyone else reads lecturers through functions that return only what the screen needs. Guide 4 explains what went wrong and how it was fixed.</w:t>
            </w:r>
          </w:p>
        </w:tc>
      </w:tr>
    </w:tbl>
    <w:p>
      <w:pPr>
        <w:spacing w:after="0" w:line="120" w:lineRule="exact"/>
      </w:pPr>
    </w:p>
    <w:p>
      <w:pPr>
        <w:pStyle w:val="Heading2"/>
        <w:keepNext/>
        <w:spacing w:after="120" w:before="300"/>
      </w:pPr>
      <w:bookmarkStart w:id="5" w:name="_Toc_5"/>
      <w:r>
        <w:rPr>
          <w:rFonts w:ascii="Calibri" w:cs="Calibri" w:eastAsia="Calibri" w:hAnsi="Calibri"/>
          <w:b/>
          <w:bCs/>
          <w:i w:val="false"/>
          <w:iCs w:val="false"/>
          <w:color w:val="1A1A1A"/>
          <w:sz w:val="26"/>
          <w:szCs w:val="26"/>
        </w:rPr>
        <w:t xml:space="preserve">2.3 admins</w:t>
      </w:r>
      <w:bookmarkEnd w:id="5"/>
    </w:p>
    <w:p>
      <w:pPr>
        <w:spacing w:after="150" w:line="276"/>
      </w:pPr>
      <w:r>
        <w:rPr>
          <w:rFonts w:ascii="Calibri" w:cs="Calibri" w:eastAsia="Calibri" w:hAnsi="Calibri"/>
          <w:b w:val="false"/>
          <w:bCs w:val="false"/>
          <w:i w:val="false"/>
          <w:iCs w:val="false"/>
          <w:color w:val="1A1A1A"/>
          <w:sz w:val="21"/>
          <w:szCs w:val="21"/>
        </w:rPr>
        <w:t xml:space="preserve">7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Supabase Auth id.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role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Either dept_admin or super_admin. Enforced by a check constraint.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they administer. Empty for the super admin.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or inactive.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email, 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name they are shown by and their photo, which they can change themselves (</w:t>
            </w:r>
            <w:r>
              <w:rPr>
                <w:rFonts w:ascii="Consolas" w:cs="Consolas" w:eastAsia="Consolas" w:hAnsi="Consolas"/>
                <w:b w:val="false"/>
                <w:bCs w:val="false"/>
                <w:i w:val="false"/>
                <w:iCs w:val="false"/>
                <w:color w:val="8B1E2D"/>
                <w:sz w:val="17"/>
                <w:szCs w:val="17"/>
              </w:rPr>
              <w:t xml:space="preserve">update_my_admin_profile</w:t>
            </w:r>
            <w:r>
              <w:rPr>
                <w:rFonts w:ascii="Calibri" w:cs="Calibri" w:eastAsia="Calibri" w:hAnsi="Calibri"/>
                <w:b w:val="false"/>
                <w:bCs w:val="false"/>
                <w:i w:val="false"/>
                <w:iCs w:val="false"/>
                <w:color w:val="1A1A1A"/>
                <w:sz w:val="19"/>
                <w:szCs w:val="19"/>
              </w:rPr>
              <w:t xml:space="preserve">).</w:t>
            </w:r>
          </w:p>
        </w:tc>
      </w:tr>
    </w:tbl>
    <w:p>
      <w:pPr>
        <w:spacing w:after="0" w:line="120" w:lineRule="exact"/>
      </w:pP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2.4 hod_appointments</w:t>
      </w:r>
      <w:bookmarkEnd w:id="6"/>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w:t>
      </w:r>
      <w:r>
        <w:rPr>
          <w:rFonts w:ascii="Consolas" w:cs="Consolas" w:eastAsia="Consolas" w:hAnsi="Consolas"/>
          <w:b w:val="false"/>
          <w:bCs w:val="false"/>
          <w:i w:val="false"/>
          <w:iCs w:val="false"/>
          <w:color w:val="8B1E2D"/>
          <w:sz w:val="19"/>
          <w:szCs w:val="19"/>
        </w:rPr>
        <w:t xml:space="preserve">set_department_hod</w:t>
      </w:r>
      <w:r>
        <w:rPr>
          <w:rFonts w:ascii="Calibri" w:cs="Calibri" w:eastAsia="Calibri" w:hAnsi="Calibri"/>
          <w:b w:val="false"/>
          <w:bCs w:val="false"/>
          <w:i w:val="false"/>
          <w:iCs w:val="false"/>
          <w:color w:val="1A1A1A"/>
          <w:sz w:val="21"/>
          <w:szCs w:val="21"/>
        </w:rPr>
        <w:t xml:space="preserve">) so the two can never both be active, and a trigger refuses an appointment to a department the lecturer does not belong to.</w:t>
      </w:r>
    </w:p>
    <w:p>
      <w:pPr>
        <w:pStyle w:val="Heading2"/>
        <w:keepNext/>
        <w:spacing w:after="120" w:before="300"/>
      </w:pPr>
      <w:bookmarkStart w:id="7" w:name="_Toc_7"/>
      <w:r>
        <w:rPr>
          <w:rFonts w:ascii="Calibri" w:cs="Calibri" w:eastAsia="Calibri" w:hAnsi="Calibri"/>
          <w:b/>
          <w:bCs/>
          <w:i w:val="false"/>
          <w:iCs w:val="false"/>
          <w:color w:val="1A1A1A"/>
          <w:sz w:val="26"/>
          <w:szCs w:val="26"/>
        </w:rPr>
        <w:t xml:space="preserve">2.5 The account tables</w:t>
      </w:r>
      <w:bookmarkEnd w:id="7"/>
    </w:p>
    <w:p>
      <w:pPr>
        <w:spacing w:after="150" w:line="276"/>
      </w:pPr>
      <w:r>
        <w:rPr>
          <w:rFonts w:ascii="Calibri" w:cs="Calibri" w:eastAsia="Calibri" w:hAnsi="Calibri"/>
          <w:b w:val="false"/>
          <w:bCs w:val="false"/>
          <w:i w:val="false"/>
          <w:iCs w:val="false"/>
          <w:color w:val="1A1A1A"/>
          <w:sz w:val="21"/>
          <w:szCs w:val="21"/>
        </w:rPr>
        <w:t xml:space="preserve">Added on 2 October 2026 for invitations, password resets and deactivation. Nobody can read them through the API — not even the super admin. Only the </w:t>
      </w:r>
      <w:r>
        <w:rPr>
          <w:rFonts w:ascii="Consolas" w:cs="Consolas" w:eastAsia="Consolas" w:hAnsi="Consolas"/>
          <w:b w:val="false"/>
          <w:bCs w:val="false"/>
          <w:i w:val="false"/>
          <w:iCs w:val="false"/>
          <w:color w:val="8B1E2D"/>
          <w:sz w:val="19"/>
          <w:szCs w:val="19"/>
        </w:rPr>
        <w:t xml:space="preserve">account</w:t>
      </w:r>
      <w:r>
        <w:rPr>
          <w:rFonts w:ascii="Calibri" w:cs="Calibri" w:eastAsia="Calibri" w:hAnsi="Calibri"/>
          <w:b w:val="false"/>
          <w:bCs w:val="false"/>
          <w:i w:val="false"/>
          <w:iCs w:val="false"/>
          <w:color w:val="1A1A1A"/>
          <w:sz w:val="21"/>
          <w:szCs w:val="21"/>
        </w:rPr>
        <w:t xml:space="preserve"> Edge Function, which runs with the service role, touches them.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527"/>
        <w:gridCol w:w="6499"/>
      </w:tblGrid>
      <w:tr>
        <w:trPr>
          <w:tblHeader/>
          <w:cantSplit/>
        </w:trPr>
        <w:tc>
          <w:tcPr>
            <w:tcW w:type="dxa" w:w="25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649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account_tokens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emailed link: whose account, what for (</w:t>
            </w:r>
            <w:r>
              <w:rPr>
                <w:rFonts w:ascii="Consolas" w:cs="Consolas" w:eastAsia="Consolas" w:hAnsi="Consolas"/>
                <w:b w:val="false"/>
                <w:bCs w:val="false"/>
                <w:i w:val="false"/>
                <w:iCs w:val="false"/>
                <w:color w:val="8B1E2D"/>
                <w:sz w:val="17"/>
                <w:szCs w:val="17"/>
              </w:rPr>
              <w:t xml:space="preserve">invite</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8B1E2D"/>
                <w:sz w:val="17"/>
                <w:szCs w:val="17"/>
              </w:rPr>
              <w:t xml:space="preserve">reset</w:t>
            </w:r>
            <w:r>
              <w:rPr>
                <w:rFonts w:ascii="Calibri" w:cs="Calibri" w:eastAsia="Calibri" w:hAnsi="Calibri"/>
                <w:b w:val="false"/>
                <w:bCs w:val="false"/>
                <w:i w:val="false"/>
                <w:iCs w:val="false"/>
                <w:color w:val="1A1A1A"/>
                <w:sz w:val="19"/>
                <w:szCs w:val="19"/>
              </w:rPr>
              <w:t xml:space="preserve">), a SHA-256 hash of the token (never the token itself), who issued it, when it expires and when it was used. 72 hours for an invitation, 60 minutes for a reset.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account_deactivations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account that is switched off: when, by whom and why. Deleting the row reactivates it.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account_request_log</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 reset request, with what was asked for, so requests can be rate limited per account and per address.</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Storing only a hash means a copy of the table cannot be used to sign in as anyone: the token in the email is the only place the secret exists.</w:t>
      </w:r>
    </w:p>
    <w:p>
      <w:pPr>
        <w:pStyle w:val="Heading2"/>
        <w:keepNext/>
        <w:spacing w:after="120" w:before="300"/>
      </w:pPr>
      <w:bookmarkStart w:id="8" w:name="_Toc_8"/>
      <w:r>
        <w:rPr>
          <w:rFonts w:ascii="Calibri" w:cs="Calibri" w:eastAsia="Calibri" w:hAnsi="Calibri"/>
          <w:b/>
          <w:bCs/>
          <w:i w:val="false"/>
          <w:iCs w:val="false"/>
          <w:color w:val="1A1A1A"/>
          <w:sz w:val="26"/>
          <w:szCs w:val="26"/>
        </w:rPr>
        <w:t xml:space="preserve">2.6 Batches</w:t>
      </w:r>
      <w:bookmarkEnd w:id="8"/>
    </w:p>
    <w:p>
      <w:pPr>
        <w:spacing w:after="150" w:line="276"/>
      </w:pPr>
      <w:r>
        <w:rPr>
          <w:rFonts w:ascii="Calibri" w:cs="Calibri" w:eastAsia="Calibri" w:hAnsi="Calibri"/>
          <w:b w:val="false"/>
          <w:bCs w:val="false"/>
          <w:i w:val="false"/>
          <w:iCs w:val="false"/>
          <w:color w:val="1A1A1A"/>
          <w:sz w:val="21"/>
          <w:szCs w:val="21"/>
        </w:rPr>
        <w:t xml:space="preserve">A batch is not a table of its own. It is every student who shares a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The super admin's tools work on that set as a whole:</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get_batches()</w:t>
      </w:r>
      <w:r>
        <w:rPr>
          <w:rFonts w:ascii="Calibri" w:cs="Calibri" w:eastAsia="Calibri" w:hAnsi="Calibri"/>
          <w:b w:val="false"/>
          <w:bCs w:val="false"/>
          <w:i w:val="false"/>
          <w:iCs w:val="false"/>
          <w:color w:val="1A1A1A"/>
          <w:sz w:val="21"/>
          <w:szCs w:val="21"/>
        </w:rPr>
        <w:t xml:space="preserve"> lists every batch with its size, its semester and how its students divide between departments.</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assign_batch_departments()</w:t>
      </w:r>
      <w:r>
        <w:rPr>
          <w:rFonts w:ascii="Calibri" w:cs="Calibri" w:eastAsia="Calibri" w:hAnsi="Calibri"/>
          <w:b w:val="false"/>
          <w:bCs w:val="false"/>
          <w:i w:val="false"/>
          <w:iCs w:val="false"/>
          <w:color w:val="1A1A1A"/>
          <w:sz w:val="21"/>
          <w:szCs w:val="21"/>
        </w:rPr>
        <w:t xml:space="preserve"> records the faculty's division of a first-year intake, one registration number and department per row.</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get_batch_footprint()</w:t>
      </w:r>
      <w:r>
        <w:rPr>
          <w:rFonts w:ascii="Calibri" w:cs="Calibri" w:eastAsia="Calibri" w:hAnsi="Calibri"/>
          <w:b w:val="false"/>
          <w:bCs w:val="false"/>
          <w:i w:val="false"/>
          <w:iCs w:val="false"/>
          <w:color w:val="1A1A1A"/>
          <w:sz w:val="21"/>
          <w:szCs w:val="21"/>
        </w:rPr>
        <w:t xml:space="preserve"> counts what removing a batch would delete, so the screen can say it before anyone confirms.</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export_batch_records()</w:t>
      </w:r>
      <w:r>
        <w:rPr>
          <w:rFonts w:ascii="Calibri" w:cs="Calibri" w:eastAsia="Calibri" w:hAnsi="Calibri"/>
          <w:b w:val="false"/>
          <w:bCs w:val="false"/>
          <w:i w:val="false"/>
          <w:iCs w:val="false"/>
          <w:color w:val="1A1A1A"/>
          <w:sz w:val="21"/>
          <w:szCs w:val="21"/>
        </w:rPr>
        <w:t xml:space="preserve"> returns the batch's students, results, enrolments and attendance to keep as a spreadsheet first.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manage-batches</w:t>
      </w:r>
      <w:r>
        <w:rPr>
          <w:rFonts w:ascii="Calibri" w:cs="Calibri" w:eastAsia="Calibri" w:hAnsi="Calibri"/>
          <w:b w:val="false"/>
          <w:bCs w:val="false"/>
          <w:i w:val="false"/>
          <w:iCs w:val="false"/>
          <w:color w:val="1A1A1A"/>
          <w:sz w:val="21"/>
          <w:szCs w:val="21"/>
        </w:rPr>
        <w:t xml:space="preserve"> Edge Function creates the sign-in accounts for an intake and deletes them for a batch that has left. Course feedback survives the removal anonymously, because </w:t>
      </w:r>
      <w:r>
        <w:rPr>
          <w:rFonts w:ascii="Consolas" w:cs="Consolas" w:eastAsia="Consolas" w:hAnsi="Consolas"/>
          <w:b w:val="false"/>
          <w:bCs w:val="false"/>
          <w:i w:val="false"/>
          <w:iCs w:val="false"/>
          <w:color w:val="8B1E2D"/>
          <w:sz w:val="19"/>
          <w:szCs w:val="19"/>
        </w:rPr>
        <w:t xml:space="preserve">feedback_submissions.student_id</w:t>
      </w:r>
      <w:r>
        <w:rPr>
          <w:rFonts w:ascii="Calibri" w:cs="Calibri" w:eastAsia="Calibri" w:hAnsi="Calibri"/>
          <w:b w:val="false"/>
          <w:bCs w:val="false"/>
          <w:i w:val="false"/>
          <w:iCs w:val="false"/>
          <w:color w:val="1A1A1A"/>
          <w:sz w:val="21"/>
          <w:szCs w:val="21"/>
        </w:rPr>
        <w:t xml:space="preserve"> now lets go to empty rather than refusing.</w:t>
      </w:r>
    </w:p>
    <w:p>
      <w:pPr>
        <w:spacing w:after="150" w:line="276"/>
      </w:pPr>
      <w:r>
        <w:rPr>
          <w:rFonts w:ascii="Consolas" w:cs="Consolas" w:eastAsia="Consolas" w:hAnsi="Consolas"/>
          <w:b w:val="false"/>
          <w:bCs w:val="false"/>
          <w:i w:val="false"/>
          <w:iCs w:val="false"/>
          <w:color w:val="8B1E2D"/>
          <w:sz w:val="19"/>
          <w:szCs w:val="19"/>
        </w:rPr>
        <w:t xml:space="preserve">student_batch_changes</w:t>
      </w:r>
      <w:r>
        <w:rPr>
          <w:rFonts w:ascii="Calibri" w:cs="Calibri" w:eastAsia="Calibri" w:hAnsi="Calibri"/>
          <w:b w:val="false"/>
          <w:bCs w:val="false"/>
          <w:i w:val="false"/>
          <w:iCs w:val="false"/>
          <w:color w:val="1A1A1A"/>
          <w:sz w:val="21"/>
          <w:szCs w:val="21"/>
        </w:rPr>
        <w:t xml:space="preserve"> (0 rows) is the audit trail for a single student moving batch, written only through </w:t>
      </w:r>
      <w:r>
        <w:rPr>
          <w:rFonts w:ascii="Consolas" w:cs="Consolas" w:eastAsia="Consolas" w:hAnsi="Consolas"/>
          <w:b w:val="false"/>
          <w:bCs w:val="false"/>
          <w:i w:val="false"/>
          <w:iCs w:val="false"/>
          <w:color w:val="8B1E2D"/>
          <w:sz w:val="19"/>
          <w:szCs w:val="19"/>
        </w:rPr>
        <w:t xml:space="preserve">change_student_batch()</w:t>
      </w:r>
      <w:r>
        <w:rPr>
          <w:rFonts w:ascii="Calibri" w:cs="Calibri" w:eastAsia="Calibri" w:hAnsi="Calibri"/>
          <w:b w:val="false"/>
          <w:bCs w:val="false"/>
          <w:i w:val="false"/>
          <w:iCs w:val="false"/>
          <w:color w:val="1A1A1A"/>
          <w:sz w:val="21"/>
          <w:szCs w:val="21"/>
        </w:rPr>
        <w:t xml:space="preserve">; a trigger refuses any other route.</w:t>
      </w:r>
    </w:p>
    <w:p>
      <w:r>
        <w:br w:type="page"/>
      </w:r>
    </w:p>
    <w:p>
      <w:pPr>
        <w:pStyle w:val="Heading1"/>
        <w:keepNext/>
        <w:spacing w:after="170" w:before="380"/>
      </w:pPr>
      <w:bookmarkStart w:id="9" w:name="_Toc_9"/>
      <w:r>
        <w:rPr>
          <w:rFonts w:ascii="Calibri" w:cs="Calibri" w:eastAsia="Calibri" w:hAnsi="Calibri"/>
          <w:b/>
          <w:bCs/>
          <w:i w:val="false"/>
          <w:iCs w:val="false"/>
          <w:color w:val="8B1E2D"/>
          <w:sz w:val="32"/>
          <w:szCs w:val="32"/>
        </w:rPr>
        <w:t xml:space="preserve">3. Courses and teaching</w:t>
      </w:r>
      <w:bookmarkEnd w:id="9"/>
    </w:p>
    <w:p>
      <w:pPr>
        <w:pStyle w:val="Heading2"/>
        <w:keepNext/>
        <w:spacing w:after="120" w:before="300"/>
      </w:pPr>
      <w:bookmarkStart w:id="10" w:name="_Toc_10"/>
      <w:r>
        <w:rPr>
          <w:rFonts w:ascii="Calibri" w:cs="Calibri" w:eastAsia="Calibri" w:hAnsi="Calibri"/>
          <w:b/>
          <w:bCs/>
          <w:i w:val="false"/>
          <w:iCs w:val="false"/>
          <w:color w:val="1A1A1A"/>
          <w:sz w:val="26"/>
          <w:szCs w:val="26"/>
        </w:rPr>
        <w:t xml:space="preserve">3.1 courses</w:t>
      </w:r>
      <w:bookmarkEnd w:id="10"/>
    </w:p>
    <w:p>
      <w:pPr>
        <w:spacing w:after="150" w:line="276"/>
      </w:pPr>
      <w:r>
        <w:rPr>
          <w:rFonts w:ascii="Calibri" w:cs="Calibri" w:eastAsia="Calibri" w:hAnsi="Calibri"/>
          <w:b w:val="false"/>
          <w:bCs w:val="false"/>
          <w:i w:val="false"/>
          <w:iCs w:val="false"/>
          <w:color w:val="1A1A1A"/>
          <w:sz w:val="21"/>
          <w:szCs w:val="21"/>
        </w:rPr>
        <w:t xml:space="preserve">232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6680"/>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68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course_code, title</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For example CO2206, Software Engineering.</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credits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Credit value of this course (or of this part of a course).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semester, year</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Where it sits in the degree.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owns it.</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category</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Compulsory, Elective, or similar.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minor_category</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minor stream it counts toward, if any (the study plan in section 3.5 is now the authority).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contributes_to_gpa</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False for modules that are recorded but not counted.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ca_weight, ese_weight</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the overall mark is split. Usually 0.30 and 0.70.</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graded_with</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Set on the first part of a course taught over two semesters: the later part that carries the one grade.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result_credits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weight a published result carries in every GPA: the course's own credits, plus those of any earlier part graded with it, and 0 for the earlier part itself. Kept up to date by triggers, never typed.</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COURSE TAUGHT OVER TWO SEMESTERS (28 OCTOBER 2026)</w:t>
            </w:r>
          </w:p>
          <w:p>
            <w:pPr>
              <w:spacing w:line="276"/>
            </w:pPr>
            <w:r>
              <w:rPr>
                <w:rFonts w:ascii="Calibri" w:cs="Calibri" w:eastAsia="Calibri" w:hAnsi="Calibri"/>
                <w:b w:val="false"/>
                <w:bCs w:val="false"/>
                <w:i w:val="false"/>
                <w:iCs w:val="false"/>
                <w:color w:val="1A1A1A"/>
                <w:sz w:val="20"/>
                <w:szCs w:val="20"/>
              </w:rPr>
              <w:t xml:space="preserve">Some courses are delivered in two parts under one code and graded once at the end. Computer Engineering's minor projects are 3 credits in Semester 6 and 2 in Semester 7 with one grade in Semester 7; the Engineering Project, CO4002, is 4 credits in Semester 7 and 6 in Semester 8 with one grade in Semester 8. The catalogue keeps both parts, because that is how the Handbook prints the curriculum and how students enrol. </w:t>
            </w:r>
            <w:r>
              <w:rPr>
                <w:rFonts w:ascii="Consolas" w:cs="Consolas" w:eastAsia="Consolas" w:hAnsi="Consolas"/>
                <w:b w:val="false"/>
                <w:bCs w:val="false"/>
                <w:i w:val="false"/>
                <w:iCs w:val="false"/>
                <w:color w:val="8B1E2D"/>
                <w:sz w:val="18"/>
                <w:szCs w:val="18"/>
              </w:rPr>
              <w:t xml:space="preserve">graded_with</w:t>
            </w:r>
            <w:r>
              <w:rPr>
                <w:rFonts w:ascii="Calibri" w:cs="Calibri" w:eastAsia="Calibri" w:hAnsi="Calibri"/>
                <w:b w:val="false"/>
                <w:bCs w:val="false"/>
                <w:i w:val="false"/>
                <w:iCs w:val="false"/>
                <w:color w:val="1A1A1A"/>
                <w:sz w:val="20"/>
                <w:szCs w:val="20"/>
              </w:rPr>
              <w:t xml:space="preserve"> says the first part never has a result of its own; </w:t>
            </w:r>
            <w:r>
              <w:rPr>
                <w:rFonts w:ascii="Consolas" w:cs="Consolas" w:eastAsia="Consolas" w:hAnsi="Consolas"/>
                <w:b w:val="false"/>
                <w:bCs w:val="false"/>
                <w:i w:val="false"/>
                <w:iCs w:val="false"/>
                <w:color w:val="8B1E2D"/>
                <w:sz w:val="18"/>
                <w:szCs w:val="18"/>
              </w:rPr>
              <w:t xml:space="preserve">result_credits</w:t>
            </w:r>
            <w:r>
              <w:rPr>
                <w:rFonts w:ascii="Calibri" w:cs="Calibri" w:eastAsia="Calibri" w:hAnsi="Calibri"/>
                <w:b w:val="false"/>
                <w:bCs w:val="false"/>
                <w:i w:val="false"/>
                <w:iCs w:val="false"/>
                <w:color w:val="1A1A1A"/>
                <w:sz w:val="20"/>
                <w:szCs w:val="20"/>
              </w:rPr>
              <w:t xml:space="preserve"> makes the final grade count for all the credits, once, in the semester it is awarded. For every other course </w:t>
            </w:r>
            <w:r>
              <w:rPr>
                <w:rFonts w:ascii="Consolas" w:cs="Consolas" w:eastAsia="Consolas" w:hAnsi="Consolas"/>
                <w:b w:val="false"/>
                <w:bCs w:val="false"/>
                <w:i w:val="false"/>
                <w:iCs w:val="false"/>
                <w:color w:val="8B1E2D"/>
                <w:sz w:val="18"/>
                <w:szCs w:val="18"/>
              </w:rPr>
              <w:t xml:space="preserve">result_credits</w:t>
            </w:r>
            <w:r>
              <w:rPr>
                <w:rFonts w:ascii="Calibri" w:cs="Calibri" w:eastAsia="Calibri" w:hAnsi="Calibri"/>
                <w:b w:val="false"/>
                <w:bCs w:val="false"/>
                <w:i w:val="false"/>
                <w:iCs w:val="false"/>
                <w:color w:val="1A1A1A"/>
                <w:sz w:val="20"/>
                <w:szCs w:val="20"/>
              </w:rPr>
              <w:t xml:space="preserve"> equals </w:t>
            </w:r>
            <w:r>
              <w:rPr>
                <w:rFonts w:ascii="Consolas" w:cs="Consolas" w:eastAsia="Consolas" w:hAnsi="Consolas"/>
                <w:b w:val="false"/>
                <w:bCs w:val="false"/>
                <w:i w:val="false"/>
                <w:iCs w:val="false"/>
                <w:color w:val="8B1E2D"/>
                <w:sz w:val="18"/>
                <w:szCs w:val="18"/>
              </w:rPr>
              <w:t xml:space="preserve">credits</w:t>
            </w:r>
            <w:r>
              <w:rPr>
                <w:rFonts w:ascii="Calibri" w:cs="Calibri" w:eastAsia="Calibri" w:hAnsi="Calibri"/>
                <w:b w:val="false"/>
                <w:bCs w:val="false"/>
                <w:i w:val="false"/>
                <w:iCs w:val="false"/>
                <w:color w:val="1A1A1A"/>
                <w:sz w:val="20"/>
                <w:szCs w:val="20"/>
              </w:rPr>
              <w:t xml:space="preserve">, so no existing figure changed.</w:t>
            </w:r>
          </w:p>
        </w:tc>
      </w:tr>
    </w:tbl>
    <w:p>
      <w:pPr>
        <w:spacing w:after="0" w:line="120" w:lineRule="exact"/>
      </w:pPr>
    </w:p>
    <w:p>
      <w:pPr>
        <w:pStyle w:val="Heading2"/>
        <w:keepNext/>
        <w:spacing w:after="120" w:before="300"/>
      </w:pPr>
      <w:bookmarkStart w:id="11" w:name="_Toc_11"/>
      <w:r>
        <w:rPr>
          <w:rFonts w:ascii="Calibri" w:cs="Calibri" w:eastAsia="Calibri" w:hAnsi="Calibri"/>
          <w:b/>
          <w:bCs/>
          <w:i w:val="false"/>
          <w:iCs w:val="false"/>
          <w:color w:val="1A1A1A"/>
          <w:sz w:val="26"/>
          <w:szCs w:val="26"/>
        </w:rPr>
        <w:t xml:space="preserve">3.2 course_offerings</w:t>
      </w:r>
      <w:bookmarkEnd w:id="11"/>
    </w:p>
    <w:p>
      <w:pPr>
        <w:spacing w:after="150" w:line="276"/>
      </w:pPr>
      <w:r>
        <w:rPr>
          <w:rFonts w:ascii="Calibri" w:cs="Calibri" w:eastAsia="Calibri" w:hAnsi="Calibri"/>
          <w:b w:val="false"/>
          <w:bCs w:val="false"/>
          <w:i w:val="false"/>
          <w:iCs w:val="false"/>
          <w:color w:val="1A1A1A"/>
          <w:sz w:val="21"/>
          <w:szCs w:val="21"/>
        </w:rPr>
        <w:t xml:space="preserve">131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keepNext/>
        <w:spacing w:after="120" w:before="300"/>
      </w:pPr>
      <w:bookmarkStart w:id="12" w:name="_Toc_12"/>
      <w:r>
        <w:rPr>
          <w:rFonts w:ascii="Calibri" w:cs="Calibri" w:eastAsia="Calibri" w:hAnsi="Calibri"/>
          <w:b/>
          <w:bCs/>
          <w:i w:val="false"/>
          <w:iCs w:val="false"/>
          <w:color w:val="1A1A1A"/>
          <w:sz w:val="26"/>
          <w:szCs w:val="26"/>
        </w:rPr>
        <w:t xml:space="preserve">3.3 course_lecturers</w:t>
      </w:r>
      <w:bookmarkEnd w:id="12"/>
    </w:p>
    <w:p>
      <w:pPr>
        <w:spacing w:after="150" w:line="276"/>
      </w:pPr>
      <w:r>
        <w:rPr>
          <w:rFonts w:ascii="Calibri" w:cs="Calibri" w:eastAsia="Calibri" w:hAnsi="Calibri"/>
          <w:b w:val="false"/>
          <w:bCs w:val="false"/>
          <w:i w:val="false"/>
          <w:iCs w:val="false"/>
          <w:color w:val="1A1A1A"/>
          <w:sz w:val="21"/>
          <w:szCs w:val="21"/>
        </w:rPr>
        <w:t xml:space="preserve">25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 lecturer_id</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link itself.</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assignment_role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 or coordinator. An offering may have only one active coordinator.</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is_active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False once the assignment ends. The row is kept.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assigned_by, assigned_at, ended_by, ended_at</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did what, and when.</w:t>
            </w:r>
          </w:p>
        </w:tc>
      </w:tr>
    </w:tbl>
    <w:p>
      <w:pPr>
        <w:spacing w:after="0" w:line="120" w:lineRule="exact"/>
      </w:pPr>
    </w:p>
    <w:p>
      <w:pPr>
        <w:pStyle w:val="Heading2"/>
        <w:keepNext/>
        <w:spacing w:after="120" w:before="300"/>
      </w:pPr>
      <w:bookmarkStart w:id="13" w:name="_Toc_13"/>
      <w:r>
        <w:rPr>
          <w:rFonts w:ascii="Calibri" w:cs="Calibri" w:eastAsia="Calibri" w:hAnsi="Calibri"/>
          <w:b/>
          <w:bCs/>
          <w:i w:val="false"/>
          <w:iCs w:val="false"/>
          <w:color w:val="1A1A1A"/>
          <w:sz w:val="26"/>
          <w:szCs w:val="26"/>
        </w:rPr>
        <w:t xml:space="preserve">3.4 curriculum_slots</w:t>
      </w:r>
      <w:bookmarkEnd w:id="13"/>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and enrolment compare a student against. </w:t>
      </w:r>
      <w:r>
        <w:rPr>
          <w:rFonts w:ascii="Consolas" w:cs="Consolas" w:eastAsia="Consolas" w:hAnsi="Consolas"/>
          <w:b w:val="false"/>
          <w:bCs w:val="false"/>
          <w:i w:val="false"/>
          <w:iCs w:val="false"/>
          <w:color w:val="8B1E2D"/>
          <w:sz w:val="19"/>
          <w:szCs w:val="19"/>
        </w:rPr>
        <w:t xml:space="preserve">elective_credit_norms</w:t>
      </w:r>
      <w:r>
        <w:rPr>
          <w:rFonts w:ascii="Calibri" w:cs="Calibri" w:eastAsia="Calibri" w:hAnsi="Calibri"/>
          <w:b w:val="false"/>
          <w:bCs w:val="false"/>
          <w:i w:val="false"/>
          <w:iCs w:val="false"/>
          <w:color w:val="1A1A1A"/>
          <w:sz w:val="21"/>
          <w:szCs w:val="21"/>
        </w:rPr>
        <w:t xml:space="preserve"> (8 rows) holds the credits each department expects from its elective baskets.</w:t>
      </w: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3.5 Minors: the study plan</w:t>
      </w:r>
      <w:bookmarkEnd w:id="14"/>
    </w:p>
    <w:p>
      <w:pPr>
        <w:spacing w:after="150" w:line="276"/>
      </w:pPr>
      <w:r>
        <w:rPr>
          <w:rFonts w:ascii="Calibri" w:cs="Calibri" w:eastAsia="Calibri" w:hAnsi="Calibri"/>
          <w:b w:val="false"/>
          <w:bCs w:val="false"/>
          <w:i w:val="false"/>
          <w:iCs w:val="false"/>
          <w:color w:val="1A1A1A"/>
          <w:sz w:val="21"/>
          <w:szCs w:val="21"/>
        </w:rPr>
        <w:t xml:space="preserve">Added on 1 October 2026. The department's "Minors — Study Plan" sets each minor out as a table: for Semesters 5 to 8, a few baskets of courses, each with a minimum number of credits, and in every semester one course (printed in red) the minor cannot do without. Twenty credits claim the minor.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527"/>
        <w:gridCol w:w="6499"/>
      </w:tblGrid>
      <w:tr>
        <w:trPr>
          <w:tblHeader/>
          <w:cantSplit/>
        </w:trPr>
        <w:tc>
          <w:tcPr>
            <w:tcW w:type="dxa" w:w="25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649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minor_requirements (2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Each minor a department offers, and the credits that claim it.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minor_plan_baskets (16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basket of one minor in one semester: its place in the table, the minimum credits, and whether it is the mandatory one.</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minor_plan_courses (25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courses in a basket, with the credits the plan counts for them there.</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student_minor_choices (1 row)</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minor a student has said they are taking, so enrolment can warn before they leave out its mandatory course.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Both plan tables hang off </w:t>
      </w:r>
      <w:r>
        <w:rPr>
          <w:rFonts w:ascii="Consolas" w:cs="Consolas" w:eastAsia="Consolas" w:hAnsi="Consolas"/>
          <w:b w:val="false"/>
          <w:bCs w:val="false"/>
          <w:i w:val="false"/>
          <w:iCs w:val="false"/>
          <w:color w:val="8B1E2D"/>
          <w:sz w:val="19"/>
          <w:szCs w:val="19"/>
        </w:rPr>
        <w:t xml:space="preserve">minor_requirements</w:t>
      </w:r>
      <w:r>
        <w:rPr>
          <w:rFonts w:ascii="Calibri" w:cs="Calibri" w:eastAsia="Calibri" w:hAnsi="Calibri"/>
          <w:b w:val="false"/>
          <w:bCs w:val="false"/>
          <w:i w:val="false"/>
          <w:iCs w:val="false"/>
          <w:color w:val="1A1A1A"/>
          <w:sz w:val="21"/>
          <w:szCs w:val="21"/>
        </w:rPr>
        <w:t xml:space="preserve"> with cascading keys, so renaming or removing a minor (</w:t>
      </w:r>
      <w:r>
        <w:rPr>
          <w:rFonts w:ascii="Consolas" w:cs="Consolas" w:eastAsia="Consolas" w:hAnsi="Consolas"/>
          <w:b w:val="false"/>
          <w:bCs w:val="false"/>
          <w:i w:val="false"/>
          <w:iCs w:val="false"/>
          <w:color w:val="8B1E2D"/>
          <w:sz w:val="19"/>
          <w:szCs w:val="19"/>
        </w:rPr>
        <w:t xml:space="preserve">rename_minor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delete_minor</w:t>
      </w:r>
      <w:r>
        <w:rPr>
          <w:rFonts w:ascii="Calibri" w:cs="Calibri" w:eastAsia="Calibri" w:hAnsi="Calibri"/>
          <w:b w:val="false"/>
          <w:bCs w:val="false"/>
          <w:i w:val="false"/>
          <w:iCs w:val="false"/>
          <w:color w:val="1A1A1A"/>
          <w:sz w:val="21"/>
          <w:szCs w:val="21"/>
        </w:rPr>
        <w:t xml:space="preserve">) carries its plan with it. The head of department edits the plan on the Course Catalogue page.</w:t>
      </w:r>
    </w:p>
    <w:p>
      <w:r>
        <w:br w:type="page"/>
      </w:r>
    </w:p>
    <w:p>
      <w:pPr>
        <w:pStyle w:val="Heading1"/>
        <w:keepNext/>
        <w:spacing w:after="170" w:before="380"/>
      </w:pPr>
      <w:bookmarkStart w:id="15" w:name="_Toc_15"/>
      <w:r>
        <w:rPr>
          <w:rFonts w:ascii="Calibri" w:cs="Calibri" w:eastAsia="Calibri" w:hAnsi="Calibri"/>
          <w:b/>
          <w:bCs/>
          <w:i w:val="false"/>
          <w:iCs w:val="false"/>
          <w:color w:val="8B1E2D"/>
          <w:sz w:val="32"/>
          <w:szCs w:val="32"/>
        </w:rPr>
        <w:t xml:space="preserve">4. Enrolment</w:t>
      </w:r>
      <w:bookmarkEnd w:id="15"/>
    </w:p>
    <w:p>
      <w:pPr>
        <w:pStyle w:val="Heading2"/>
        <w:keepNext/>
        <w:spacing w:after="120" w:before="300"/>
      </w:pPr>
      <w:bookmarkStart w:id="16" w:name="_Toc_16"/>
      <w:r>
        <w:rPr>
          <w:rFonts w:ascii="Calibri" w:cs="Calibri" w:eastAsia="Calibri" w:hAnsi="Calibri"/>
          <w:b/>
          <w:bCs/>
          <w:i w:val="false"/>
          <w:iCs w:val="false"/>
          <w:color w:val="1A1A1A"/>
          <w:sz w:val="26"/>
          <w:szCs w:val="26"/>
        </w:rPr>
        <w:t xml:space="preserve">4.1 enrollment_periods</w:t>
      </w:r>
      <w:bookmarkEnd w:id="16"/>
    </w:p>
    <w:p>
      <w:pPr>
        <w:spacing w:after="150" w:line="276"/>
      </w:pPr>
      <w:r>
        <w:rPr>
          <w:rFonts w:ascii="Calibri" w:cs="Calibri" w:eastAsia="Calibri" w:hAnsi="Calibri"/>
          <w:b w:val="false"/>
          <w:bCs w:val="false"/>
          <w:i w:val="false"/>
          <w:iCs w:val="false"/>
          <w:color w:val="1A1A1A"/>
          <w:sz w:val="21"/>
          <w:szCs w:val="21"/>
        </w:rPr>
        <w:t xml:space="preserve">1 row. An enrolment window: a title, an academic year, a semester, a batch, a department, an opening time, a closing time and optional instructions for students.</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 Only the super admin writes windows; since 29 October 2026 an open window can be extended to a later closing time, and the students it covers are told. </w:t>
      </w:r>
      <w:r>
        <w:rPr>
          <w:rFonts w:ascii="Consolas" w:cs="Consolas" w:eastAsia="Consolas" w:hAnsi="Consolas"/>
          <w:b w:val="false"/>
          <w:bCs w:val="false"/>
          <w:i w:val="false"/>
          <w:iCs w:val="false"/>
          <w:color w:val="8B1E2D"/>
          <w:sz w:val="19"/>
          <w:szCs w:val="19"/>
        </w:rPr>
        <w:t xml:space="preserve">enrollment_period_courses</w:t>
      </w:r>
      <w:r>
        <w:rPr>
          <w:rFonts w:ascii="Calibri" w:cs="Calibri" w:eastAsia="Calibri" w:hAnsi="Calibri"/>
          <w:b w:val="false"/>
          <w:bCs w:val="false"/>
          <w:i w:val="false"/>
          <w:iCs w:val="false"/>
          <w:color w:val="1A1A1A"/>
          <w:sz w:val="21"/>
          <w:szCs w:val="21"/>
        </w:rPr>
        <w:t xml:space="preserve"> (0 rows) narrows a window to particular courses when needed.</w:t>
      </w:r>
    </w:p>
    <w:p>
      <w:pPr>
        <w:pStyle w:val="Heading2"/>
        <w:keepNext/>
        <w:spacing w:after="120" w:before="300"/>
      </w:pPr>
      <w:bookmarkStart w:id="17" w:name="_Toc_17"/>
      <w:r>
        <w:rPr>
          <w:rFonts w:ascii="Calibri" w:cs="Calibri" w:eastAsia="Calibri" w:hAnsi="Calibri"/>
          <w:b/>
          <w:bCs/>
          <w:i w:val="false"/>
          <w:iCs w:val="false"/>
          <w:color w:val="1A1A1A"/>
          <w:sz w:val="26"/>
          <w:szCs w:val="26"/>
        </w:rPr>
        <w:t xml:space="preserve">4.2 enrollments</w:t>
      </w:r>
      <w:bookmarkEnd w:id="17"/>
    </w:p>
    <w:p>
      <w:pPr>
        <w:spacing w:after="150" w:line="276"/>
      </w:pPr>
      <w:r>
        <w:rPr>
          <w:rFonts w:ascii="Calibri" w:cs="Calibri" w:eastAsia="Calibri" w:hAnsi="Calibri"/>
          <w:b w:val="false"/>
          <w:bCs w:val="false"/>
          <w:i w:val="false"/>
          <w:iCs w:val="false"/>
          <w:color w:val="1A1A1A"/>
          <w:sz w:val="21"/>
          <w:szCs w:val="21"/>
        </w:rPr>
        <w:t xml:space="preserve">5,656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6680"/>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68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student_id, course_id</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is taking what.</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academic_year</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year they are taking it in — the year of the semester that offers it, not the course's nominal year (fixed on 1 October 2026).</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enrolled, dropped or completed.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enrollment_kind</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regular, repeat_r, repeat_l or repeat_f. This is the interesting one.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enrolled_with_batch</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batch they are sitting with. A repeating student often sits with the batch below.</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173"/>
        <w:gridCol w:w="1624"/>
        <w:gridCol w:w="4603"/>
        <w:gridCol w:w="1626"/>
      </w:tblGrid>
      <w:tr>
        <w:trPr>
          <w:tblHeader/>
          <w:cantSplit/>
        </w:trPr>
        <w:tc>
          <w:tcPr>
            <w:tcW w:type="dxa" w:w="117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Kind</w:t>
            </w:r>
          </w:p>
        </w:tc>
        <w:tc>
          <w:tcPr>
            <w:tcW w:type="dxa" w:w="1624"/>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Meaning</w:t>
            </w:r>
          </w:p>
        </w:tc>
        <w:tc>
          <w:tcPr>
            <w:tcW w:type="dxa" w:w="460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the student must do</w:t>
            </w:r>
          </w:p>
        </w:tc>
        <w:tc>
          <w:tcPr>
            <w:tcW w:type="dxa" w:w="162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Grade cap</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regular</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Normal first attempt</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Follow the module normally</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None</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repeat_r</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R grade</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Re-sit the end-of-semester exam only. The continuous assessment mark is carried forward.</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repeat_f</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F grade</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Follow the whole module again, continuous assessment included.</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repeat_l</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L grade (approved medical)</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Take the module again</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None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RULE THAT WAS MISSING UNTIL 9 SEPTEMBER</w:t>
            </w:r>
          </w:p>
          <w:p>
            <w:pPr>
              <w:spacing w:line="276"/>
            </w:pPr>
            <w:r>
              <w:rPr>
                <w:rFonts w:ascii="Calibri" w:cs="Calibri" w:eastAsia="Calibri" w:hAnsi="Calibri"/>
                <w:b w:val="false"/>
                <w:bCs w:val="false"/>
                <w:i w:val="false"/>
                <w:iCs w:val="false"/>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pPr>
        <w:spacing w:after="0" w:line="120" w:lineRule="exact"/>
      </w:pPr>
    </w:p>
    <w:p>
      <w:r>
        <w:br w:type="page"/>
      </w:r>
    </w:p>
    <w:p>
      <w:pPr>
        <w:pStyle w:val="Heading1"/>
        <w:keepNext/>
        <w:spacing w:after="170" w:before="380"/>
      </w:pPr>
      <w:bookmarkStart w:id="18" w:name="_Toc_18"/>
      <w:r>
        <w:rPr>
          <w:rFonts w:ascii="Calibri" w:cs="Calibri" w:eastAsia="Calibri" w:hAnsi="Calibri"/>
          <w:b/>
          <w:bCs/>
          <w:i w:val="false"/>
          <w:iCs w:val="false"/>
          <w:color w:val="8B1E2D"/>
          <w:sz w:val="32"/>
          <w:szCs w:val="32"/>
        </w:rPr>
        <w:t xml:space="preserve">5. Attendance</w:t>
      </w:r>
      <w:bookmarkEnd w:id="18"/>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marked by hand. Both end up in the same table.</w:t>
      </w:r>
    </w:p>
    <w:p>
      <w:pPr>
        <w:spacing w:after="150" w:line="276"/>
      </w:pPr>
      <w:r>
        <w:rPr>
          <w:rFonts w:ascii="Calibri" w:cs="Calibri" w:eastAsia="Calibri" w:hAnsi="Calibri"/>
          <w:b w:val="false"/>
          <w:bCs w:val="false"/>
          <w:i w:val="false"/>
          <w:iCs w:val="false"/>
          <w:color w:val="1A1A1A"/>
          <w:sz w:val="21"/>
          <w:szCs w:val="21"/>
        </w:rPr>
        <w:t xml:space="preserve">Attendance belongs to a delivery, not to a course. Every row carries the offering it was taken in, whoever marked it, and every percentage is counted per offering. A student who repeats a course therefore has one register per attempt, and the attempt being sat now is the one that decides eligibility.</w:t>
      </w:r>
    </w:p>
    <w:p>
      <w:pPr>
        <w:pStyle w:val="Heading2"/>
        <w:keepNext/>
        <w:spacing w:after="120" w:before="300"/>
      </w:pPr>
      <w:bookmarkStart w:id="19" w:name="_Toc_19"/>
      <w:r>
        <w:rPr>
          <w:rFonts w:ascii="Calibri" w:cs="Calibri" w:eastAsia="Calibri" w:hAnsi="Calibri"/>
          <w:b/>
          <w:bCs/>
          <w:i w:val="false"/>
          <w:iCs w:val="false"/>
          <w:color w:val="1A1A1A"/>
          <w:sz w:val="26"/>
          <w:szCs w:val="26"/>
        </w:rPr>
        <w:t xml:space="preserve">5.1 attendance</w:t>
      </w:r>
      <w:bookmarkEnd w:id="19"/>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88"/>
        <w:gridCol w:w="6138"/>
      </w:tblGrid>
      <w:tr>
        <w:trPr>
          <w:tblHeader/>
          <w:cantSplit/>
        </w:trPr>
        <w:tc>
          <w:tcPr>
            <w:tcW w:type="dxa" w:w="28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13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student_id, course_id, lecture_date</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Together these are unique. One student cannot have two records for the same lecture.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present, absent or excused.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method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it was recorded.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excused_via_submission_id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Points at the medical submission that excused this absence, if any.</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 recorded_by</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delivery, and who recorded it. A trigger fills the offering when a writer leaves it out.</w:t>
            </w:r>
          </w:p>
        </w:tc>
      </w:tr>
    </w:tbl>
    <w:p>
      <w:pPr>
        <w:spacing w:after="0" w:line="120" w:lineRule="exact"/>
      </w:pP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5.2 The live session tables</w:t>
      </w:r>
      <w:bookmarkEnd w:id="20"/>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49"/>
        <w:gridCol w:w="5777"/>
      </w:tblGrid>
      <w:tr>
        <w:trPr>
          <w:tblHeader/>
          <w:cantSplit/>
        </w:trPr>
        <w:tc>
          <w:tcPr>
            <w:tcW w:type="dxa" w:w="324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attendance_sessions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 open window. Holds a secret, a rotation interval, and optionally a location and radius so check-ins can be limited to the lecture hall.</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attendance_checkins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student's check-in, with device hash and coordinates.</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attendance_presence_checks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surprise 'are you still here?' prompt the lecturer can fire mid-lecture.</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attendance_presence_responses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answered that prompt.</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rotating code is why a student cannot send a screenshot of the QR code to a friend outside the hall. The code changes every few seconds, and it is computed from the session secret (</w:t>
      </w:r>
      <w:r>
        <w:rPr>
          <w:rFonts w:ascii="Consolas" w:cs="Consolas" w:eastAsia="Consolas" w:hAnsi="Consolas"/>
          <w:b w:val="false"/>
          <w:bCs w:val="false"/>
          <w:i w:val="false"/>
          <w:iCs w:val="false"/>
          <w:color w:val="8B1E2D"/>
          <w:sz w:val="18"/>
          <w:szCs w:val="18"/>
        </w:rPr>
        <w:t xml:space="preserve">attendance_window_code</w:t>
      </w:r>
      <w:r>
        <w:rPr>
          <w:rFonts w:ascii="Calibri" w:cs="Calibri" w:eastAsia="Calibri" w:hAnsi="Calibri"/>
          <w:b w:val="false"/>
          <w:bCs w:val="false"/>
          <w:i/>
          <w:iCs/>
          <w:color w:val="5A5A5A"/>
          <w:sz w:val="20"/>
          <w:szCs w:val="20"/>
        </w:rPr>
        <w:t xml:space="preserve">) rather than stored, so reading the table would not help either.</w:t>
      </w:r>
    </w:p>
    <w:p>
      <w:r>
        <w:br w:type="page"/>
      </w:r>
    </w:p>
    <w:p>
      <w:pPr>
        <w:pStyle w:val="Heading1"/>
        <w:keepNext/>
        <w:spacing w:after="170" w:before="380"/>
      </w:pPr>
      <w:bookmarkStart w:id="21" w:name="_Toc_21"/>
      <w:r>
        <w:rPr>
          <w:rFonts w:ascii="Calibri" w:cs="Calibri" w:eastAsia="Calibri" w:hAnsi="Calibri"/>
          <w:b/>
          <w:bCs/>
          <w:i w:val="false"/>
          <w:iCs w:val="false"/>
          <w:color w:val="8B1E2D"/>
          <w:sz w:val="32"/>
          <w:szCs w:val="32"/>
        </w:rPr>
        <w:t xml:space="preserve">6. Results</w:t>
      </w:r>
      <w:bookmarkEnd w:id="21"/>
    </w:p>
    <w:p>
      <w:pPr>
        <w:pStyle w:val="Heading2"/>
        <w:keepNext/>
        <w:spacing w:after="120" w:before="300"/>
      </w:pPr>
      <w:bookmarkStart w:id="22" w:name="_Toc_22"/>
      <w:r>
        <w:rPr>
          <w:rFonts w:ascii="Calibri" w:cs="Calibri" w:eastAsia="Calibri" w:hAnsi="Calibri"/>
          <w:b/>
          <w:bCs/>
          <w:i w:val="false"/>
          <w:iCs w:val="false"/>
          <w:color w:val="1A1A1A"/>
          <w:sz w:val="26"/>
          <w:szCs w:val="26"/>
        </w:rPr>
        <w:t xml:space="preserve">6.1 results</w:t>
      </w:r>
      <w:bookmarkEnd w:id="22"/>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spacing w:after="150" w:line="276"/>
      </w:pPr>
      <w:r>
        <w:rPr>
          <w:rFonts w:ascii="Calibri" w:cs="Calibri" w:eastAsia="Calibri" w:hAnsi="Calibri"/>
          <w:b/>
          <w:bCs/>
          <w:i w:val="false"/>
          <w:iCs w:val="false"/>
          <w:color w:val="1A1A1A"/>
          <w:sz w:val="21"/>
          <w:szCs w:val="21"/>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mid_sem_mark, ca_mark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Continuous assessment marks.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ese_mark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End of semester exam mark. No longer entered since 11 September 2026.</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oa_mark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Overall mark. No longer entered: the grade is awarded by the examiners, not computed from marks.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letter grade the examiners awarded, chosen from the faculty scale.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gpv</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grade point value. Derived from the grade by a trigger on every write, never typed, and a grade off the scale is refused.</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draft, submitted or published.</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delivery the result belongs to.</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entered_by</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lecturer who entered the sheet.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submitted_by, submitted_at</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sent it for approval, and when.</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returned_by, returned_at, return_notes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If the department sent it back, who and why.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is_published, published_at, published_by</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moment the student can finally see it.</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Repeats</w:t>
      </w:r>
    </w:p>
    <w:p>
      <w:pPr>
        <w:spacing w:after="150" w:line="276"/>
      </w:pPr>
      <w:r>
        <w:rPr>
          <w:rFonts w:ascii="Calibri" w:cs="Calibri" w:eastAsia="Calibri" w:hAnsi="Calibri"/>
          <w:b w:val="false"/>
          <w:bCs w:val="false"/>
          <w:i w:val="false"/>
          <w:iCs w:val="false"/>
          <w:color w:val="1A1A1A"/>
          <w:sz w:val="21"/>
          <w:szCs w:val="21"/>
        </w:rPr>
        <w:t xml:space="preserve">A resit of the same delivery updates the row in place and is capped at C. Repeating the course with a later batch is a new delivery and a second row. Both rows stay, but the earlier attempt no longer carries a grade point once a later one exists (the trigger </w:t>
      </w:r>
      <w:r>
        <w:rPr>
          <w:rFonts w:ascii="Consolas" w:cs="Consolas" w:eastAsia="Consolas" w:hAnsi="Consolas"/>
          <w:b w:val="false"/>
          <w:bCs w:val="false"/>
          <w:i w:val="false"/>
          <w:iCs w:val="false"/>
          <w:color w:val="8B1E2D"/>
          <w:sz w:val="19"/>
          <w:szCs w:val="19"/>
        </w:rPr>
        <w:t xml:space="preserve">settle_repeated_attempts</w:t>
      </w:r>
      <w:r>
        <w:rPr>
          <w:rFonts w:ascii="Calibri" w:cs="Calibri" w:eastAsia="Calibri" w:hAnsi="Calibri"/>
          <w:b w:val="false"/>
          <w:bCs w:val="false"/>
          <w:i w:val="false"/>
          <w:iCs w:val="false"/>
          <w:color w:val="1A1A1A"/>
          <w:sz w:val="21"/>
          <w:szCs w:val="21"/>
        </w:rPr>
        <w:t xml:space="preserve">), so the course counts once in every GPA, credit total and risk band. The trigger </w:t>
      </w:r>
      <w:r>
        <w:rPr>
          <w:rFonts w:ascii="Consolas" w:cs="Consolas" w:eastAsia="Consolas" w:hAnsi="Consolas"/>
          <w:b w:val="false"/>
          <w:bCs w:val="false"/>
          <w:i w:val="false"/>
          <w:iCs w:val="false"/>
          <w:color w:val="8B1E2D"/>
          <w:sz w:val="19"/>
          <w:szCs w:val="19"/>
        </w:rPr>
        <w:t xml:space="preserve">results_derive_grade_point</w:t>
      </w:r>
      <w:r>
        <w:rPr>
          <w:rFonts w:ascii="Calibri" w:cs="Calibri" w:eastAsia="Calibri" w:hAnsi="Calibri"/>
          <w:b w:val="false"/>
          <w:bCs w:val="false"/>
          <w:i w:val="false"/>
          <w:iCs w:val="false"/>
          <w:color w:val="1A1A1A"/>
          <w:sz w:val="21"/>
          <w:szCs w:val="21"/>
        </w:rPr>
        <w:t xml:space="preserve"> is the one place that decides a grade point, and </w:t>
      </w:r>
      <w:r>
        <w:rPr>
          <w:rFonts w:ascii="Consolas" w:cs="Consolas" w:eastAsia="Consolas" w:hAnsi="Consolas"/>
          <w:b w:val="false"/>
          <w:bCs w:val="false"/>
          <w:i w:val="false"/>
          <w:iCs w:val="false"/>
          <w:color w:val="8B1E2D"/>
          <w:sz w:val="19"/>
          <w:szCs w:val="19"/>
        </w:rPr>
        <w:t xml:space="preserve">results_refuse_ungraded_part</w:t>
      </w:r>
      <w:r>
        <w:rPr>
          <w:rFonts w:ascii="Calibri" w:cs="Calibri" w:eastAsia="Calibri" w:hAnsi="Calibri"/>
          <w:b w:val="false"/>
          <w:bCs w:val="false"/>
          <w:i w:val="false"/>
          <w:iCs w:val="false"/>
          <w:color w:val="1A1A1A"/>
          <w:sz w:val="21"/>
          <w:szCs w:val="21"/>
        </w:rPr>
        <w:t xml:space="preserve"> refuses a result for the first part of a two-semester course.</w:t>
      </w:r>
    </w:p>
    <w:p>
      <w:pPr>
        <w:spacing w:after="150" w:line="276"/>
      </w:pPr>
      <w:r>
        <w:rPr>
          <w:rFonts w:ascii="Calibri" w:cs="Calibri" w:eastAsia="Calibri" w:hAnsi="Calibri"/>
          <w:b/>
          <w:bCs/>
          <w:i w:val="false"/>
          <w:iCs w:val="false"/>
          <w:color w:val="1A1A1A"/>
          <w:sz w:val="21"/>
          <w:szCs w:val="21"/>
        </w:rPr>
        <w:t xml:space="preserve">Corrections</w:t>
      </w:r>
    </w:p>
    <w:p>
      <w:pPr>
        <w:spacing w:after="150" w:line="276"/>
      </w:pPr>
      <w:r>
        <w:rPr>
          <w:rFonts w:ascii="Calibri" w:cs="Calibri" w:eastAsia="Calibri" w:hAnsi="Calibri"/>
          <w:b w:val="false"/>
          <w:bCs w:val="false"/>
          <w:i w:val="false"/>
          <w:iCs w:val="false"/>
          <w:color w:val="1A1A1A"/>
          <w:sz w:val="21"/>
          <w:szCs w:val="21"/>
        </w:rPr>
        <w:t xml:space="preserve">If a published grade has to change, </w:t>
      </w:r>
      <w:r>
        <w:rPr>
          <w:rFonts w:ascii="Consolas" w:cs="Consolas" w:eastAsia="Consolas" w:hAnsi="Consolas"/>
          <w:b w:val="false"/>
          <w:bCs w:val="false"/>
          <w:i w:val="false"/>
          <w:iCs w:val="false"/>
          <w:color w:val="8B1E2D"/>
          <w:sz w:val="19"/>
          <w:szCs w:val="19"/>
        </w:rPr>
        <w:t xml:space="preserve">correct_result_grade()</w:t>
      </w:r>
      <w:r>
        <w:rPr>
          <w:rFonts w:ascii="Calibri" w:cs="Calibri" w:eastAsia="Calibri" w:hAnsi="Calibri"/>
          <w:b w:val="false"/>
          <w:bCs w:val="false"/>
          <w:i w:val="false"/>
          <w:iCs w:val="false"/>
          <w:color w:val="1A1A1A"/>
          <w:sz w:val="21"/>
          <w:szCs w:val="21"/>
        </w:rPr>
        <w:t xml:space="preserve"> keeps the original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records the change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RULE THIS TABLE EXISTS TO ENFORCE</w:t>
            </w:r>
          </w:p>
          <w:p>
            <w:pPr>
              <w:spacing w:line="276"/>
            </w:pPr>
            <w:r>
              <w:rPr>
                <w:rFonts w:ascii="Calibri" w:cs="Calibri" w:eastAsia="Calibri" w:hAnsi="Calibri"/>
                <w:b w:val="false"/>
                <w:bCs w:val="false"/>
                <w:i w:val="false"/>
                <w:iCs w:val="false"/>
                <w:color w:val="1A1A1A"/>
                <w:sz w:val="20"/>
                <w:szCs w:val="20"/>
              </w:rPr>
              <w:t xml:space="preserve">A student may not see a grade before it is published. That is not a preference — it is the reason results are read through functions rather than straight from the table, and why the </w:t>
            </w:r>
            <w:r>
              <w:rPr>
                <w:rFonts w:ascii="Consolas" w:cs="Consolas" w:eastAsia="Consolas" w:hAnsi="Consolas"/>
                <w:b w:val="false"/>
                <w:bCs w:val="false"/>
                <w:i w:val="false"/>
                <w:iCs w:val="false"/>
                <w:color w:val="8B1E2D"/>
                <w:sz w:val="18"/>
                <w:szCs w:val="18"/>
              </w:rPr>
              <w:t xml:space="preserve">my_published_results</w:t>
            </w:r>
            <w:r>
              <w:rPr>
                <w:rFonts w:ascii="Calibri" w:cs="Calibri" w:eastAsia="Calibri" w:hAnsi="Calibri"/>
                <w:b w:val="false"/>
                <w:bCs w:val="false"/>
                <w:i w:val="false"/>
                <w:iCs w:val="false"/>
                <w:color w:val="1A1A1A"/>
                <w:sz w:val="20"/>
                <w:szCs w:val="20"/>
              </w:rPr>
              <w:t xml:space="preserve"> view exists.</w:t>
            </w:r>
          </w:p>
        </w:tc>
      </w:tr>
    </w:tbl>
    <w:p>
      <w:pPr>
        <w:spacing w:after="0" w:line="120" w:lineRule="exact"/>
      </w:pPr>
    </w:p>
    <w:p>
      <w:pPr>
        <w:pStyle w:val="Heading2"/>
        <w:keepNext/>
        <w:spacing w:after="120" w:before="300"/>
      </w:pPr>
      <w:bookmarkStart w:id="23" w:name="_Toc_23"/>
      <w:r>
        <w:rPr>
          <w:rFonts w:ascii="Calibri" w:cs="Calibri" w:eastAsia="Calibri" w:hAnsi="Calibri"/>
          <w:b/>
          <w:bCs/>
          <w:i w:val="false"/>
          <w:iCs w:val="false"/>
          <w:color w:val="1A1A1A"/>
          <w:sz w:val="26"/>
          <w:szCs w:val="26"/>
        </w:rPr>
        <w:t xml:space="preserve">6.2 The two views</w:t>
      </w:r>
      <w:bookmarkEnd w:id="23"/>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View</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my_published_results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signed-in student's published results only. A security-barrier view, so a cleverly written query cannot see past its filter.</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student_gpa_summary</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Each student's SGPA per semester and CGPA, built on </w:t>
            </w:r>
            <w:r>
              <w:rPr>
                <w:rFonts w:ascii="Consolas" w:cs="Consolas" w:eastAsia="Consolas" w:hAnsi="Consolas"/>
                <w:b w:val="false"/>
                <w:bCs w:val="false"/>
                <w:i w:val="false"/>
                <w:iCs w:val="false"/>
                <w:color w:val="8B1E2D"/>
                <w:sz w:val="17"/>
                <w:szCs w:val="17"/>
              </w:rPr>
              <w:t xml:space="preserve">result_credits</w:t>
            </w:r>
            <w:r>
              <w:rPr>
                <w:rFonts w:ascii="Calibri" w:cs="Calibri" w:eastAsia="Calibri" w:hAnsi="Calibri"/>
                <w:b w:val="false"/>
                <w:bCs w:val="false"/>
                <w:i w:val="false"/>
                <w:iCs w:val="false"/>
                <w:color w:val="1A1A1A"/>
                <w:sz w:val="19"/>
                <w:szCs w:val="19"/>
              </w:rPr>
              <w:t xml:space="preserve">. Nothing in the app reads it today; the screens use functions instead.</w:t>
            </w:r>
          </w:p>
        </w:tc>
      </w:tr>
    </w:tbl>
    <w:p>
      <w:pPr>
        <w:spacing w:after="0" w:line="120" w:lineRule="exact"/>
      </w:pPr>
    </w:p>
    <w:p>
      <w:r>
        <w:br w:type="page"/>
      </w:r>
    </w:p>
    <w:p>
      <w:pPr>
        <w:pStyle w:val="Heading1"/>
        <w:keepNext/>
        <w:spacing w:after="170" w:before="380"/>
      </w:pPr>
      <w:bookmarkStart w:id="24" w:name="_Toc_24"/>
      <w:r>
        <w:rPr>
          <w:rFonts w:ascii="Calibri" w:cs="Calibri" w:eastAsia="Calibri" w:hAnsi="Calibri"/>
          <w:b/>
          <w:bCs/>
          <w:i w:val="false"/>
          <w:iCs w:val="false"/>
          <w:color w:val="8B1E2D"/>
          <w:sz w:val="32"/>
          <w:szCs w:val="32"/>
        </w:rPr>
        <w:t xml:space="preserve">7. Feedback</w:t>
      </w:r>
      <w:bookmarkEnd w:id="24"/>
    </w:p>
    <w:p>
      <w:pPr>
        <w:spacing w:after="150" w:line="276"/>
      </w:pPr>
      <w:r>
        <w:rPr>
          <w:rFonts w:ascii="Calibri" w:cs="Calibri" w:eastAsia="Calibri" w:hAnsi="Calibri"/>
          <w:b w:val="false"/>
          <w:bCs w:val="false"/>
          <w:i w:val="false"/>
          <w:iCs w:val="false"/>
          <w:color w:val="1A1A1A"/>
          <w:sz w:val="21"/>
          <w:szCs w:val="21"/>
        </w:rPr>
        <w:t xml:space="preserve">Feedback has more moving parts than it first appears: a round has to be requested or created, approved, shaped per course,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88"/>
        <w:gridCol w:w="902"/>
        <w:gridCol w:w="5236"/>
      </w:tblGrid>
      <w:tr>
        <w:trPr>
          <w:tblHeader/>
          <w:cantSplit/>
        </w:trPr>
        <w:tc>
          <w:tcPr>
            <w:tcW w:type="dxa" w:w="28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23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feedback round: title, dates, department (empty for a faculty-wide round), batch, type (mid or end semester), and its approval state.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feedback_questions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49</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question bank, including each course's own questions once a lecturer has shaped its form.</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feedback_period_questions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49</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questions this round uses, in which sections and order.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feedback_period_courses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courses this round covers.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feedback_submissions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student's response to one course in one round. Carries the is_anonymous flag. Lets go of the student when a batch is removed.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feedback_answers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155</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individual answers: rating, text, single choice or multiple choice, per lecturer where the question is about each lecturer.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legacy table, now empty and locked down.</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A round the department office creates itself needs no approval. Opening the round is also its release.</w:t>
      </w:r>
    </w:p>
    <w:p>
      <w:pPr>
        <w:spacing w:after="150" w:line="276"/>
      </w:pPr>
      <w:r>
        <w:rPr>
          <w:rFonts w:ascii="Calibri" w:cs="Calibri" w:eastAsia="Calibri" w:hAnsi="Calibri"/>
          <w:b/>
          <w:bCs/>
          <w:i w:val="false"/>
          <w:iCs w:val="false"/>
          <w:color w:val="1A1A1A"/>
          <w:sz w:val="21"/>
          <w:szCs w:val="21"/>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w:t>
      </w:r>
      <w:r>
        <w:rPr>
          <w:rFonts w:ascii="Consolas" w:cs="Consolas" w:eastAsia="Consolas" w:hAnsi="Consolas"/>
          <w:b w:val="false"/>
          <w:bCs w:val="false"/>
          <w:i w:val="false"/>
          <w:iCs w:val="false"/>
          <w:color w:val="8B1E2D"/>
          <w:sz w:val="19"/>
          <w:szCs w:val="19"/>
        </w:rPr>
        <w:t xml:space="preserve">feedback_min_responses_for_analytics</w:t>
      </w:r>
      <w:r>
        <w:rPr>
          <w:rFonts w:ascii="Calibri" w:cs="Calibri" w:eastAsia="Calibri" w:hAnsi="Calibri"/>
          <w:b w:val="false"/>
          <w:bCs w:val="false"/>
          <w:i w:val="false"/>
          <w:iCs w:val="false"/>
          <w:color w:val="1A1A1A"/>
          <w:sz w:val="21"/>
          <w:szCs w:val="21"/>
        </w:rPr>
        <w:t xml:space="preserve"> decides how many responses a course needs before anyone can see its analytics. The Faculty value is 5, which stops a class of three being effectively de-anonymised. It is set to 1 while PES is tested by a single developer, and must go back to 5 before students are asked to answer.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keepNext/>
        <w:spacing w:after="170" w:before="380"/>
      </w:pPr>
      <w:bookmarkStart w:id="25" w:name="_Toc_25"/>
      <w:r>
        <w:rPr>
          <w:rFonts w:ascii="Calibri" w:cs="Calibri" w:eastAsia="Calibri" w:hAnsi="Calibri"/>
          <w:b/>
          <w:bCs/>
          <w:i w:val="false"/>
          <w:iCs w:val="false"/>
          <w:color w:val="8B1E2D"/>
          <w:sz w:val="32"/>
          <w:szCs w:val="32"/>
        </w:rPr>
        <w:t xml:space="preserve">8. Medical certificates</w:t>
      </w:r>
      <w:bookmarkEnd w:id="25"/>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68"/>
        <w:gridCol w:w="5958"/>
      </w:tblGrid>
      <w:tr>
        <w:trPr>
          <w:tblHeader/>
          <w:cantSplit/>
        </w:trPr>
        <w:tc>
          <w:tcPr>
            <w:tcW w:type="dxa" w:w="306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595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submission: student, dates missed, reason type, description, deadline, and overall status.</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medical_submission_courses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module the certificate is claimed against, each with its own review_status, reviewer, notes and department.</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medical_submission_files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uploaded certificate files, held in a private storage bucket.</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This is why the parent status can be partially_approved or mixed.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excused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r>
        <w:br w:type="page"/>
      </w:r>
    </w:p>
    <w:p>
      <w:pPr>
        <w:pStyle w:val="Heading1"/>
        <w:keepNext/>
        <w:spacing w:after="170" w:before="380"/>
      </w:pPr>
      <w:bookmarkStart w:id="26" w:name="_Toc_26"/>
      <w:r>
        <w:rPr>
          <w:rFonts w:ascii="Calibri" w:cs="Calibri" w:eastAsia="Calibri" w:hAnsi="Calibri"/>
          <w:b/>
          <w:bCs/>
          <w:i w:val="false"/>
          <w:iCs w:val="false"/>
          <w:color w:val="8B1E2D"/>
          <w:sz w:val="32"/>
          <w:szCs w:val="32"/>
        </w:rPr>
        <w:t xml:space="preserve">9. Mentoring</w:t>
      </w:r>
      <w:bookmarkEnd w:id="26"/>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mentor_assignments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50</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lecturer mentors which student, with start, end and reason.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mentor_messages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chat. Sender role, body, sent time, read time, and optional file attachment. Streamed live through Realtime.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mentor_notes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mentor's private notes. The student can never see these.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PRIVACY LINE INSIDE MENTORING</w:t>
            </w:r>
          </w:p>
          <w:p>
            <w:pPr>
              <w:spacing w:line="276"/>
            </w:pPr>
            <w:r>
              <w:rPr>
                <w:rFonts w:ascii="Calibri" w:cs="Calibri" w:eastAsia="Calibri" w:hAnsi="Calibri"/>
                <w:b w:val="false"/>
                <w:bCs w:val="false"/>
                <w:i w:val="false"/>
                <w:iCs w:val="false"/>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pPr>
        <w:spacing w:after="0" w:line="120" w:lineRule="exact"/>
      </w:pPr>
    </w:p>
    <w:p>
      <w:r>
        <w:br w:type="page"/>
      </w:r>
    </w:p>
    <w:p>
      <w:pPr>
        <w:pStyle w:val="Heading1"/>
        <w:keepNext/>
        <w:spacing w:after="170" w:before="380"/>
      </w:pPr>
      <w:bookmarkStart w:id="27" w:name="_Toc_27"/>
      <w:r>
        <w:rPr>
          <w:rFonts w:ascii="Calibri" w:cs="Calibri" w:eastAsia="Calibri" w:hAnsi="Calibri"/>
          <w:b/>
          <w:bCs/>
          <w:i w:val="false"/>
          <w:iCs w:val="false"/>
          <w:color w:val="8B1E2D"/>
          <w:sz w:val="32"/>
          <w:szCs w:val="32"/>
        </w:rPr>
        <w:t xml:space="preserve">10. The Graduation Planner's own tables</w:t>
      </w:r>
      <w:bookmarkEnd w:id="27"/>
    </w:p>
    <w:p>
      <w:pPr>
        <w:spacing w:after="150" w:line="276"/>
      </w:pPr>
      <w:r>
        <w:rPr>
          <w:rFonts w:ascii="Calibri" w:cs="Calibri" w:eastAsia="Calibri" w:hAnsi="Calibri"/>
          <w:b w:val="false"/>
          <w:bCs w:val="false"/>
          <w:i w:val="false"/>
          <w:iCs w:val="false"/>
          <w:color w:val="1A1A1A"/>
          <w:sz w:val="21"/>
          <w:szCs w:val="21"/>
        </w:rPr>
        <w:t xml:space="preserve">Added on 28 October 2026. Everything the planner </w:t>
      </w:r>
      <w:r>
        <w:rPr>
          <w:rFonts w:ascii="Calibri" w:cs="Calibri" w:eastAsia="Calibri" w:hAnsi="Calibri"/>
          <w:b w:val="false"/>
          <w:bCs w:val="false"/>
          <w:i/>
          <w:iCs/>
          <w:color w:val="1A1A1A"/>
          <w:sz w:val="21"/>
          <w:szCs w:val="21"/>
        </w:rPr>
        <w:t xml:space="preserve">calculates</w:t>
      </w:r>
      <w:r>
        <w:rPr>
          <w:rFonts w:ascii="Calibri" w:cs="Calibri" w:eastAsia="Calibri" w:hAnsi="Calibri"/>
          <w:b w:val="false"/>
          <w:bCs w:val="false"/>
          <w:i w:val="false"/>
          <w:iCs w:val="false"/>
          <w:color w:val="1A1A1A"/>
          <w:sz w:val="21"/>
          <w:szCs w:val="21"/>
        </w:rPr>
        <w:t xml:space="preserve"> comes from results and the curriculum through </w:t>
      </w:r>
      <w:r>
        <w:rPr>
          <w:rFonts w:ascii="Consolas" w:cs="Consolas" w:eastAsia="Consolas" w:hAnsi="Consolas"/>
          <w:b w:val="false"/>
          <w:bCs w:val="false"/>
          <w:i w:val="false"/>
          <w:iCs w:val="false"/>
          <w:color w:val="8B1E2D"/>
          <w:sz w:val="19"/>
          <w:szCs w:val="19"/>
        </w:rPr>
        <w:t xml:space="preserve">get_my_graduation_plan()</w:t>
      </w:r>
      <w:r>
        <w:rPr>
          <w:rFonts w:ascii="Calibri" w:cs="Calibri" w:eastAsia="Calibri" w:hAnsi="Calibri"/>
          <w:b w:val="false"/>
          <w:bCs w:val="false"/>
          <w:i w:val="false"/>
          <w:iCs w:val="false"/>
          <w:color w:val="1A1A1A"/>
          <w:sz w:val="21"/>
          <w:szCs w:val="21"/>
        </w:rPr>
        <w:t xml:space="preserve">; these two tables only remember what a student chose.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planner_scenarios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named what-if: the grades a student expects this semester (</w:t>
            </w:r>
            <w:r>
              <w:rPr>
                <w:rFonts w:ascii="Consolas" w:cs="Consolas" w:eastAsia="Consolas" w:hAnsi="Consolas"/>
                <w:b w:val="false"/>
                <w:bCs w:val="false"/>
                <w:i w:val="false"/>
                <w:iCs w:val="false"/>
                <w:color w:val="8B1E2D"/>
                <w:sz w:val="17"/>
                <w:szCs w:val="17"/>
              </w:rPr>
              <w:t xml:space="preserve">guesses</w:t>
            </w:r>
            <w:r>
              <w:rPr>
                <w:rFonts w:ascii="Calibri" w:cs="Calibri" w:eastAsia="Calibri" w:hAnsi="Calibri"/>
                <w:b w:val="false"/>
                <w:bCs w:val="false"/>
                <w:i w:val="false"/>
                <w:iCs w:val="false"/>
                <w:color w:val="1A1A1A"/>
                <w:sz w:val="19"/>
                <w:szCs w:val="19"/>
              </w:rPr>
              <w:t xml:space="preserve">), the SGPA they plan for later semesters (</w:t>
            </w:r>
            <w:r>
              <w:rPr>
                <w:rFonts w:ascii="Consolas" w:cs="Consolas" w:eastAsia="Consolas" w:hAnsi="Consolas"/>
                <w:b w:val="false"/>
                <w:bCs w:val="false"/>
                <w:i w:val="false"/>
                <w:iCs w:val="false"/>
                <w:color w:val="8B1E2D"/>
                <w:sz w:val="17"/>
                <w:szCs w:val="17"/>
              </w:rPr>
              <w:t xml:space="preserve">plans</w:t>
            </w:r>
            <w:r>
              <w:rPr>
                <w:rFonts w:ascii="Calibri" w:cs="Calibri" w:eastAsia="Calibri" w:hAnsi="Calibri"/>
                <w:b w:val="false"/>
                <w:bCs w:val="false"/>
                <w:i w:val="false"/>
                <w:iCs w:val="false"/>
                <w:color w:val="1A1A1A"/>
                <w:sz w:val="19"/>
                <w:szCs w:val="19"/>
              </w:rPr>
              <w:t xml:space="preserve">), past grades tried differently (</w:t>
            </w:r>
            <w:r>
              <w:rPr>
                <w:rFonts w:ascii="Consolas" w:cs="Consolas" w:eastAsia="Consolas" w:hAnsi="Consolas"/>
                <w:b w:val="false"/>
                <w:bCs w:val="false"/>
                <w:i w:val="false"/>
                <w:iCs w:val="false"/>
                <w:color w:val="8B1E2D"/>
                <w:sz w:val="17"/>
                <w:szCs w:val="17"/>
              </w:rPr>
              <w:t xml:space="preserve">past</w:t>
            </w:r>
            <w:r>
              <w:rPr>
                <w:rFonts w:ascii="Calibri" w:cs="Calibri" w:eastAsia="Calibri" w:hAnsi="Calibri"/>
                <w:b w:val="false"/>
                <w:bCs w:val="false"/>
                <w:i w:val="false"/>
                <w:iCs w:val="false"/>
                <w:color w:val="1A1A1A"/>
                <w:sz w:val="19"/>
                <w:szCs w:val="19"/>
              </w:rPr>
              <w:t xml:space="preserve">), and whether it is shared with their mentor. A student keeps at most ten, enforced by a trigger.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planner_aims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class of honours the student is aiming for, so the planner opens on it next time.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A shared scenario is what the mentor sees on the mentee's page (</w:t>
      </w:r>
      <w:r>
        <w:rPr>
          <w:rFonts w:ascii="Consolas" w:cs="Consolas" w:eastAsia="Consolas" w:hAnsi="Consolas"/>
          <w:b w:val="false"/>
          <w:bCs w:val="false"/>
          <w:i w:val="false"/>
          <w:iCs w:val="false"/>
          <w:color w:val="8B1E2D"/>
          <w:sz w:val="19"/>
          <w:szCs w:val="19"/>
        </w:rPr>
        <w:t xml:space="preserve">get_mentee_graduation_plan</w:t>
      </w:r>
      <w:r>
        <w:rPr>
          <w:rFonts w:ascii="Calibri" w:cs="Calibri" w:eastAsia="Calibri" w:hAnsi="Calibri"/>
          <w:b w:val="false"/>
          <w:bCs w:val="false"/>
          <w:i w:val="false"/>
          <w:iCs w:val="false"/>
          <w:color w:val="1A1A1A"/>
          <w:sz w:val="21"/>
          <w:szCs w:val="21"/>
        </w:rPr>
        <w:t xml:space="preserve">). Nothing in either table ever changes a result.</w:t>
      </w:r>
    </w:p>
    <w:p>
      <w:r>
        <w:br w:type="page"/>
      </w:r>
    </w:p>
    <w:p>
      <w:pPr>
        <w:pStyle w:val="Heading1"/>
        <w:keepNext/>
        <w:spacing w:after="170" w:before="380"/>
      </w:pPr>
      <w:bookmarkStart w:id="28" w:name="_Toc_28"/>
      <w:r>
        <w:rPr>
          <w:rFonts w:ascii="Calibri" w:cs="Calibri" w:eastAsia="Calibri" w:hAnsi="Calibri"/>
          <w:b/>
          <w:bCs/>
          <w:i w:val="false"/>
          <w:iCs w:val="false"/>
          <w:color w:val="8B1E2D"/>
          <w:sz w:val="32"/>
          <w:szCs w:val="32"/>
        </w:rPr>
        <w:t xml:space="preserve">11. Communication</w:t>
      </w:r>
      <w:bookmarkEnd w:id="28"/>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notifications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806</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event addressed to a person: a result published, a register opened, a mentor message, a semester's results complete. Written only by database triggers and a few functions; read and marked read by the recipient. Carries the department it comes from, so the list can wear its colour.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notice board. Scope columns (department, batch, offering) are empty when a notice is not narrowed by them, so a notice with no department is faculty-wide.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notice_categories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9</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categories a notice can carry. Adding a row is enough to add a category.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notice_attachments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Documents attached to a notice, held in the private notice-attachments bucket.</w:t>
            </w:r>
          </w:p>
        </w:tc>
      </w:tr>
    </w:tbl>
    <w:p>
      <w:pPr>
        <w:spacing w:after="0" w:line="120" w:lineRule="exact"/>
      </w:pPr>
    </w:p>
    <w:p>
      <w:r>
        <w:br w:type="page"/>
      </w:r>
    </w:p>
    <w:p>
      <w:pPr>
        <w:pStyle w:val="Heading1"/>
        <w:keepNext/>
        <w:spacing w:after="170" w:before="380"/>
      </w:pPr>
      <w:bookmarkStart w:id="29" w:name="_Toc_29"/>
      <w:r>
        <w:rPr>
          <w:rFonts w:ascii="Calibri" w:cs="Calibri" w:eastAsia="Calibri" w:hAnsi="Calibri"/>
          <w:b/>
          <w:bCs/>
          <w:i w:val="false"/>
          <w:iCs w:val="false"/>
          <w:color w:val="8B1E2D"/>
          <w:sz w:val="32"/>
          <w:szCs w:val="32"/>
        </w:rPr>
        <w:t xml:space="preserve">12. The assistant's knowledge</w:t>
      </w:r>
      <w:bookmarkEnd w:id="29"/>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handbook_chunks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131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Pieces of the Faculty Handbook, each with a 384-number vector embedding (pgvector, in the extensions schema), a full-text index and its page number.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faculty_site_pages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website reader's memory: every page of eng.sjp.ac.lk it has found, whether and when it was read, the HTTP status, and a hash of its text so an unchanged page is not rewritten.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faculty_site_chunks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121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is searched: each page's main text in sections, with the page's address so an answer can link to it, and a full-text index.</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ai_assistant_usage_log</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question asked, used to enforce the daily limits. Readable by the super admin only.</w:t>
            </w:r>
          </w:p>
        </w:tc>
      </w:tr>
    </w:tbl>
    <w:p>
      <w:pPr>
        <w:spacing w:after="0" w:line="120" w:lineRule="exact"/>
      </w:pPr>
    </w:p>
    <w:p>
      <w:r>
        <w:br w:type="page"/>
      </w:r>
    </w:p>
    <w:p>
      <w:pPr>
        <w:pStyle w:val="Heading1"/>
        <w:keepNext/>
        <w:spacing w:after="170" w:before="380"/>
      </w:pPr>
      <w:bookmarkStart w:id="30" w:name="_Toc_30"/>
      <w:r>
        <w:rPr>
          <w:rFonts w:ascii="Calibri" w:cs="Calibri" w:eastAsia="Calibri" w:hAnsi="Calibri"/>
          <w:b/>
          <w:bCs/>
          <w:i w:val="false"/>
          <w:iCs w:val="false"/>
          <w:color w:val="8B1E2D"/>
          <w:sz w:val="32"/>
          <w:szCs w:val="32"/>
        </w:rPr>
        <w:t xml:space="preserve">13. The regulation engine: system_settings</w:t>
      </w:r>
      <w:bookmarkEnd w:id="30"/>
    </w:p>
    <w:p>
      <w:pPr>
        <w:spacing w:after="150" w:line="276"/>
      </w:pPr>
      <w:r>
        <w:rPr>
          <w:rFonts w:ascii="Calibri" w:cs="Calibri" w:eastAsia="Calibri" w:hAnsi="Calibri"/>
          <w:b w:val="false"/>
          <w:bCs w:val="false"/>
          <w:i w:val="false"/>
          <w:iCs w:val="false"/>
          <w:color w:val="1A1A1A"/>
          <w:sz w:val="21"/>
          <w:szCs w:val="21"/>
        </w:rPr>
        <w:t xml:space="preserve">18 rows. The Handbook's rules as data. Values are JSON, so a number, a list or a table of thresholds can all live here. A setting is read in one of two places: by database functions (which is what makes it binding), or by the app through </w:t>
      </w:r>
      <w:r>
        <w:rPr>
          <w:rFonts w:ascii="Consolas" w:cs="Consolas" w:eastAsia="Consolas" w:hAnsi="Consolas"/>
          <w:b w:val="false"/>
          <w:bCs w:val="false"/>
          <w:i w:val="false"/>
          <w:iCs w:val="false"/>
          <w:color w:val="8B1E2D"/>
          <w:sz w:val="19"/>
          <w:szCs w:val="19"/>
        </w:rPr>
        <w:t xml:space="preserve">src/lib/settings.ts</w:t>
      </w:r>
      <w:r>
        <w:rPr>
          <w:rFonts w:ascii="Calibri" w:cs="Calibri" w:eastAsia="Calibri" w:hAnsi="Calibri"/>
          <w:b w:val="false"/>
          <w:bCs w:val="false"/>
          <w:i w:val="false"/>
          <w:iCs w:val="false"/>
          <w:color w:val="1A1A1A"/>
          <w:sz w:val="21"/>
          <w:szCs w:val="21"/>
        </w:rPr>
        <w:t xml:space="preserve"> (which is what the screens show). The third column says which.</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78"/>
        <w:gridCol w:w="2166"/>
        <w:gridCol w:w="3882"/>
      </w:tblGrid>
      <w:tr>
        <w:trPr>
          <w:tblHeader/>
          <w:cantSplit/>
        </w:trPr>
        <w:tc>
          <w:tcPr>
            <w:tcW w:type="dxa" w:w="29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Setting</w:t>
            </w:r>
          </w:p>
        </w:tc>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Value</w:t>
            </w:r>
          </w:p>
        </w:tc>
        <w:tc>
          <w:tcPr>
            <w:tcW w:type="dxa" w:w="388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Read by</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attendance_threshold</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get_my_attendance_detail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get_my_mentees</w:t>
            </w:r>
            <w:r>
              <w:rPr>
                <w:rFonts w:ascii="Calibri" w:cs="Calibri" w:eastAsia="Calibri" w:hAnsi="Calibri"/>
                <w:b w:val="false"/>
                <w:bCs w:val="false"/>
                <w:i w:val="false"/>
                <w:iCs w:val="false"/>
                <w:color w:val="1A1A1A"/>
                <w:sz w:val="19"/>
                <w:szCs w:val="19"/>
              </w:rPr>
              <w:t xml:space="preserve">. App: every attendance screen.</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attendance_prewarning_threshold</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get_my_attendance_detail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App: the amber warnings.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graduation_total_credits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144</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 App: standing and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total_semesters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get_my_academic_record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 App: semester lists.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gpv_scale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A+ 4.0 … C 2.0, F/R/L 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the grade-point trigger, </w:t>
            </w:r>
            <w:r>
              <w:rPr>
                <w:rFonts w:ascii="Consolas" w:cs="Consolas" w:eastAsia="Consolas" w:hAnsi="Consolas"/>
                <w:b w:val="false"/>
                <w:bCs w:val="false"/>
                <w:i w:val="false"/>
                <w:iCs w:val="false"/>
                <w:color w:val="8B1E2D"/>
                <w:sz w:val="17"/>
                <w:szCs w:val="17"/>
              </w:rPr>
              <w:t xml:space="preserve">grade_point_value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correct_result_grade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cap_resit_grade</w:t>
            </w:r>
            <w:r>
              <w:rPr>
                <w:rFonts w:ascii="Calibri" w:cs="Calibri" w:eastAsia="Calibri" w:hAnsi="Calibri"/>
                <w:b w:val="false"/>
                <w:bCs w:val="false"/>
                <w:i w:val="false"/>
                <w:iCs w:val="false"/>
                <w:color w:val="1A1A1A"/>
                <w:sz w:val="19"/>
                <w:szCs w:val="19"/>
              </w:rPr>
              <w:t xml:space="preserve">. App: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honours_classifications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First 3.70, Second Upper 3.30, Second Lower 3.00, Pass 2.00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nudge_semester_complete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get_my_mentees</w:t>
            </w:r>
            <w:r>
              <w:rPr>
                <w:rFonts w:ascii="Calibri" w:cs="Calibri" w:eastAsia="Calibri" w:hAnsi="Calibri"/>
                <w:b w:val="false"/>
                <w:bCs w:val="false"/>
                <w:i w:val="false"/>
                <w:iCs w:val="false"/>
                <w:color w:val="1A1A1A"/>
                <w:sz w:val="19"/>
                <w:szCs w:val="19"/>
              </w:rPr>
              <w:t xml:space="preserve">. App: standing, targets,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resit_max_grade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cap_resit_grade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grade_boundaries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from 85 … C from 45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order of the grade distribution on Results.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oa_weights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 0.30, ESE 0.70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default split when a course is created.</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feedback_min_responses_for_analytics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 (5 before release)</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feedback_privacy_threshold</w:t>
            </w:r>
            <w:r>
              <w:rPr>
                <w:rFonts w:ascii="Calibri" w:cs="Calibri" w:eastAsia="Calibri" w:hAnsi="Calibri"/>
                <w:b w:val="false"/>
                <w:bCs w:val="false"/>
                <w:i w:val="false"/>
                <w:iCs w:val="false"/>
                <w:color w:val="1A1A1A"/>
                <w:sz w:val="19"/>
                <w:szCs w:val="19"/>
              </w:rPr>
              <w:t xml:space="preserve">, behind every analytics function.</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gpa_decline_alert_drop</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0.30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for the "your SGPA fell" insight.</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first_batch_intake_year</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2015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batch numbering (Batch 1 is the 2015 intake).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student_departments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Civil, Computer, Electrical and Electronic, Mechanical</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department pickers on the admin screens.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interdisciplinary_department</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Interdisciplinary Studies</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department whose courses every student may take.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medical_submission_deadline_days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Loaded by the app but not used: the Medical Certificates page writes 14 into its own code.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feedback_text_max_length</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1500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Loaded by the app but not used: the feedback form caps a written answer at 1,000 characters in its own code.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student_visible_result_fields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mid_sem_mark, ca_mark, grade, gpv</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 by nothing. The student result functions do return only these (never the exam or overall mark), but that is written into each function, not read from here.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feedback_release_mode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dept_admin_release</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 by nothing. A remnant: since 29 August 2026 opening a round is its release.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FOUR SETTINGS THAT DO NOT DO WHAT THEIR NAMES SAY</w:t>
            </w:r>
          </w:p>
          <w:p>
            <w:pPr>
              <w:spacing w:line="276"/>
            </w:pPr>
            <w:r>
              <w:rPr>
                <w:rFonts w:ascii="Calibri" w:cs="Calibri" w:eastAsia="Calibri" w:hAnsi="Calibri"/>
                <w:b w:val="false"/>
                <w:bCs w:val="false"/>
                <w:i w:val="false"/>
                <w:iCs w:val="false"/>
                <w:color w:val="1A1A1A"/>
                <w:sz w:val="20"/>
                <w:szCs w:val="20"/>
              </w:rPr>
              <w:t xml:space="preserve">Changing the last four rows changes nothing today. Two are written into page code (and one disagrees with it: 1,500 here, 1,000 on the form), and two are not read at all. Either wire them up or delete them; until then, change the code, not the setting.</w:t>
            </w:r>
          </w:p>
        </w:tc>
      </w:tr>
    </w:tbl>
    <w:p>
      <w:pPr>
        <w:spacing w:after="0" w:line="120" w:lineRule="exact"/>
      </w:pPr>
    </w:p>
    <w:p>
      <w:r>
        <w:br w:type="page"/>
      </w:r>
    </w:p>
    <w:p>
      <w:pPr>
        <w:pStyle w:val="Heading1"/>
        <w:keepNext/>
        <w:spacing w:after="170" w:before="380"/>
      </w:pPr>
      <w:bookmarkStart w:id="31" w:name="_Toc_31"/>
      <w:r>
        <w:rPr>
          <w:rFonts w:ascii="Calibri" w:cs="Calibri" w:eastAsia="Calibri" w:hAnsi="Calibri"/>
          <w:b/>
          <w:bCs/>
          <w:i w:val="false"/>
          <w:iCs w:val="false"/>
          <w:color w:val="8B1E2D"/>
          <w:sz w:val="32"/>
          <w:szCs w:val="32"/>
        </w:rPr>
        <w:t xml:space="preserve">14. The function layer</w:t>
      </w:r>
      <w:bookmarkEnd w:id="31"/>
    </w:p>
    <w:p>
      <w:pPr>
        <w:spacing w:after="150" w:line="276"/>
      </w:pPr>
      <w:r>
        <w:rPr>
          <w:rFonts w:ascii="Calibri" w:cs="Calibri" w:eastAsia="Calibri" w:hAnsi="Calibri"/>
          <w:b w:val="false"/>
          <w:bCs w:val="false"/>
          <w:i w:val="false"/>
          <w:iCs w:val="false"/>
          <w:color w:val="1A1A1A"/>
          <w:sz w:val="21"/>
          <w:szCs w:val="21"/>
        </w:rPr>
        <w:t xml:space="preserve">There are 248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1083"/>
        <w:gridCol w:w="5777"/>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Kind</w:t>
            </w:r>
          </w:p>
        </w:tc>
        <w:tc>
          <w:tcPr>
            <w:tcW w:type="dxa" w:w="108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How many</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means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SECURITY DEFINER</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237</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Runs with the privileges of the function's owner, not the caller. It can see everything, so it must check for itself who is asking. Every one has its search path pinned.</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SECURITY INVOKER</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11</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Runs as the caller. Row Level Security still applies to everything it touches.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 which triggers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37</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Fire on a write to a table; never called directly.</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Callable by signed-in users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194</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application's API.</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DANGER OF DEFINER, AND THE RULE THAT FOLLOWS</w:t>
            </w:r>
          </w:p>
          <w:p>
            <w:pPr>
              <w:spacing w:line="276"/>
            </w:pPr>
            <w:r>
              <w:rPr>
                <w:rFonts w:ascii="Calibri" w:cs="Calibri" w:eastAsia="Calibri" w:hAnsi="Calibri"/>
                <w:b w:val="false"/>
                <w:bCs w:val="false"/>
                <w:i w:val="false"/>
                <w:iCs w:val="false"/>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 Since 27 September 2026 no application function can be called by a signed-out caller; the only exceptions today are five trigger functions added in October, which PostgreSQL will not run outside a trigger anyway (Guide 4, section 5.10).</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10"/>
        <w:gridCol w:w="5416"/>
      </w:tblGrid>
      <w:tr>
        <w:trPr>
          <w:tblHeader/>
          <w:cantSplit/>
        </w:trPr>
        <w:tc>
          <w:tcPr>
            <w:tcW w:type="dxa" w:w="361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Function</w:t>
            </w:r>
          </w:p>
        </w:tc>
        <w:tc>
          <w:tcPr>
            <w:tcW w:type="dxa" w:w="541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Answers</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get_my_role()</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role is the caller? Returns empty text, never NULL.</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get_my_department()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does the caller administer?</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my_lecturer_id()</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lecturer row is the caller, if any?</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my_hod_department()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does the caller head, if any?</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is_active_hod_of(dept)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Does the caller currently head that department?</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is_assigned_lecturer(offering)</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Does the caller teach that offering?</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is_my_mentee(student)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 that student the caller's mentee?</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can_view_student_record(student)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May the caller see that student at all?</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my_account_active()</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 the caller's account switched on?</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current_semester_for_batch(year)</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semester is that batch in now?</w:t>
            </w:r>
          </w:p>
        </w:tc>
      </w:tr>
    </w:tbl>
    <w:p>
      <w:pPr>
        <w:spacing w:after="0" w:line="120" w:lineRule="exact"/>
      </w:pPr>
    </w:p>
    <w:p>
      <w:pPr>
        <w:pStyle w:val="Heading2"/>
        <w:keepNext/>
        <w:spacing w:after="120" w:before="300"/>
      </w:pPr>
      <w:bookmarkStart w:id="32" w:name="_Toc_32"/>
      <w:r>
        <w:rPr>
          <w:rFonts w:ascii="Calibri" w:cs="Calibri" w:eastAsia="Calibri" w:hAnsi="Calibri"/>
          <w:b/>
          <w:bCs/>
          <w:i w:val="false"/>
          <w:iCs w:val="false"/>
          <w:color w:val="1A1A1A"/>
          <w:sz w:val="26"/>
          <w:szCs w:val="26"/>
        </w:rPr>
        <w:t xml:space="preserve">14.1 Every function, by area</w:t>
      </w:r>
      <w:bookmarkEnd w:id="32"/>
    </w:p>
    <w:p>
      <w:pPr>
        <w:spacing w:after="150" w:line="276"/>
      </w:pPr>
      <w:r>
        <w:rPr>
          <w:rFonts w:ascii="Calibri" w:cs="Calibri" w:eastAsia="Calibri" w:hAnsi="Calibri"/>
          <w:b w:val="false"/>
          <w:bCs w:val="false"/>
          <w:i w:val="false"/>
          <w:iCs w:val="false"/>
          <w:color w:val="1A1A1A"/>
          <w:sz w:val="21"/>
          <w:szCs w:val="21"/>
        </w:rPr>
        <w:t xml:space="preserve">This is the whole list, so a name met in the code can be placed. The functions a page calls start with </w:t>
      </w:r>
      <w:r>
        <w:rPr>
          <w:rFonts w:ascii="Consolas" w:cs="Consolas" w:eastAsia="Consolas" w:hAnsi="Consolas"/>
          <w:b w:val="false"/>
          <w:bCs w:val="false"/>
          <w:i w:val="false"/>
          <w:iCs w:val="false"/>
          <w:color w:val="8B1E2D"/>
          <w:sz w:val="19"/>
          <w:szCs w:val="19"/>
        </w:rPr>
        <w:t xml:space="preserve">get_</w:t>
      </w:r>
      <w:r>
        <w:rPr>
          <w:rFonts w:ascii="Calibri" w:cs="Calibri" w:eastAsia="Calibri" w:hAnsi="Calibri"/>
          <w:b w:val="false"/>
          <w:bCs w:val="false"/>
          <w:i w:val="false"/>
          <w:iCs w:val="false"/>
          <w:color w:val="1A1A1A"/>
          <w:sz w:val="21"/>
          <w:szCs w:val="21"/>
        </w:rPr>
        <w:t xml:space="preserve"> (reads) or a verb (writes); the </w:t>
      </w:r>
      <w:r>
        <w:rPr>
          <w:rFonts w:ascii="Consolas" w:cs="Consolas" w:eastAsia="Consolas" w:hAnsi="Consolas"/>
          <w:b w:val="false"/>
          <w:bCs w:val="false"/>
          <w:i w:val="false"/>
          <w:iCs w:val="false"/>
          <w:color w:val="8B1E2D"/>
          <w:sz w:val="19"/>
          <w:szCs w:val="19"/>
        </w:rPr>
        <w:t xml:space="preserve">my_</w:t>
      </w:r>
      <w:r>
        <w:rPr>
          <w:rFonts w:ascii="Calibri" w:cs="Calibri" w:eastAsia="Calibri" w:hAnsi="Calibri"/>
          <w:b w:val="false"/>
          <w:bCs w:val="false"/>
          <w:i w:val="false"/>
          <w:iCs w:val="false"/>
          <w:color w:val="1A1A1A"/>
          <w:sz w:val="21"/>
          <w:szCs w:val="21"/>
        </w:rPr>
        <w:t xml:space="preserve"> ones answer about the caller.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6860"/>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Area</w:t>
            </w:r>
          </w:p>
        </w:tc>
        <w:tc>
          <w:tcPr>
            <w:tcW w:type="dxa" w:w="686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Functions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is asking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academic_year_for, account_has_password, account_is_active, batch_currently_in_semester, can_view_student_record, current_semester_for_batch, department_admin_ids, department_head_id, department_owns_student, get_avatar_urls, get_my_department, get_my_role, is_active_hod_of, is_assigned_lecturer, is_my_mentee, is_offering_staff, is_super_admin, my_account_active, my_current_semester, my_hod_department, my_lecturer_id, my_offering_ids, my_staff_department, set_my_avatar, student_department, student_has_is_course_link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Accounts, batches, profiles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admin_list_users, assign_batch_departments, change_student_batch, export_batch_records, get_batch_footprint, get_batches, get_student_batch_history, update_my_admin_profile, update_my_lecturer_profile</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Courses and teaching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curriculum_gpa_credits, delete_course, end_department_hod, get_admin_offerings, get_assignable_lecturers, get_course_detail, get_course_enrolled_students, get_course_enrolment_counts, get_course_info, get_course_roster, get_courses_by_semester, get_department_students, get_department_teaching, get_faculty_lecturers, get_hod_history, get_my_teaching, get_offering_roster, get_upcoming_courses, my_coordinated_offering, offering_department, offering_for_student_course, offering_label, offering_lecturer_ids, offering_roster_ids, offering_student_count, offering_student_ids, set_department_hod</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delete_minor, get_department_minor_plan, get_department_minors, get_my_minor_progress, may_manage_minors, rename_minor, set_my_minor, student_minor_plan</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Enrolment</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can_read_enrollment_period, delete_enrollment_period, enrollment_period_visible, enrollment_window_open_for_me, enrolment_kind_for_course, enrolment_oversight, get_enrollment_period_course_stats, get_enrollment_period_summary, get_my_enrolment_options, get_my_enrolment_plan, my_outstanding_modules, update_my_enrolment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attendance_session_state, attendance_session_token, attendance_window_code, attendance_window_signature, check_in_to_lecture, check_in_with_code, close_attendance_session, confirm_presence, extend_attendance_session, get_admin_attendance_overview, get_my_attendance, get_my_attendance_detail, get_offering_attendance_summary, metres_between, my_open_attendance_sessions, my_pending_presence_check, my_unclosed_registers, open_register_for_offering, start_attendance_session, trigger_presence_check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Results and standing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calculate_gpa_target, correct_result_grade, get_academic_standing, get_admin_recent_results, get_all_students_academic_stats, get_my_academic_record, get_my_insights, get_my_published_result_sheets, get_pending_result_reviews, get_published_result_sheet, get_student_academic_record, get_student_course_result, get_student_results, grade_point_value, publish_offering_results, return_offering_results, submit_offering_results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Graduation Planner</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get_mentee_graduation_plan, get_my_graduation_plan, graduation_plan_for, nudge_semester_complete, share_planner_scenario</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add_course_feedback_question, assert_can_edit_course_form, course_form_questions, decide_feedback_period, feedback_answer_provided, feedback_privacy_threshold, fork_course_form, get_admin_course_feedback_analytics, get_admin_feedback_comments, get_admin_feedback_periods, get_admin_feedback_summary, get_admin_question_feedback_analytics, get_course_feedback_report, get_course_form_editor, get_department_feedback_detail, get_department_feedback_overview, get_department_lecturer_feedback, get_my_coordinated_feedback, get_my_feedback_overview, get_pending_feedback_approvals, get_student_active_feedback_period, get_student_eligible_feedback_courses, get_student_feedback_catalogue, get_student_feedback_form, may_manage_round_form, missing_required_feedback, my_editable_feedback_offering, period_covers_course, remove_course_feedback_question, reorder_course_form_sections, save_course_form_question, save_feedback_draft, save_form_section, student_eligible_for_feedback, student_took_course, submission_belongs_to_me_fb, submit_course_feedback, write_feedback_answers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 certificates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get_admin_medical_submissions, get_my_medical_submissions, review_medical_submission_course, student_has_medical_submission_in_my_department, submission_belongs_to_me, submission_has_course_in_my_department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assign_student_mentor, clear_student_mentor, delete_mentor_note, get_department_mentor_allocations, get_department_mentor_roster, get_mentee_academic_overview, get_mentor_message, get_mentor_notes, get_mentor_thread, get_my_mentees, get_my_mentor, get_student_mentor_history, is_mentor_thread_participant, mark_mentor_thread_read, my_mentee_note_counts, my_mentee_unread, my_mentor_thread, my_unread_mentor_messages, save_mentor_note, send_mentor_message</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Notices and notifications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can_edit_notice, can_publish_notice_scope, get_manageable_notices, get_my_notice_publishing_scope, get_my_notices, get_my_notification_counts, get_my_notifications, get_my_unread_notice_counts, get_my_unread_notification_count, get_notice, mark_notice_read, mark_notifications_read, notice_row_readable, notice_visible_to_me, notify_user, notify_users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Assistant and search</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faculty_site_sync_key_ok, get_faculty_site_status, search_faculty_site, search_handbook, search_handbook_hybrid, search_handbook_text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Operations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export_migrations (writes the applied history out as migration files)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Triggers (37)</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attendance_fill_offering, block_course_delete_with_history, cap_resit_grade, check_course_graded_with, courses_default_result_credits, enforce_batch_change_through_rpc, enforce_feedback_period_approval, hod_appointment_department_matches, notices_touch_updated_at, notify_course_assigned, notify_draft_form_ready, notify_enrolment_window, notify_feedback_changes, notify_medical_reviewed, notify_medical_submitted, notify_mentor_assigned, notify_mentor_message, notify_notice_created_published, notify_notice_published, notify_register_open, notify_register_reopened, notify_result_changes, pin_course_identity_columns, planner_scenarios_guard, prevent_lecturer_self_escalation, prevent_self_privilege_escalation, protect_lecturer_feedback_period, refresh_result_credits, results_derive_grade_point, results_fill_offering, results_refuse_ungraded_part, set_enrollment_period_updated_at, set_medical_submission_course_department, set_results_published_at, settle_repeated_attempts, sync_result_publication_state, validate_feedback_period_transition</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To read any one of them: in the Supabase SQL editor, </w:t>
      </w:r>
      <w:r>
        <w:rPr>
          <w:rFonts w:ascii="Consolas" w:cs="Consolas" w:eastAsia="Consolas" w:hAnsi="Consolas"/>
          <w:b w:val="false"/>
          <w:bCs w:val="false"/>
          <w:i w:val="false"/>
          <w:iCs w:val="false"/>
          <w:color w:val="8B1E2D"/>
          <w:sz w:val="18"/>
          <w:szCs w:val="18"/>
        </w:rPr>
        <w:t xml:space="preserve">select pg_get_functiondef('public.get_my_graduation_plan'::regproc);</w:t>
      </w:r>
      <w:r>
        <w:rPr>
          <w:rFonts w:ascii="Calibri" w:cs="Calibri" w:eastAsia="Calibri" w:hAnsi="Calibri"/>
          <w:b w:val="false"/>
          <w:bCs w:val="false"/>
          <w:i/>
          <w:iCs/>
          <w:color w:val="5A5A5A"/>
          <w:sz w:val="20"/>
          <w:szCs w:val="20"/>
        </w:rPr>
        <w:t xml:space="preserve">. Its comment header in the migration that created it says why it exists.</w:t>
      </w:r>
    </w:p>
    <w:p>
      <w:r>
        <w:br w:type="page"/>
      </w:r>
    </w:p>
    <w:p>
      <w:pPr>
        <w:pStyle w:val="Heading1"/>
        <w:keepNext/>
        <w:spacing w:after="170" w:before="380"/>
      </w:pPr>
      <w:bookmarkStart w:id="33" w:name="_Toc_33"/>
      <w:r>
        <w:rPr>
          <w:rFonts w:ascii="Calibri" w:cs="Calibri" w:eastAsia="Calibri" w:hAnsi="Calibri"/>
          <w:b/>
          <w:bCs/>
          <w:i w:val="false"/>
          <w:iCs w:val="false"/>
          <w:color w:val="8B1E2D"/>
          <w:sz w:val="32"/>
          <w:szCs w:val="32"/>
        </w:rPr>
        <w:t xml:space="preserve">15. Beyond the tables</w:t>
      </w:r>
      <w:bookmarkEnd w:id="33"/>
    </w:p>
    <w:p>
      <w:pPr>
        <w:pStyle w:val="Heading2"/>
        <w:keepNext/>
        <w:spacing w:after="120" w:before="300"/>
      </w:pPr>
      <w:bookmarkStart w:id="34" w:name="_Toc_34"/>
      <w:r>
        <w:rPr>
          <w:rFonts w:ascii="Calibri" w:cs="Calibri" w:eastAsia="Calibri" w:hAnsi="Calibri"/>
          <w:b/>
          <w:bCs/>
          <w:i w:val="false"/>
          <w:iCs w:val="false"/>
          <w:color w:val="1A1A1A"/>
          <w:sz w:val="26"/>
          <w:szCs w:val="26"/>
        </w:rPr>
        <w:t xml:space="preserve">15.1 File storage</w:t>
      </w:r>
      <w:bookmarkEnd w:id="34"/>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four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1083"/>
        <w:gridCol w:w="5777"/>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Bucket</w:t>
            </w:r>
          </w:p>
        </w:tc>
        <w:tc>
          <w:tcPr>
            <w:tcW w:type="dxa" w:w="108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Public?</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Holds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Profile pictures. Public because a profile picture is not private. Removing a photo removes the file too.</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medical-certificates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 certificate files. Reachable only through a signed, expiring link.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mentor-attachments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Files sent inside a mentoring chat, up to 10 MB, of the common document and image types. Same protection.</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notice-attachments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Documents attached to a notice, up to 20 MB. Readable by whoever may read the notice.</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A private bucket means the file has no public URL at all. The application asks for a temporary signed link, and storage only issues one if the caller is allowed the file.</w:t>
      </w:r>
    </w:p>
    <w:p>
      <w:pPr>
        <w:pStyle w:val="Heading2"/>
        <w:keepNext/>
        <w:spacing w:after="120" w:before="300"/>
      </w:pPr>
      <w:bookmarkStart w:id="35" w:name="_Toc_35"/>
      <w:r>
        <w:rPr>
          <w:rFonts w:ascii="Calibri" w:cs="Calibri" w:eastAsia="Calibri" w:hAnsi="Calibri"/>
          <w:b/>
          <w:bCs/>
          <w:i w:val="false"/>
          <w:iCs w:val="false"/>
          <w:color w:val="1A1A1A"/>
          <w:sz w:val="26"/>
          <w:szCs w:val="26"/>
        </w:rPr>
        <w:t xml:space="preserve">15.2 Extensions</w:t>
      </w:r>
      <w:bookmarkEnd w:id="35"/>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1805"/>
        <w:gridCol w:w="4875"/>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Extension</w:t>
            </w:r>
          </w:p>
        </w:tc>
        <w:tc>
          <w:tcPr>
            <w:tcW w:type="dxa" w:w="180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Schema</w:t>
            </w:r>
          </w:p>
        </w:tc>
        <w:tc>
          <w:tcPr>
            <w:tcW w:type="dxa" w:w="487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Why it is here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vector (pgvector 0.8)</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Handbook embeddings and their similarity search.</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pg_cron 1.6</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pg_catalog</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nightly faculty-website read.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pg_net 0.20</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Lets that nightly job make an HTTP call to the Edge Function.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supabase_vault</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vault</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Keeps the secrets the nightly job presents (the project URL and the sync key).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pgcrypto, uuid-ossp</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Random ids, tokens and hashes.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pg_stat_statements</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Query statistics for tuning.</w:t>
            </w:r>
          </w:p>
        </w:tc>
      </w:tr>
    </w:tbl>
    <w:p>
      <w:pPr>
        <w:spacing w:after="0" w:line="120" w:lineRule="exact"/>
      </w:pPr>
    </w:p>
    <w:p>
      <w:pPr>
        <w:pStyle w:val="Heading2"/>
        <w:keepNext/>
        <w:spacing w:after="120" w:before="300"/>
      </w:pPr>
      <w:bookmarkStart w:id="36" w:name="_Toc_36"/>
      <w:r>
        <w:rPr>
          <w:rFonts w:ascii="Calibri" w:cs="Calibri" w:eastAsia="Calibri" w:hAnsi="Calibri"/>
          <w:b/>
          <w:bCs/>
          <w:i w:val="false"/>
          <w:iCs w:val="false"/>
          <w:color w:val="1A1A1A"/>
          <w:sz w:val="26"/>
          <w:szCs w:val="26"/>
        </w:rPr>
        <w:t xml:space="preserve">15.3 The scheduled job</w:t>
      </w:r>
      <w:bookmarkEnd w:id="36"/>
    </w:p>
    <w:p>
      <w:pPr>
        <w:spacing w:after="150" w:line="276"/>
      </w:pPr>
      <w:r>
        <w:rPr>
          <w:rFonts w:ascii="Calibri" w:cs="Calibri" w:eastAsia="Calibri" w:hAnsi="Calibri"/>
          <w:b w:val="false"/>
          <w:bCs w:val="false"/>
          <w:i w:val="false"/>
          <w:iCs w:val="false"/>
          <w:color w:val="1A1A1A"/>
          <w:sz w:val="21"/>
          <w:szCs w:val="21"/>
        </w:rPr>
        <w:t xml:space="preserve">One </w:t>
      </w:r>
      <w:r>
        <w:rPr>
          <w:rFonts w:ascii="Consolas" w:cs="Consolas" w:eastAsia="Consolas" w:hAnsi="Consolas"/>
          <w:b w:val="false"/>
          <w:bCs w:val="false"/>
          <w:i w:val="false"/>
          <w:iCs w:val="false"/>
          <w:color w:val="8B1E2D"/>
          <w:sz w:val="19"/>
          <w:szCs w:val="19"/>
        </w:rPr>
        <w:t xml:space="preserve">pg_cron</w:t>
      </w:r>
      <w:r>
        <w:rPr>
          <w:rFonts w:ascii="Calibri" w:cs="Calibri" w:eastAsia="Calibri" w:hAnsi="Calibri"/>
          <w:b w:val="false"/>
          <w:bCs w:val="false"/>
          <w:i w:val="false"/>
          <w:iCs w:val="false"/>
          <w:color w:val="1A1A1A"/>
          <w:sz w:val="21"/>
          <w:szCs w:val="21"/>
        </w:rPr>
        <w:t xml:space="preserve"> job, </w:t>
      </w:r>
      <w:r>
        <w:rPr>
          <w:rFonts w:ascii="Consolas" w:cs="Consolas" w:eastAsia="Consolas" w:hAnsi="Consolas"/>
          <w:b w:val="false"/>
          <w:bCs w:val="false"/>
          <w:i w:val="false"/>
          <w:iCs w:val="false"/>
          <w:color w:val="8B1E2D"/>
          <w:sz w:val="19"/>
          <w:szCs w:val="19"/>
        </w:rPr>
        <w:t xml:space="preserve">faculty-site-sync-nightly</w:t>
      </w:r>
      <w:r>
        <w:rPr>
          <w:rFonts w:ascii="Calibri" w:cs="Calibri" w:eastAsia="Calibri" w:hAnsi="Calibri"/>
          <w:b w:val="false"/>
          <w:bCs w:val="false"/>
          <w:i w:val="false"/>
          <w:iCs w:val="false"/>
          <w:color w:val="1A1A1A"/>
          <w:sz w:val="21"/>
          <w:szCs w:val="21"/>
        </w:rPr>
        <w:t xml:space="preserve">, runs at </w:t>
      </w:r>
      <w:r>
        <w:rPr>
          <w:rFonts w:ascii="Consolas" w:cs="Consolas" w:eastAsia="Consolas" w:hAnsi="Consolas"/>
          <w:b w:val="false"/>
          <w:bCs w:val="false"/>
          <w:i w:val="false"/>
          <w:iCs w:val="false"/>
          <w:color w:val="8B1E2D"/>
          <w:sz w:val="19"/>
          <w:szCs w:val="19"/>
        </w:rPr>
        <w:t xml:space="preserve">37 20 * * *</w:t>
      </w:r>
      <w:r>
        <w:rPr>
          <w:rFonts w:ascii="Calibri" w:cs="Calibri" w:eastAsia="Calibri" w:hAnsi="Calibri"/>
          <w:b w:val="false"/>
          <w:bCs w:val="false"/>
          <w:i w:val="false"/>
          <w:iCs w:val="false"/>
          <w:color w:val="1A1A1A"/>
          <w:sz w:val="21"/>
          <w:szCs w:val="21"/>
        </w:rPr>
        <w:t xml:space="preserve"> (UTC) — 02:07 in Sri Lanka. It reads the project URL and the sync key from the Vault and posts to the </w:t>
      </w:r>
      <w:r>
        <w:rPr>
          <w:rFonts w:ascii="Consolas" w:cs="Consolas" w:eastAsia="Consolas" w:hAnsi="Consolas"/>
          <w:b w:val="false"/>
          <w:bCs w:val="false"/>
          <w:i w:val="false"/>
          <w:iCs w:val="false"/>
          <w:color w:val="8B1E2D"/>
          <w:sz w:val="19"/>
          <w:szCs w:val="19"/>
        </w:rPr>
        <w:t xml:space="preserve">faculty-site-sync</w:t>
      </w:r>
      <w:r>
        <w:rPr>
          <w:rFonts w:ascii="Calibri" w:cs="Calibri" w:eastAsia="Calibri" w:hAnsi="Calibri"/>
          <w:b w:val="false"/>
          <w:bCs w:val="false"/>
          <w:i w:val="false"/>
          <w:iCs w:val="false"/>
          <w:color w:val="1A1A1A"/>
          <w:sz w:val="21"/>
          <w:szCs w:val="21"/>
        </w:rPr>
        <w:t xml:space="preserve"> Edge Function, which reads the next round of pages. Guide 7 shows how to check it ran.</w:t>
      </w:r>
    </w:p>
    <w:p>
      <w:pPr>
        <w:pStyle w:val="Heading2"/>
        <w:keepNext/>
        <w:spacing w:after="120" w:before="300"/>
      </w:pPr>
      <w:bookmarkStart w:id="37" w:name="_Toc_37"/>
      <w:r>
        <w:rPr>
          <w:rFonts w:ascii="Calibri" w:cs="Calibri" w:eastAsia="Calibri" w:hAnsi="Calibri"/>
          <w:b/>
          <w:bCs/>
          <w:i w:val="false"/>
          <w:iCs w:val="false"/>
          <w:color w:val="1A1A1A"/>
          <w:sz w:val="26"/>
          <w:szCs w:val="26"/>
        </w:rPr>
        <w:t xml:space="preserve">15.4 Realtime</w:t>
      </w:r>
      <w:bookmarkEnd w:id="37"/>
    </w:p>
    <w:p>
      <w:pPr>
        <w:spacing w:after="150" w:line="276"/>
      </w:pPr>
      <w:r>
        <w:rPr>
          <w:rFonts w:ascii="Calibri" w:cs="Calibri" w:eastAsia="Calibri" w:hAnsi="Calibri"/>
          <w:b w:val="false"/>
          <w:bCs w:val="false"/>
          <w:i w:val="false"/>
          <w:iCs w:val="false"/>
          <w:color w:val="1A1A1A"/>
          <w:sz w:val="21"/>
          <w:szCs w:val="21"/>
        </w:rPr>
        <w:t xml:space="preserve">Three tables are published to Supabase Realtime: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(the live chat), </w:t>
      </w:r>
      <w:r>
        <w:rPr>
          <w:rFonts w:ascii="Consolas" w:cs="Consolas" w:eastAsia="Consolas" w:hAnsi="Consolas"/>
          <w:b w:val="false"/>
          <w:bCs w:val="false"/>
          <w:i w:val="false"/>
          <w:iCs w:val="false"/>
          <w:color w:val="8B1E2D"/>
          <w:sz w:val="19"/>
          <w:szCs w:val="19"/>
        </w:rPr>
        <w:t xml:space="preserve">notifications</w:t>
      </w:r>
      <w:r>
        <w:rPr>
          <w:rFonts w:ascii="Calibri" w:cs="Calibri" w:eastAsia="Calibri" w:hAnsi="Calibri"/>
          <w:b w:val="false"/>
          <w:bCs w:val="false"/>
          <w:i w:val="false"/>
          <w:iCs w:val="false"/>
          <w:color w:val="1A1A1A"/>
          <w:sz w:val="21"/>
          <w:szCs w:val="21"/>
        </w:rPr>
        <w:t xml:space="preserve"> (the bell updates without a reload) and </w:t>
      </w:r>
      <w:r>
        <w:rPr>
          <w:rFonts w:ascii="Consolas" w:cs="Consolas" w:eastAsia="Consolas" w:hAnsi="Consolas"/>
          <w:b w:val="false"/>
          <w:bCs w:val="false"/>
          <w:i w:val="false"/>
          <w:iCs w:val="false"/>
          <w:color w:val="8B1E2D"/>
          <w:sz w:val="19"/>
          <w:szCs w:val="19"/>
        </w:rPr>
        <w:t xml:space="preserve">attendance</w:t>
      </w:r>
      <w:r>
        <w:rPr>
          <w:rFonts w:ascii="Calibri" w:cs="Calibri" w:eastAsia="Calibri" w:hAnsi="Calibri"/>
          <w:b w:val="false"/>
          <w:bCs w:val="false"/>
          <w:i w:val="false"/>
          <w:iCs w:val="false"/>
          <w:color w:val="1A1A1A"/>
          <w:sz w:val="21"/>
          <w:szCs w:val="21"/>
        </w:rPr>
        <w:t xml:space="preserve"> (a register fills in while the lecturer watches). Realtime applies Row Level Security to what it pushes, so nobody is sent a row they could not have read.</w:t>
      </w:r>
    </w:p>
    <w:p>
      <w:r>
        <w:br w:type="page"/>
      </w:r>
    </w:p>
    <w:p>
      <w:pPr>
        <w:pStyle w:val="Heading1"/>
        <w:keepNext/>
        <w:spacing w:after="170" w:before="380"/>
      </w:pPr>
      <w:bookmarkStart w:id="38" w:name="_Toc_38"/>
      <w:r>
        <w:rPr>
          <w:rFonts w:ascii="Calibri" w:cs="Calibri" w:eastAsia="Calibri" w:hAnsi="Calibri"/>
          <w:b/>
          <w:bCs/>
          <w:i w:val="false"/>
          <w:iCs w:val="false"/>
          <w:color w:val="8B1E2D"/>
          <w:sz w:val="32"/>
          <w:szCs w:val="32"/>
        </w:rPr>
        <w:t xml:space="preserve">16. Migrations</w:t>
      </w:r>
      <w:bookmarkEnd w:id="38"/>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w:t>
      </w:r>
      <w:r>
        <w:rPr>
          <w:rFonts w:ascii="Consolas" w:cs="Consolas" w:eastAsia="Consolas" w:hAnsi="Consolas"/>
          <w:b w:val="false"/>
          <w:bCs w:val="false"/>
          <w:i w:val="false"/>
          <w:iCs w:val="false"/>
          <w:color w:val="8B1E2D"/>
          <w:sz w:val="19"/>
          <w:szCs w:val="19"/>
        </w:rPr>
        <w:t xml:space="preserve">supabase/migrations/</w:t>
      </w:r>
      <w:r>
        <w:rPr>
          <w:rFonts w:ascii="Calibri" w:cs="Calibri" w:eastAsia="Calibri" w:hAnsi="Calibri"/>
          <w:b w:val="false"/>
          <w:bCs w:val="false"/>
          <w:i w:val="false"/>
          <w:iCs w:val="false"/>
          <w:color w:val="1A1A1A"/>
          <w:sz w:val="21"/>
          <w:szCs w:val="21"/>
        </w:rPr>
        <w:t xml:space="preserve">. There are 275. The name is the date and time it was applied, followed by a short description of what it did, and </w:t>
      </w:r>
      <w:r>
        <w:rPr>
          <w:rFonts w:ascii="Consolas" w:cs="Consolas" w:eastAsia="Consolas" w:hAnsi="Consolas"/>
          <w:b w:val="false"/>
          <w:bCs w:val="false"/>
          <w:i w:val="false"/>
          <w:iCs w:val="false"/>
          <w:color w:val="8B1E2D"/>
          <w:sz w:val="19"/>
          <w:szCs w:val="19"/>
        </w:rPr>
        <w:t xml:space="preserve">supabase/migrations/README.md</w:t>
      </w:r>
      <w:r>
        <w:rPr>
          <w:rFonts w:ascii="Calibri" w:cs="Calibri" w:eastAsia="Calibri" w:hAnsi="Calibri"/>
          <w:b w:val="false"/>
          <w:bCs w:val="false"/>
          <w:i w:val="false"/>
          <w:iCs w:val="false"/>
          <w:color w:val="1A1A1A"/>
          <w:sz w:val="21"/>
          <w:szCs w:val="21"/>
        </w:rPr>
        <w:t xml:space="preserve"> numbers them 001 to 275 with a line each.</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20260830144759_a_mentors_notes_are_their_own.sql</w:t>
            </w:r>
          </w:p>
          <w:p>
            <w:pPr>
              <w:spacing w:after="20" w:line="240"/>
            </w:pPr>
            <w:r>
              <w:rPr>
                <w:rFonts w:ascii="Consolas" w:cs="Consolas" w:eastAsia="Consolas" w:hAnsi="Consolas"/>
                <w:b w:val="false"/>
                <w:bCs w:val="false"/>
                <w:i w:val="false"/>
                <w:iCs w:val="false"/>
                <w:color w:val="23303B"/>
                <w:sz w:val="18"/>
                <w:szCs w:val="18"/>
              </w:rPr>
              <w:t xml:space="preserve">20260909143200_a_guard_that_cannot_answer_must_refuse.sql</w:t>
            </w:r>
          </w:p>
          <w:p>
            <w:pPr>
              <w:spacing w:after="20" w:line="240"/>
            </w:pPr>
            <w:r>
              <w:rPr>
                <w:rFonts w:ascii="Consolas" w:cs="Consolas" w:eastAsia="Consolas" w:hAnsi="Consolas"/>
                <w:b w:val="false"/>
                <w:bCs w:val="false"/>
                <w:i w:val="false"/>
                <w:iCs w:val="false"/>
                <w:color w:val="23303B"/>
                <w:sz w:val="18"/>
                <w:szCs w:val="18"/>
              </w:rPr>
              <w:t xml:space="preserve">20260920160144_a_repeated_course_counts_once.sql</w:t>
            </w:r>
          </w:p>
          <w:p>
            <w:pPr>
              <w:spacing w:after="20" w:line="240"/>
            </w:pPr>
            <w:r>
              <w:rPr>
                <w:rFonts w:ascii="Consolas" w:cs="Consolas" w:eastAsia="Consolas" w:hAnsi="Consolas"/>
                <w:b w:val="false"/>
                <w:bCs w:val="false"/>
                <w:i w:val="false"/>
                <w:iCs w:val="false"/>
                <w:color w:val="23303B"/>
                <w:sz w:val="18"/>
                <w:szCs w:val="18"/>
              </w:rPr>
              <w:t xml:space="preserve">20260927052832_a_signed_out_caller_calls_nothing.sql</w:t>
            </w:r>
          </w:p>
          <w:p>
            <w:pPr>
              <w:spacing w:after="20" w:line="240"/>
            </w:pPr>
            <w:r>
              <w:rPr>
                <w:rFonts w:ascii="Consolas" w:cs="Consolas" w:eastAsia="Consolas" w:hAnsi="Consolas"/>
                <w:b w:val="false"/>
                <w:bCs w:val="false"/>
                <w:i w:val="false"/>
                <w:iCs w:val="false"/>
                <w:color w:val="23303B"/>
                <w:sz w:val="18"/>
                <w:szCs w:val="18"/>
              </w:rPr>
              <w:t xml:space="preserve">20261001055233_a_minor_is_the_study_plan_the_faculty_publishes.sql</w:t>
            </w:r>
          </w:p>
          <w:p>
            <w:pPr>
              <w:spacing w:after="20" w:line="240"/>
            </w:pPr>
            <w:r>
              <w:rPr>
                <w:rFonts w:ascii="Consolas" w:cs="Consolas" w:eastAsia="Consolas" w:hAnsi="Consolas"/>
                <w:b w:val="false"/>
                <w:bCs w:val="false"/>
                <w:i w:val="false"/>
                <w:iCs w:val="false"/>
                <w:color w:val="23303B"/>
                <w:sz w:val="18"/>
                <w:szCs w:val="18"/>
              </w:rPr>
              <w:t xml:space="preserve">20261028113540_a_course_taught_over_two_semesters_is_graded_once.sql</w:t>
            </w:r>
          </w:p>
          <w:p>
            <w:pPr>
              <w:spacing w:after="20" w:line="240"/>
            </w:pPr>
            <w:r>
              <w:rPr>
                <w:rFonts w:ascii="Consolas" w:cs="Consolas" w:eastAsia="Consolas" w:hAnsi="Consolas"/>
                <w:b w:val="false"/>
                <w:bCs w:val="false"/>
                <w:i w:val="false"/>
                <w:iCs w:val="false"/>
                <w:color w:val="23303B"/>
                <w:sz w:val="18"/>
                <w:szCs w:val="18"/>
              </w:rPr>
              <w:t xml:space="preserve">20261028202537_a_student_keeps_their_planner_scenarios.sql</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 usually in its comment header.</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very first tables (students, courses, enrollments, attendance, results, lecturers, feedback, medical_submissions, timetables) were made in the SQL editor before migrations were recorded, so the folder alone cannot rebuild the database from empty. Guide 7 shows how to take a full schema dump.</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Database Guide</dc:title>
  <dc:creator>PES</dc:creator>
  <cp:lastModifiedBy>PES</cp:lastModifiedBy>
  <cp:revision>1</cp:revision>
  <dcterms:created xsi:type="dcterms:W3CDTF">2026-09-11T12:17:19.715Z</dcterms:created>
  <dcterms:modified xsi:type="dcterms:W3CDTF">2026-10-30T04:44:42Z</dcterms:modified>
</cp:coreProperties>
</file>

<file path=docProps/custom.xml><?xml version="1.0" encoding="utf-8"?>
<Properties xmlns="http://schemas.openxmlformats.org/officeDocument/2006/custom-properties" xmlns:vt="http://schemas.openxmlformats.org/officeDocument/2006/docPropsVTypes"/>
</file>