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2 of 5</w:t>
      </w:r>
    </w:p>
    <w:p>
      <w:pPr>
        <w:spacing w:after="80"/>
      </w:pPr>
      <w:r>
        <w:rPr>
          <w:rFonts w:ascii="Calibri" w:cs="Calibri" w:eastAsia="Calibri" w:hAnsi="Calibri"/>
          <w:b/>
          <w:bCs/>
          <w:color w:val="1A1A1A"/>
          <w:sz w:val="56"/>
          <w:szCs w:val="56"/>
        </w:rPr>
        <w:t xml:space="preserve">Database Guide</w:t>
      </w:r>
    </w:p>
    <w:p>
      <w:pPr>
        <w:spacing w:after="320"/>
      </w:pPr>
      <w:r>
        <w:rPr>
          <w:rFonts w:ascii="Calibri" w:cs="Calibri" w:eastAsia="Calibri" w:hAnsi="Calibri"/>
          <w:color w:val="8B1E2D"/>
          <w:sz w:val="26"/>
          <w:szCs w:val="26"/>
        </w:rPr>
        <w:t xml:space="preserve">Every table, what it holds, and how they connect</w:t>
      </w:r>
    </w:p>
    <w:p>
      <w:pPr>
        <w:spacing w:after="900" w:line="300"/>
      </w:pPr>
      <w:r>
        <w:rPr>
          <w:rFonts w:ascii="Calibri" w:cs="Calibri" w:eastAsia="Calibri" w:hAnsi="Calibri"/>
          <w:color w:val="5A5A5A"/>
          <w:sz w:val="21"/>
          <w:szCs w:val="21"/>
        </w:rPr>
        <w:t xml:space="preserve">The PES keeps everything in one PostgreSQL database with 39 tables and 139 functions. This guide walks through them area by area, in the order the academic year actually happens: people, then courses, then enrolment, then attendance, then marks.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How to think about this database</w:t>
      </w:r>
    </w:p>
    <w:p>
      <w:pPr>
        <w:spacing w:after="150" w:line="276"/>
      </w:pPr>
      <w:r>
        <w:rPr>
          <w:rFonts w:ascii="Calibri" w:cs="Calibri" w:eastAsia="Calibri" w:hAnsi="Calibri"/>
          <w:b w:val="false"/>
          <w:bCs w:val="false"/>
          <w:i w:val="false"/>
          <w:iCs w:val="false"/>
          <w:color w:val="1A1A1A"/>
          <w:sz w:val="21"/>
          <w:szCs w:val="21"/>
        </w:rPr>
        <w:t xml:space="preserve">Do not start by reading all 39 tables. Start with the three ideas that shape them.</w:t>
      </w:r>
    </w:p>
    <w:p>
      <w:pPr>
        <w:pStyle w:val="Heading3"/>
        <w:spacing w:after="90" w:before="220"/>
      </w:pPr>
      <w:r>
        <w:rPr>
          <w:rFonts w:ascii="Calibri" w:cs="Calibri" w:eastAsia="Calibri" w:hAnsi="Calibri"/>
          <w:b/>
          <w:bCs/>
          <w:color w:val="8B1E2D"/>
          <w:sz w:val="23"/>
          <w:szCs w:val="23"/>
        </w:rPr>
        <w:t xml:space="preserve">Idea 1 — A course is not the same as a course being taught</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courses</w:t>
      </w:r>
      <w:r>
        <w:rPr>
          <w:rFonts w:ascii="Calibri" w:cs="Calibri" w:eastAsia="Calibri" w:hAnsi="Calibri"/>
          <w:b w:val="false"/>
          <w:bCs w:val="false"/>
          <w:i w:val="false"/>
          <w:iCs w:val="false"/>
          <w:color w:val="1A1A1A"/>
          <w:sz w:val="21"/>
          <w:szCs w:val="21"/>
        </w:rPr>
        <w:t xml:space="preserve"> is a module in the catalogue: CO2206 Software Engineering, 3 credits, semester 4. It does not belong to a year or a group of students.</w:t>
      </w:r>
    </w:p>
    <w:p>
      <w:pPr>
        <w:spacing w:after="150" w:line="276"/>
      </w:pPr>
      <w:r>
        <w:rPr>
          <w:rFonts w:ascii="Calibri" w:cs="Calibri" w:eastAsia="Calibri" w:hAnsi="Calibri"/>
          <w:b w:val="false"/>
          <w:bCs w:val="false"/>
          <w:i w:val="false"/>
          <w:iCs w:val="false"/>
          <w:color w:val="1A1A1A"/>
          <w:sz w:val="21"/>
          <w:szCs w:val="21"/>
        </w:rPr>
        <w:t xml:space="preserve">A row in </w:t>
      </w:r>
      <w:r>
        <w:rPr>
          <w:rFonts w:ascii="Consolas" w:cs="Consolas" w:eastAsia="Consolas" w:hAnsi="Consolas"/>
          <w:b w:val="false"/>
          <w:bCs w:val="false"/>
          <w:i w:val="false"/>
          <w:iCs w:val="false"/>
          <w:color w:val="8B1E2D"/>
          <w:sz w:val="19"/>
          <w:szCs w:val="19"/>
        </w:rPr>
        <w:t xml:space="preserve">course_offerings</w:t>
      </w:r>
      <w:r>
        <w:rPr>
          <w:rFonts w:ascii="Calibri" w:cs="Calibri" w:eastAsia="Calibri" w:hAnsi="Calibri"/>
          <w:b w:val="false"/>
          <w:bCs w:val="false"/>
          <w:i w:val="false"/>
          <w:iCs w:val="false"/>
          <w:color w:val="1A1A1A"/>
          <w:sz w:val="21"/>
          <w:szCs w:val="21"/>
        </w:rPr>
        <w:t xml:space="preserve"> is that module actually being delivered: CO2206 to the 2023 batch in academic year 2025/2026. Lecturers are assigned to offerings, not to courses.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THIS MATTERS</w:t>
            </w:r>
          </w:p>
          <w:p>
            <w:pPr>
              <w:spacing w:line="276"/>
            </w:pPr>
            <w:r>
              <w:rPr>
                <w:rFonts w:ascii="Calibri" w:cs="Calibri" w:eastAsia="Calibri" w:hAnsi="Calibri"/>
                <w:color w:val="1A1A1A"/>
                <w:sz w:val="20"/>
                <w:szCs w:val="20"/>
              </w:rPr>
              <w:t xml:space="preserve">The same module is taught every year to a different group by possibly a different lecturer. If lecturers were attached to the course itself, last year's teaching history would be destroyed every time a new lecturer took over. Keeping offerings separate preserves the record.</w:t>
            </w:r>
          </w:p>
        </w:tc>
      </w:tr>
    </w:tbl>
    <w:p>
      <w:pPr>
        <w:pStyle w:val="Heading3"/>
        <w:spacing w:after="90" w:before="220"/>
      </w:pPr>
      <w:r>
        <w:rPr>
          <w:rFonts w:ascii="Calibri" w:cs="Calibri" w:eastAsia="Calibri" w:hAnsi="Calibri"/>
          <w:b/>
          <w:bCs/>
          <w:color w:val="8B1E2D"/>
          <w:sz w:val="23"/>
          <w:szCs w:val="23"/>
        </w:rPr>
        <w:t xml:space="preserve">Idea 2 — Identity is split across three tables</w:t>
      </w:r>
    </w:p>
    <w:p>
      <w:pPr>
        <w:spacing w:after="150" w:line="276"/>
      </w:pPr>
      <w:r>
        <w:rPr>
          <w:rFonts w:ascii="Calibri" w:cs="Calibri" w:eastAsia="Calibri" w:hAnsi="Calibri"/>
          <w:b w:val="false"/>
          <w:bCs w:val="false"/>
          <w:i w:val="false"/>
          <w:iCs w:val="false"/>
          <w:color w:val="1A1A1A"/>
          <w:sz w:val="21"/>
          <w:szCs w:val="21"/>
        </w:rPr>
        <w:t xml:space="preserve">A person is in </w:t>
      </w:r>
      <w:r>
        <w:rPr>
          <w:rFonts w:ascii="Consolas" w:cs="Consolas" w:eastAsia="Consolas" w:hAnsi="Consolas"/>
          <w:b w:val="false"/>
          <w:bCs w:val="false"/>
          <w:i w:val="false"/>
          <w:iCs w:val="false"/>
          <w:color w:val="8B1E2D"/>
          <w:sz w:val="19"/>
          <w:szCs w:val="19"/>
        </w:rPr>
        <w:t xml:space="preserve">students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lecturers</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admins</w:t>
      </w:r>
      <w:r>
        <w:rPr>
          <w:rFonts w:ascii="Calibri" w:cs="Calibri" w:eastAsia="Calibri" w:hAnsi="Calibri"/>
          <w:b w:val="false"/>
          <w:bCs w:val="false"/>
          <w:i w:val="false"/>
          <w:iCs w:val="false"/>
          <w:color w:val="1A1A1A"/>
          <w:sz w:val="21"/>
          <w:szCs w:val="21"/>
        </w:rPr>
        <w:t xml:space="preserve"> — never more than one. Guide 3 explains why, and the fixed order in which they are searched.</w:t>
      </w:r>
    </w:p>
    <w:p>
      <w:pPr>
        <w:pStyle w:val="Heading3"/>
        <w:spacing w:after="90" w:before="220"/>
      </w:pPr>
      <w:r>
        <w:rPr>
          <w:rFonts w:ascii="Calibri" w:cs="Calibri" w:eastAsia="Calibri" w:hAnsi="Calibri"/>
          <w:b/>
          <w:bCs/>
          <w:color w:val="8B1E2D"/>
          <w:sz w:val="23"/>
          <w:szCs w:val="23"/>
        </w:rPr>
        <w:t xml:space="preserve">Idea 3 — Nothing is deleted</w:t>
      </w:r>
    </w:p>
    <w:p>
      <w:pPr>
        <w:spacing w:after="150" w:line="276"/>
      </w:pPr>
      <w:r>
        <w:rPr>
          <w:rFonts w:ascii="Calibri" w:cs="Calibri" w:eastAsia="Calibri" w:hAnsi="Calibri"/>
          <w:b w:val="false"/>
          <w:bCs w:val="false"/>
          <w:i w:val="false"/>
          <w:iCs w:val="false"/>
          <w:color w:val="1A1A1A"/>
          <w:sz w:val="21"/>
          <w:szCs w:val="21"/>
        </w:rPr>
        <w:t xml:space="preserve">When a lecturer stops teaching a module, the assignment row is marked inactive. When a headship ends, the appointment row gets an end date. When a student changes batch, a change row is written. History is kept because results, feedback and attendance all point back at it.</w:t>
      </w:r>
    </w:p>
    <w:p>
      <w:r>
        <w:br w:type="page"/>
      </w:r>
    </w:p>
    <w:p>
      <w:pPr>
        <w:pStyle w:val="Heading1"/>
        <w:spacing w:after="170" w:before="380"/>
      </w:pPr>
      <w:r>
        <w:rPr>
          <w:rFonts w:ascii="Calibri" w:cs="Calibri" w:eastAsia="Calibri" w:hAnsi="Calibri"/>
          <w:b/>
          <w:bCs/>
          <w:color w:val="8B1E2D"/>
          <w:sz w:val="32"/>
          <w:szCs w:val="32"/>
        </w:rPr>
        <w:t xml:space="preserve">2. People</w:t>
      </w:r>
    </w:p>
    <w:p>
      <w:pPr>
        <w:pStyle w:val="Heading2"/>
        <w:spacing w:after="120" w:before="300"/>
      </w:pPr>
      <w:r>
        <w:rPr>
          <w:rFonts w:ascii="Calibri" w:cs="Calibri" w:eastAsia="Calibri" w:hAnsi="Calibri"/>
          <w:b/>
          <w:bCs/>
          <w:color w:val="1A1A1A"/>
          <w:sz w:val="26"/>
          <w:szCs w:val="26"/>
        </w:rPr>
        <w:t xml:space="preserve">2.1 students</w:t>
      </w:r>
    </w:p>
    <w:p>
      <w:pPr>
        <w:spacing w:after="150" w:line="276"/>
      </w:pPr>
      <w:r>
        <w:rPr>
          <w:rFonts w:ascii="Calibri" w:cs="Calibri" w:eastAsia="Calibri" w:hAnsi="Calibri"/>
          <w:b w:val="false"/>
          <w:bCs w:val="false"/>
          <w:i w:val="false"/>
          <w:iCs w:val="false"/>
          <w:color w:val="1A1A1A"/>
          <w:sz w:val="21"/>
          <w:szCs w:val="21"/>
        </w:rPr>
        <w:t xml:space="preserve">167 rows. One per undergraduate.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Same value as the Supabase Auth user id. This is what makes the whole security model work.</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Registration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index_number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Index number.</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email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of the five engineering departments.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batch_year</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year the student started. Their semester is calculated from this.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Always the text 'student'.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withdrawn, transferred or graduated.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avatar_url</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 stored in the avatars bucket.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Notice there is no 'semester' column. A student's current semester is worked out from batch_year by the current_semester_for_batch() function. Storing it would mean updating 167 rows every semester and getting it wrong once.</w:t>
      </w:r>
    </w:p>
    <w:p>
      <w:pPr>
        <w:pStyle w:val="Heading2"/>
        <w:spacing w:after="120" w:before="300"/>
      </w:pPr>
      <w:r>
        <w:rPr>
          <w:rFonts w:ascii="Calibri" w:cs="Calibri" w:eastAsia="Calibri" w:hAnsi="Calibri"/>
          <w:b/>
          <w:bCs/>
          <w:color w:val="1A1A1A"/>
          <w:sz w:val="26"/>
          <w:szCs w:val="26"/>
        </w:rPr>
        <w:t xml:space="preserve">2.2 lecturers</w:t>
      </w:r>
    </w:p>
    <w:p>
      <w:pPr>
        <w:spacing w:after="150" w:line="276"/>
      </w:pPr>
      <w:r>
        <w:rPr>
          <w:rFonts w:ascii="Calibri" w:cs="Calibri" w:eastAsia="Calibri" w:hAnsi="Calibri"/>
          <w:b w:val="false"/>
          <w:bCs w:val="false"/>
          <w:i w:val="false"/>
          <w:iCs w:val="false"/>
          <w:color w:val="1A1A1A"/>
          <w:sz w:val="21"/>
          <w:szCs w:val="21"/>
        </w:rPr>
        <w:t xml:space="preserve">41 rows. Teaching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lecturer's own id, used everywhere teaching is recorded.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auth_user_id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 Separate from id, and nullable — a lecturer can exist in the records before they ever get a login.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title, email, staff_no</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Personal and staff details.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home department.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SECURITY NOTE ABOUT THIS TABLE</w:t>
            </w:r>
          </w:p>
          <w:p>
            <w:pPr>
              <w:spacing w:line="276"/>
            </w:pPr>
            <w:r>
              <w:rPr>
                <w:rFonts w:ascii="Calibri" w:cs="Calibri" w:eastAsia="Calibri" w:hAnsi="Calibri"/>
                <w:color w:val="1A1A1A"/>
                <w:sz w:val="20"/>
                <w:szCs w:val="20"/>
              </w:rPr>
              <w:t xml:space="preserve">Until 9 September 2026 every signed-in user could read all 41 rows including auth_user_id. That is now restricted to the person's own row. Guide 4 explains what went wrong and how it was fixed.</w:t>
            </w:r>
          </w:p>
        </w:tc>
      </w:tr>
    </w:tbl>
    <w:p>
      <w:pPr>
        <w:pStyle w:val="Heading2"/>
        <w:spacing w:after="120" w:before="300"/>
      </w:pPr>
      <w:r>
        <w:rPr>
          <w:rFonts w:ascii="Calibri" w:cs="Calibri" w:eastAsia="Calibri" w:hAnsi="Calibri"/>
          <w:b/>
          <w:bCs/>
          <w:color w:val="1A1A1A"/>
          <w:sz w:val="26"/>
          <w:szCs w:val="26"/>
        </w:rPr>
        <w:t xml:space="preserve">2.3 admins</w:t>
      </w:r>
    </w:p>
    <w:p>
      <w:pPr>
        <w:spacing w:after="150" w:line="276"/>
      </w:pPr>
      <w:r>
        <w:rPr>
          <w:rFonts w:ascii="Calibri" w:cs="Calibri" w:eastAsia="Calibri" w:hAnsi="Calibri"/>
          <w:b w:val="false"/>
          <w:bCs w:val="false"/>
          <w:i w:val="false"/>
          <w:iCs w:val="false"/>
          <w:color w:val="1A1A1A"/>
          <w:sz w:val="21"/>
          <w:szCs w:val="21"/>
        </w:rPr>
        <w:t xml:space="preserve">6 rows. Administrative staff.</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id</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Supabase Auth id.</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role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Either dept_admin or super_admin. Enforced by a check constraint.</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they administer. Ignored for super_admin.</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active or inactive.</w:t>
            </w:r>
          </w:p>
        </w:tc>
      </w:tr>
    </w:tbl>
    <w:p>
      <w:pPr>
        <w:pStyle w:val="Heading2"/>
        <w:spacing w:after="120" w:before="300"/>
      </w:pPr>
      <w:r>
        <w:rPr>
          <w:rFonts w:ascii="Calibri" w:cs="Calibri" w:eastAsia="Calibri" w:hAnsi="Calibri"/>
          <w:b/>
          <w:bCs/>
          <w:color w:val="1A1A1A"/>
          <w:sz w:val="26"/>
          <w:szCs w:val="26"/>
        </w:rPr>
        <w:t xml:space="preserve">2.4 hod_appointments</w:t>
      </w:r>
    </w:p>
    <w:p>
      <w:pPr>
        <w:spacing w:after="150" w:line="276"/>
      </w:pPr>
      <w:r>
        <w:rPr>
          <w:rFonts w:ascii="Calibri" w:cs="Calibri" w:eastAsia="Calibri" w:hAnsi="Calibri"/>
          <w:b w:val="false"/>
          <w:bCs w:val="false"/>
          <w:i w:val="false"/>
          <w:iCs w:val="false"/>
          <w:color w:val="1A1A1A"/>
          <w:sz w:val="21"/>
          <w:szCs w:val="21"/>
        </w:rPr>
        <w:t xml:space="preserve">5 rows. Who leads which department, and when.</w:t>
      </w:r>
    </w:p>
    <w:p>
      <w:pPr>
        <w:spacing w:after="150" w:line="276"/>
      </w:pPr>
      <w:r>
        <w:rPr>
          <w:rFonts w:ascii="Calibri" w:cs="Calibri" w:eastAsia="Calibri" w:hAnsi="Calibri"/>
          <w:b w:val="false"/>
          <w:bCs w:val="false"/>
          <w:i w:val="false"/>
          <w:iCs w:val="false"/>
          <w:color w:val="1A1A1A"/>
          <w:sz w:val="21"/>
          <w:szCs w:val="21"/>
        </w:rPr>
        <w:t xml:space="preserve">Key columns: </w:t>
      </w:r>
      <w:r>
        <w:rPr>
          <w:rFonts w:ascii="Consolas" w:cs="Consolas" w:eastAsia="Consolas" w:hAnsi="Consolas"/>
          <w:b w:val="false"/>
          <w:bCs w:val="false"/>
          <w:i w:val="false"/>
          <w:iCs w:val="false"/>
          <w:color w:val="8B1E2D"/>
          <w:sz w:val="19"/>
          <w:szCs w:val="19"/>
        </w:rPr>
        <w:t xml:space="preserve">lecturer_id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valid_from</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valid_to</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is_active</w:t>
      </w:r>
      <w:r>
        <w:rPr>
          <w:rFonts w:ascii="Calibri" w:cs="Calibri" w:eastAsia="Calibri" w:hAnsi="Calibri"/>
          <w:b w:val="false"/>
          <w:bCs w:val="false"/>
          <w:i w:val="false"/>
          <w:iCs w:val="false"/>
          <w:color w:val="1A1A1A"/>
          <w:sz w:val="21"/>
          <w:szCs w:val="21"/>
        </w:rPr>
        <w:t xml:space="preserve">, plus who assigned and who ended it.</w:t>
      </w:r>
    </w:p>
    <w:p>
      <w:pPr>
        <w:spacing w:after="150" w:line="276"/>
      </w:pPr>
      <w:r>
        <w:rPr>
          <w:rFonts w:ascii="Calibri" w:cs="Calibri" w:eastAsia="Calibri" w:hAnsi="Calibri"/>
          <w:b w:val="false"/>
          <w:bCs w:val="false"/>
          <w:i w:val="false"/>
          <w:iCs w:val="false"/>
          <w:color w:val="1A1A1A"/>
          <w:sz w:val="21"/>
          <w:szCs w:val="21"/>
        </w:rPr>
        <w:t xml:space="preserve">A department can have only one active appointment at a time. Ending one and starting another is done by a single function so the two can never both be active.</w:t>
      </w:r>
    </w:p>
    <w:p>
      <w:r>
        <w:br w:type="page"/>
      </w:r>
    </w:p>
    <w:p>
      <w:pPr>
        <w:pStyle w:val="Heading1"/>
        <w:spacing w:after="170" w:before="380"/>
      </w:pPr>
      <w:r>
        <w:rPr>
          <w:rFonts w:ascii="Calibri" w:cs="Calibri" w:eastAsia="Calibri" w:hAnsi="Calibri"/>
          <w:b/>
          <w:bCs/>
          <w:color w:val="8B1E2D"/>
          <w:sz w:val="32"/>
          <w:szCs w:val="32"/>
        </w:rPr>
        <w:t xml:space="preserve">3. Courses and teaching</w:t>
      </w:r>
    </w:p>
    <w:p>
      <w:pPr>
        <w:pStyle w:val="Heading2"/>
        <w:spacing w:after="120" w:before="300"/>
      </w:pPr>
      <w:r>
        <w:rPr>
          <w:rFonts w:ascii="Calibri" w:cs="Calibri" w:eastAsia="Calibri" w:hAnsi="Calibri"/>
          <w:b/>
          <w:bCs/>
          <w:color w:val="1A1A1A"/>
          <w:sz w:val="26"/>
          <w:szCs w:val="26"/>
        </w:rPr>
        <w:t xml:space="preserve">3.1 courses</w:t>
      </w:r>
    </w:p>
    <w:p>
      <w:pPr>
        <w:spacing w:after="150" w:line="276"/>
      </w:pPr>
      <w:r>
        <w:rPr>
          <w:rFonts w:ascii="Calibri" w:cs="Calibri" w:eastAsia="Calibri" w:hAnsi="Calibri"/>
          <w:b w:val="false"/>
          <w:bCs w:val="false"/>
          <w:i w:val="false"/>
          <w:iCs w:val="false"/>
          <w:color w:val="1A1A1A"/>
          <w:sz w:val="21"/>
          <w:szCs w:val="21"/>
        </w:rPr>
        <w:t xml:space="preserve">230 rows. The catalogue.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course_code, title</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For example CO2206, Software Engineering.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value.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semester, 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Where it sits in the degree.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owns it.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Compulsory, Elective, or similar.</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minor_category</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minor stream it counts toward, if any.</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contributes_to_gpa</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for modules that are recorded but not counted.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ca_weight, ese_weight</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overall mark is split. Usually 0.30 and 0.70.</w:t>
            </w:r>
          </w:p>
        </w:tc>
      </w:tr>
    </w:tbl>
    <w:p>
      <w:pPr>
        <w:pStyle w:val="Heading2"/>
        <w:spacing w:after="120" w:before="300"/>
      </w:pPr>
      <w:r>
        <w:rPr>
          <w:rFonts w:ascii="Calibri" w:cs="Calibri" w:eastAsia="Calibri" w:hAnsi="Calibri"/>
          <w:b/>
          <w:bCs/>
          <w:color w:val="1A1A1A"/>
          <w:sz w:val="26"/>
          <w:szCs w:val="26"/>
        </w:rPr>
        <w:t xml:space="preserve">3.2 course_offerings</w:t>
      </w:r>
    </w:p>
    <w:p>
      <w:pPr>
        <w:spacing w:after="150" w:line="276"/>
      </w:pPr>
      <w:r>
        <w:rPr>
          <w:rFonts w:ascii="Calibri" w:cs="Calibri" w:eastAsia="Calibri" w:hAnsi="Calibri"/>
          <w:b w:val="false"/>
          <w:bCs w:val="false"/>
          <w:i w:val="false"/>
          <w:iCs w:val="false"/>
          <w:color w:val="1A1A1A"/>
          <w:sz w:val="21"/>
          <w:szCs w:val="21"/>
        </w:rPr>
        <w:t xml:space="preserve">129 rows. A course, delivered to a particular batch in a particular year.</w:t>
      </w:r>
    </w:p>
    <w:p>
      <w:pPr>
        <w:spacing w:after="150" w:line="276"/>
      </w:pPr>
      <w:r>
        <w:rPr>
          <w:rFonts w:ascii="Calibri" w:cs="Calibri" w:eastAsia="Calibri" w:hAnsi="Calibri"/>
          <w:b w:val="false"/>
          <w:bCs w:val="false"/>
          <w:i w:val="false"/>
          <w:iCs w:val="false"/>
          <w:color w:val="1A1A1A"/>
          <w:sz w:val="21"/>
          <w:szCs w:val="21"/>
        </w:rPr>
        <w:t xml:space="preserve">Columns: </w:t>
      </w:r>
      <w:r>
        <w:rPr>
          <w:rFonts w:ascii="Consolas" w:cs="Consolas" w:eastAsia="Consolas" w:hAnsi="Consolas"/>
          <w:b w:val="false"/>
          <w:bCs w:val="false"/>
          <w:i w:val="false"/>
          <w:iCs w:val="false"/>
          <w:color w:val="8B1E2D"/>
          <w:sz w:val="19"/>
          <w:szCs w:val="19"/>
        </w:rPr>
        <w:t xml:space="preserve">course_id</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academic_year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semester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batch_year</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department</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status</w:t>
      </w:r>
      <w:r>
        <w:rPr>
          <w:rFonts w:ascii="Calibri" w:cs="Calibri" w:eastAsia="Calibri" w:hAnsi="Calibri"/>
          <w:b w:val="false"/>
          <w:bCs w:val="false"/>
          <w:i w:val="false"/>
          <w:iCs w:val="false"/>
          <w:color w:val="1A1A1A"/>
          <w:sz w:val="21"/>
          <w:szCs w:val="21"/>
        </w:rPr>
        <w:t xml:space="preserve"> (active or archived).</w:t>
      </w:r>
    </w:p>
    <w:p>
      <w:pPr>
        <w:pStyle w:val="Heading2"/>
        <w:spacing w:after="120" w:before="300"/>
      </w:pPr>
      <w:r>
        <w:rPr>
          <w:rFonts w:ascii="Calibri" w:cs="Calibri" w:eastAsia="Calibri" w:hAnsi="Calibri"/>
          <w:b/>
          <w:bCs/>
          <w:color w:val="1A1A1A"/>
          <w:sz w:val="26"/>
          <w:szCs w:val="26"/>
        </w:rPr>
        <w:t xml:space="preserve">3.3 course_lecturers</w:t>
      </w:r>
    </w:p>
    <w:p>
      <w:pPr>
        <w:spacing w:after="150" w:line="276"/>
      </w:pPr>
      <w:r>
        <w:rPr>
          <w:rFonts w:ascii="Calibri" w:cs="Calibri" w:eastAsia="Calibri" w:hAnsi="Calibri"/>
          <w:b w:val="false"/>
          <w:bCs w:val="false"/>
          <w:i w:val="false"/>
          <w:iCs w:val="false"/>
          <w:color w:val="1A1A1A"/>
          <w:sz w:val="21"/>
          <w:szCs w:val="21"/>
        </w:rPr>
        <w:t xml:space="preserve">13 rows. Which lecturer teaches which offering.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lecturer_id</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link itself.</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assignment_role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or coordinator. An offering may have only one active coordinator.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False once the assignment ends. The row is kept.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assigned_by, assigned_at, ended_by, ended_at</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did what, and when.</w:t>
            </w:r>
          </w:p>
        </w:tc>
      </w:tr>
    </w:tbl>
    <w:p>
      <w:pPr>
        <w:pStyle w:val="Heading2"/>
        <w:spacing w:after="120" w:before="300"/>
      </w:pPr>
      <w:r>
        <w:rPr>
          <w:rFonts w:ascii="Calibri" w:cs="Calibri" w:eastAsia="Calibri" w:hAnsi="Calibri"/>
          <w:b/>
          <w:bCs/>
          <w:color w:val="1A1A1A"/>
          <w:sz w:val="26"/>
          <w:szCs w:val="26"/>
        </w:rPr>
        <w:t xml:space="preserve">3.4 curriculum_slots</w:t>
      </w:r>
    </w:p>
    <w:p>
      <w:pPr>
        <w:spacing w:after="150" w:line="276"/>
      </w:pPr>
      <w:r>
        <w:rPr>
          <w:rFonts w:ascii="Calibri" w:cs="Calibri" w:eastAsia="Calibri" w:hAnsi="Calibri"/>
          <w:b w:val="false"/>
          <w:bCs w:val="false"/>
          <w:i w:val="false"/>
          <w:iCs w:val="false"/>
          <w:color w:val="1A1A1A"/>
          <w:sz w:val="21"/>
          <w:szCs w:val="21"/>
        </w:rPr>
        <w:t xml:space="preserve">336 rows. What the Handbook says a department's degree must contain: which module sits in which semester, which basket it belongs to, and how many credits that basket requires. This is what the Graduation Planner compares a student against.</w:t>
      </w:r>
    </w:p>
    <w:p>
      <w:r>
        <w:br w:type="page"/>
      </w:r>
    </w:p>
    <w:p>
      <w:pPr>
        <w:pStyle w:val="Heading1"/>
        <w:spacing w:after="170" w:before="380"/>
      </w:pPr>
      <w:r>
        <w:rPr>
          <w:rFonts w:ascii="Calibri" w:cs="Calibri" w:eastAsia="Calibri" w:hAnsi="Calibri"/>
          <w:b/>
          <w:bCs/>
          <w:color w:val="8B1E2D"/>
          <w:sz w:val="32"/>
          <w:szCs w:val="32"/>
        </w:rPr>
        <w:t xml:space="preserve">4. Enrolment</w:t>
      </w:r>
    </w:p>
    <w:p>
      <w:pPr>
        <w:pStyle w:val="Heading2"/>
        <w:spacing w:after="120" w:before="300"/>
      </w:pPr>
      <w:r>
        <w:rPr>
          <w:rFonts w:ascii="Calibri" w:cs="Calibri" w:eastAsia="Calibri" w:hAnsi="Calibri"/>
          <w:b/>
          <w:bCs/>
          <w:color w:val="1A1A1A"/>
          <w:sz w:val="26"/>
          <w:szCs w:val="26"/>
        </w:rPr>
        <w:t xml:space="preserve">4.1 enrollment_periods</w:t>
      </w:r>
    </w:p>
    <w:p>
      <w:pPr>
        <w:spacing w:after="150" w:line="276"/>
      </w:pPr>
      <w:r>
        <w:rPr>
          <w:rFonts w:ascii="Calibri" w:cs="Calibri" w:eastAsia="Calibri" w:hAnsi="Calibri"/>
          <w:b w:val="false"/>
          <w:bCs w:val="false"/>
          <w:i w:val="false"/>
          <w:iCs w:val="false"/>
          <w:color w:val="1A1A1A"/>
          <w:sz w:val="21"/>
          <w:szCs w:val="21"/>
        </w:rPr>
        <w:t xml:space="preserve">5 rows. An enrolment window: a title, an academic year, a semester, a batch, a department, an opening time and a closing time.</w:t>
      </w:r>
    </w:p>
    <w:p>
      <w:pPr>
        <w:spacing w:after="150" w:line="276"/>
      </w:pPr>
      <w:r>
        <w:rPr>
          <w:rFonts w:ascii="Calibri" w:cs="Calibri" w:eastAsia="Calibri" w:hAnsi="Calibri"/>
          <w:b w:val="false"/>
          <w:bCs w:val="false"/>
          <w:i w:val="false"/>
          <w:iCs w:val="false"/>
          <w:color w:val="1A1A1A"/>
          <w:sz w:val="21"/>
          <w:szCs w:val="21"/>
        </w:rPr>
        <w:t xml:space="preserve">Status moves through draft, scheduled, open, closed, archived. Students can only enrol while a window covering their module is open.</w:t>
      </w:r>
    </w:p>
    <w:p>
      <w:pPr>
        <w:pStyle w:val="Heading2"/>
        <w:spacing w:after="120" w:before="300"/>
      </w:pPr>
      <w:r>
        <w:rPr>
          <w:rFonts w:ascii="Calibri" w:cs="Calibri" w:eastAsia="Calibri" w:hAnsi="Calibri"/>
          <w:b/>
          <w:bCs/>
          <w:color w:val="1A1A1A"/>
          <w:sz w:val="26"/>
          <w:szCs w:val="26"/>
        </w:rPr>
        <w:t xml:space="preserve">4.2 enrollments</w:t>
      </w:r>
    </w:p>
    <w:p>
      <w:pPr>
        <w:spacing w:after="150" w:line="276"/>
      </w:pPr>
      <w:r>
        <w:rPr>
          <w:rFonts w:ascii="Calibri" w:cs="Calibri" w:eastAsia="Calibri" w:hAnsi="Calibri"/>
          <w:b w:val="false"/>
          <w:bCs w:val="false"/>
          <w:i w:val="false"/>
          <w:iCs w:val="false"/>
          <w:color w:val="1A1A1A"/>
          <w:sz w:val="21"/>
          <w:szCs w:val="21"/>
        </w:rPr>
        <w:t xml:space="preserve">5,624 rows. The single most important table for the academic record after results.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66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6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is taking what.</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academic_year</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year they are taking it in.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 dropped or completed.</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enrollment_kind</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 repeat_r, repeat_l or repeat_f. This is the interesting one.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enrolled_with_batch</w:t>
            </w:r>
          </w:p>
        </w:tc>
        <w:tc>
          <w:tcPr>
            <w:tcW w:type="dxa" w:w="66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batch they are sitting with. A repeating student often sits with the batch below.</w:t>
            </w:r>
          </w:p>
        </w:tc>
      </w:tr>
    </w:tbl>
    <w:p>
      <w:pPr>
        <w:pStyle w:val="Heading3"/>
        <w:spacing w:after="90" w:before="220"/>
      </w:pPr>
      <w:r>
        <w:rPr>
          <w:rFonts w:ascii="Calibri" w:cs="Calibri" w:eastAsia="Calibri" w:hAnsi="Calibri"/>
          <w:b/>
          <w:bCs/>
          <w:color w:val="8B1E2D"/>
          <w:sz w:val="23"/>
          <w:szCs w:val="23"/>
        </w:rPr>
        <w:t xml:space="preserve">The four enrolment kinds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300"/>
        <w:gridCol w:w="1900"/>
        <w:gridCol w:w="3900"/>
        <w:gridCol w:w="1926"/>
      </w:tblGrid>
      <w:tr>
        <w:trPr>
          <w:tblHeader/>
        </w:trPr>
        <w:tc>
          <w:tcPr>
            <w:tcW w:type="dxa" w:w="13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c>
          <w:tcPr>
            <w:tcW w:type="dxa" w:w="3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 student must do</w:t>
            </w:r>
          </w:p>
        </w:tc>
        <w:tc>
          <w:tcPr>
            <w:tcW w:type="dxa" w:w="1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Grade cap</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regular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Normal first attempt</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module normally</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repeat_r</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R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 the end-of-semester exam only. The continuous assessment mark is carried forward.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repeat_f</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F grade</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Follow the whole module again, continuous assessment included.</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r>
      <w:tr>
        <w:tc>
          <w:tcPr>
            <w:tcW w:type="dxa" w:w="1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repeat_l</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Carrying an L grade (approved medical)</w:t>
            </w:r>
          </w:p>
        </w:tc>
        <w:tc>
          <w:tcPr>
            <w:tcW w:type="dxa" w:w="3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Take the module again</w:t>
            </w:r>
          </w:p>
        </w:tc>
        <w:tc>
          <w:tcPr>
            <w:tcW w:type="dxa" w:w="1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None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A RULE THAT WAS MISSING UNTIL RECENTLY</w:t>
            </w:r>
          </w:p>
          <w:p>
            <w:pPr>
              <w:spacing w:line="276"/>
            </w:pPr>
            <w:r>
              <w:rPr>
                <w:rFonts w:ascii="Calibri" w:cs="Calibri" w:eastAsia="Calibri" w:hAnsi="Calibri"/>
                <w:color w:val="1A1A1A"/>
                <w:sz w:val="20"/>
                <w:szCs w:val="20"/>
              </w:rPr>
              <w:t xml:space="preserve">Until 9 September 2026 only R and L had an enrolment path. A student carrying an F had no way to enrol and therefore no way to clear the module. repeat_f was added to close that gap, and the grade cap now applies to R and F but not to L.</w:t>
            </w:r>
          </w:p>
        </w:tc>
      </w:tr>
    </w:tbl>
    <w:p>
      <w:r>
        <w:br w:type="page"/>
      </w:r>
    </w:p>
    <w:p>
      <w:pPr>
        <w:pStyle w:val="Heading1"/>
        <w:spacing w:after="170" w:before="380"/>
      </w:pPr>
      <w:r>
        <w:rPr>
          <w:rFonts w:ascii="Calibri" w:cs="Calibri" w:eastAsia="Calibri" w:hAnsi="Calibri"/>
          <w:b/>
          <w:bCs/>
          <w:color w:val="8B1E2D"/>
          <w:sz w:val="32"/>
          <w:szCs w:val="32"/>
        </w:rPr>
        <w:t xml:space="preserve">5. Attendance</w:t>
      </w:r>
    </w:p>
    <w:p>
      <w:pPr>
        <w:spacing w:after="150" w:line="276"/>
      </w:pPr>
      <w:r>
        <w:rPr>
          <w:rFonts w:ascii="Calibri" w:cs="Calibri" w:eastAsia="Calibri" w:hAnsi="Calibri"/>
          <w:b w:val="false"/>
          <w:bCs w:val="false"/>
          <w:i w:val="false"/>
          <w:iCs w:val="false"/>
          <w:color w:val="1A1A1A"/>
          <w:sz w:val="21"/>
          <w:szCs w:val="21"/>
        </w:rPr>
        <w:t xml:space="preserve">Attendance is recorded two ways: a live session students check into, or a register an admin marks by hand. Both end up in the same table.</w:t>
      </w:r>
    </w:p>
    <w:p>
      <w:pPr>
        <w:pStyle w:val="Heading2"/>
        <w:spacing w:after="120" w:before="300"/>
      </w:pPr>
      <w:r>
        <w:rPr>
          <w:rFonts w:ascii="Calibri" w:cs="Calibri" w:eastAsia="Calibri" w:hAnsi="Calibri"/>
          <w:b/>
          <w:bCs/>
          <w:color w:val="1A1A1A"/>
          <w:sz w:val="26"/>
          <w:szCs w:val="26"/>
        </w:rPr>
        <w:t xml:space="preserve">5.1 attendance</w:t>
      </w:r>
    </w:p>
    <w:p>
      <w:pPr>
        <w:spacing w:after="150" w:line="276"/>
      </w:pPr>
      <w:r>
        <w:rPr>
          <w:rFonts w:ascii="Calibri" w:cs="Calibri" w:eastAsia="Calibri" w:hAnsi="Calibri"/>
          <w:b w:val="false"/>
          <w:bCs w:val="false"/>
          <w:i w:val="false"/>
          <w:iCs w:val="false"/>
          <w:color w:val="1A1A1A"/>
          <w:sz w:val="21"/>
          <w:szCs w:val="21"/>
        </w:rPr>
        <w:t xml:space="preserve">The final record. One row per student, per course, per lecture date.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student_id, course_id, lecture_date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Together these are unique. One student cannot have two records for the same lecture.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present, absent or excused.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method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it was recorded.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excused_via_submission_id</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Points at the medical submission that excused this absence, if any.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offering_id, recorded_by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delivery, and who recorded it.</w:t>
            </w:r>
          </w:p>
        </w:tc>
      </w:tr>
    </w:tbl>
    <w:p>
      <w:pPr>
        <w:pStyle w:val="Heading2"/>
        <w:spacing w:after="120" w:before="300"/>
      </w:pPr>
      <w:r>
        <w:rPr>
          <w:rFonts w:ascii="Calibri" w:cs="Calibri" w:eastAsia="Calibri" w:hAnsi="Calibri"/>
          <w:b/>
          <w:bCs/>
          <w:color w:val="1A1A1A"/>
          <w:sz w:val="26"/>
          <w:szCs w:val="26"/>
        </w:rPr>
        <w:t xml:space="preserve">5.2 The live session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61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6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attendance_sessions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open window. Holds a secret, a rotation interval, and optionally a location and radius so check-ins can be limited to the lecture hall.</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attendance_checkins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student's check-in, with device hash and coordinates.</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attendance_presence_checks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surprise 'are you still here?' prompt the lecturer can fire mid-lecture.</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attendance_presence_responses</w:t>
            </w:r>
          </w:p>
        </w:tc>
        <w:tc>
          <w:tcPr>
            <w:tcW w:type="dxa" w:w="6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answered that prompt.</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rotating code is why a student cannot send a screenshot of the QR code to a friend outside the hall. The code changes every few seconds, and it is computed from the session secret rather than stored, so reading the table would not help either.</w:t>
      </w:r>
    </w:p>
    <w:p>
      <w:r>
        <w:br w:type="page"/>
      </w:r>
    </w:p>
    <w:p>
      <w:pPr>
        <w:pStyle w:val="Heading1"/>
        <w:spacing w:after="170" w:before="380"/>
      </w:pPr>
      <w:r>
        <w:rPr>
          <w:rFonts w:ascii="Calibri" w:cs="Calibri" w:eastAsia="Calibri" w:hAnsi="Calibri"/>
          <w:b/>
          <w:bCs/>
          <w:color w:val="8B1E2D"/>
          <w:sz w:val="32"/>
          <w:szCs w:val="32"/>
        </w:rPr>
        <w:t xml:space="preserve">6. Results</w:t>
      </w:r>
    </w:p>
    <w:p>
      <w:pPr>
        <w:pStyle w:val="Heading2"/>
        <w:spacing w:after="120" w:before="300"/>
      </w:pPr>
      <w:r>
        <w:rPr>
          <w:rFonts w:ascii="Calibri" w:cs="Calibri" w:eastAsia="Calibri" w:hAnsi="Calibri"/>
          <w:b/>
          <w:bCs/>
          <w:color w:val="1A1A1A"/>
          <w:sz w:val="26"/>
          <w:szCs w:val="26"/>
        </w:rPr>
        <w:t xml:space="preserve">6.1 results</w:t>
      </w:r>
    </w:p>
    <w:p>
      <w:pPr>
        <w:spacing w:after="150" w:line="276"/>
      </w:pPr>
      <w:r>
        <w:rPr>
          <w:rFonts w:ascii="Calibri" w:cs="Calibri" w:eastAsia="Calibri" w:hAnsi="Calibri"/>
          <w:b w:val="false"/>
          <w:bCs w:val="false"/>
          <w:i w:val="false"/>
          <w:iCs w:val="false"/>
          <w:color w:val="1A1A1A"/>
          <w:sz w:val="21"/>
          <w:szCs w:val="21"/>
        </w:rPr>
        <w:t xml:space="preserve">7,392 rows and 26 columns — the widest table in the system. The width is not carelessness; each group of columns records a different stage of the workflow.</w:t>
      </w:r>
    </w:p>
    <w:p>
      <w:pPr>
        <w:pStyle w:val="Heading3"/>
        <w:spacing w:after="90" w:before="220"/>
      </w:pPr>
      <w:r>
        <w:rPr>
          <w:rFonts w:ascii="Calibri" w:cs="Calibri" w:eastAsia="Calibri" w:hAnsi="Calibri"/>
          <w:b/>
          <w:bCs/>
          <w:color w:val="8B1E2D"/>
          <w:sz w:val="23"/>
          <w:szCs w:val="23"/>
        </w:rPr>
        <w:t xml:space="preserve">The marks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6926"/>
      </w:tblGrid>
      <w:tr>
        <w:trPr>
          <w:tblHeader/>
        </w:trPr>
        <w:tc>
          <w:tcPr>
            <w:tcW w:type="dxa" w:w="2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mid_sem_mark, ca_mark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Continuous assessment marks.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ese_mark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End of semester exam mark.</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oa_mark</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Overall mark, built from CA and ESE using the weights on the course.</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letter grade, from the grade boundaries.</w:t>
            </w:r>
          </w:p>
        </w:tc>
      </w:tr>
      <w:tr>
        <w:tc>
          <w:tcPr>
            <w:tcW w:type="dxa" w:w="2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w:t>
            </w:r>
          </w:p>
        </w:tc>
        <w:tc>
          <w:tcPr>
            <w:tcW w:type="dxa" w:w="6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grade point value, from the GPV scale.</w:t>
            </w:r>
          </w:p>
        </w:tc>
      </w:tr>
    </w:tbl>
    <w:p>
      <w:pPr>
        <w:pStyle w:val="Heading3"/>
        <w:spacing w:after="90" w:before="220"/>
      </w:pPr>
      <w:r>
        <w:rPr>
          <w:rFonts w:ascii="Calibri" w:cs="Calibri" w:eastAsia="Calibri" w:hAnsi="Calibri"/>
          <w:b/>
          <w:bCs/>
          <w:color w:val="8B1E2D"/>
          <w:sz w:val="23"/>
          <w:szCs w:val="23"/>
        </w:rPr>
        <w:t xml:space="preserve">The workflow</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Column</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status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draft, submitted or published.</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entered_by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lecturer who typed the marks.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submitted_by, submitted_at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Who sent them for approval, and when.</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returned_by, returned_at, return_notes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If the head of department sent them back, who and why.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is_published, published_at, published_by</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moment the student can finally see it.</w:t>
            </w:r>
          </w:p>
        </w:tc>
      </w:tr>
    </w:tbl>
    <w:p>
      <w:pPr>
        <w:pStyle w:val="Heading3"/>
        <w:spacing w:after="90" w:before="220"/>
      </w:pPr>
      <w:r>
        <w:rPr>
          <w:rFonts w:ascii="Calibri" w:cs="Calibri" w:eastAsia="Calibri" w:hAnsi="Calibri"/>
          <w:b/>
          <w:bCs/>
          <w:color w:val="8B1E2D"/>
          <w:sz w:val="23"/>
          <w:szCs w:val="23"/>
        </w:rPr>
        <w:t xml:space="preserve">Corrections</w:t>
      </w:r>
    </w:p>
    <w:p>
      <w:pPr>
        <w:spacing w:after="150" w:line="276"/>
      </w:pPr>
      <w:r>
        <w:rPr>
          <w:rFonts w:ascii="Calibri" w:cs="Calibri" w:eastAsia="Calibri" w:hAnsi="Calibri"/>
          <w:b w:val="false"/>
          <w:bCs w:val="false"/>
          <w:i w:val="false"/>
          <w:iCs w:val="false"/>
          <w:color w:val="1A1A1A"/>
          <w:sz w:val="21"/>
          <w:szCs w:val="21"/>
        </w:rPr>
        <w:t xml:space="preserve">If a published grade has to change, the original is preserved in </w:t>
      </w:r>
      <w:r>
        <w:rPr>
          <w:rFonts w:ascii="Consolas" w:cs="Consolas" w:eastAsia="Consolas" w:hAnsi="Consolas"/>
          <w:b w:val="false"/>
          <w:bCs w:val="false"/>
          <w:i w:val="false"/>
          <w:iCs w:val="false"/>
          <w:color w:val="8B1E2D"/>
          <w:sz w:val="19"/>
          <w:szCs w:val="19"/>
        </w:rPr>
        <w:t xml:space="preserve">original_grade</w:t>
      </w:r>
      <w:r>
        <w:rPr>
          <w:rFonts w:ascii="Calibri" w:cs="Calibri" w:eastAsia="Calibri" w:hAnsi="Calibri"/>
          <w:b w:val="false"/>
          <w:bCs w:val="false"/>
          <w:i w:val="false"/>
          <w:iCs w:val="false"/>
          <w:color w:val="1A1A1A"/>
          <w:sz w:val="21"/>
          <w:szCs w:val="21"/>
        </w:rPr>
        <w:t xml:space="preserve"> and the change is recorded in </w:t>
      </w:r>
      <w:r>
        <w:rPr>
          <w:rFonts w:ascii="Consolas" w:cs="Consolas" w:eastAsia="Consolas" w:hAnsi="Consolas"/>
          <w:b w:val="false"/>
          <w:bCs w:val="false"/>
          <w:i w:val="false"/>
          <w:iCs w:val="false"/>
          <w:color w:val="8B1E2D"/>
          <w:sz w:val="19"/>
          <w:szCs w:val="19"/>
        </w:rPr>
        <w:t xml:space="preserve">corrected_by</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corrected_at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correction_reason</w:t>
      </w:r>
      <w:r>
        <w:rPr>
          <w:rFonts w:ascii="Calibri" w:cs="Calibri" w:eastAsia="Calibri" w:hAnsi="Calibri"/>
          <w:b w:val="false"/>
          <w:bCs w:val="false"/>
          <w:i w:val="false"/>
          <w:iCs w:val="false"/>
          <w:color w:val="1A1A1A"/>
          <w:sz w:val="21"/>
          <w:szCs w:val="21"/>
        </w:rPr>
        <w:t xml:space="preserve">. A correction never silently overwrites history.</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RULE THIS TABLE EXISTS TO ENFORCE</w:t>
            </w:r>
          </w:p>
          <w:p>
            <w:pPr>
              <w:spacing w:line="276"/>
            </w:pPr>
            <w:r>
              <w:rPr>
                <w:rFonts w:ascii="Calibri" w:cs="Calibri" w:eastAsia="Calibri" w:hAnsi="Calibri"/>
                <w:color w:val="1A1A1A"/>
                <w:sz w:val="20"/>
                <w:szCs w:val="20"/>
              </w:rPr>
              <w:t xml:space="preserve">A student may not see a mark before it is published. That is not a preference — it is the reason results are read through a function rather than straight from the table, and why the my_published_results view exists.</w:t>
            </w:r>
          </w:p>
        </w:tc>
      </w:tr>
    </w:tbl>
    <w:p>
      <w:r>
        <w:br w:type="page"/>
      </w:r>
    </w:p>
    <w:p>
      <w:pPr>
        <w:pStyle w:val="Heading1"/>
        <w:spacing w:after="170" w:before="380"/>
      </w:pPr>
      <w:r>
        <w:rPr>
          <w:rFonts w:ascii="Calibri" w:cs="Calibri" w:eastAsia="Calibri" w:hAnsi="Calibri"/>
          <w:b/>
          <w:bCs/>
          <w:color w:val="8B1E2D"/>
          <w:sz w:val="32"/>
          <w:szCs w:val="32"/>
        </w:rPr>
        <w:t xml:space="preserve">7. Feedback</w:t>
      </w:r>
    </w:p>
    <w:p>
      <w:pPr>
        <w:spacing w:after="150" w:line="276"/>
      </w:pPr>
      <w:r>
        <w:rPr>
          <w:rFonts w:ascii="Calibri" w:cs="Calibri" w:eastAsia="Calibri" w:hAnsi="Calibri"/>
          <w:b w:val="false"/>
          <w:bCs w:val="false"/>
          <w:i w:val="false"/>
          <w:iCs w:val="false"/>
          <w:color w:val="1A1A1A"/>
          <w:sz w:val="21"/>
          <w:szCs w:val="21"/>
        </w:rPr>
        <w:t xml:space="preserve">Eight tables, because feedback has more moving parts than it first appears: a form has to be requested, approved, filled in, and then reported on without ever exposing who said what.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100"/>
        <w:gridCol w:w="900"/>
        <w:gridCol w:w="5026"/>
      </w:tblGrid>
      <w:tr>
        <w:trPr>
          <w:tblHeader/>
        </w:trPr>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feedback round: title, dates, department, batch, and its approval state.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49</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question bank.</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feedback_period_questions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98</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questions this round uses.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courses this round covers.</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feedback_submissions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15</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student's response to one course. Carries the is_anonymous flag.</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feedback_answers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715</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individual answers: rating, text, single choice or multiple choice.</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legacy table, now empty and locked down.</w:t>
            </w:r>
          </w:p>
        </w:tc>
      </w:tr>
      <w:t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elective_credit_norms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5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Supporting reference data.</w:t>
            </w:r>
          </w:p>
        </w:tc>
      </w:tr>
    </w:tbl>
    <w:p>
      <w:pPr>
        <w:pStyle w:val="Heading3"/>
        <w:spacing w:after="90" w:before="220"/>
      </w:pPr>
      <w:r>
        <w:rPr>
          <w:rFonts w:ascii="Calibri" w:cs="Calibri" w:eastAsia="Calibri" w:hAnsi="Calibri"/>
          <w:b/>
          <w:bCs/>
          <w:color w:val="8B1E2D"/>
          <w:sz w:val="23"/>
          <w:szCs w:val="23"/>
        </w:rPr>
        <w:t xml:space="preserve">How a feedback round is approved</w:t>
      </w:r>
    </w:p>
    <w:p>
      <w:pPr>
        <w:spacing w:after="150" w:line="276"/>
      </w:pPr>
      <w:r>
        <w:rPr>
          <w:rFonts w:ascii="Calibri" w:cs="Calibri" w:eastAsia="Calibri" w:hAnsi="Calibri"/>
          <w:b w:val="false"/>
          <w:bCs w:val="false"/>
          <w:i w:val="false"/>
          <w:iCs w:val="false"/>
          <w:color w:val="1A1A1A"/>
          <w:sz w:val="21"/>
          <w:szCs w:val="21"/>
        </w:rPr>
        <w:t xml:space="preserve">A lecturer can request a round. It starts as </w:t>
      </w:r>
      <w:r>
        <w:rPr>
          <w:rFonts w:ascii="Consolas" w:cs="Consolas" w:eastAsia="Consolas" w:hAnsi="Consolas"/>
          <w:b w:val="false"/>
          <w:bCs w:val="false"/>
          <w:i w:val="false"/>
          <w:iCs w:val="false"/>
          <w:color w:val="8B1E2D"/>
          <w:sz w:val="19"/>
          <w:szCs w:val="19"/>
        </w:rPr>
        <w:t xml:space="preserve">status = draft</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approval_status = pending</w:t>
      </w:r>
      <w:r>
        <w:rPr>
          <w:rFonts w:ascii="Calibri" w:cs="Calibri" w:eastAsia="Calibri" w:hAnsi="Calibri"/>
          <w:b w:val="false"/>
          <w:bCs w:val="false"/>
          <w:i w:val="false"/>
          <w:iCs w:val="false"/>
          <w:color w:val="1A1A1A"/>
          <w:sz w:val="21"/>
          <w:szCs w:val="21"/>
        </w:rPr>
        <w:t xml:space="preserve">. A department admin approves or rejects it. Only then can it open.</w:t>
      </w:r>
    </w:p>
    <w:p>
      <w:pPr>
        <w:pStyle w:val="Heading3"/>
        <w:spacing w:after="90" w:before="220"/>
      </w:pPr>
      <w:r>
        <w:rPr>
          <w:rFonts w:ascii="Calibri" w:cs="Calibri" w:eastAsia="Calibri" w:hAnsi="Calibri"/>
          <w:b/>
          <w:bCs/>
          <w:color w:val="8B1E2D"/>
          <w:sz w:val="23"/>
          <w:szCs w:val="23"/>
        </w:rPr>
        <w:t xml:space="preserve">How anonymity is protected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 submission can be marked anonymous, and the reports never join back to the student.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The setting feedback_min_responses_for_analytics is 5. Until a course has five responses, nobody — not the lecturer, not the head of department — can see the analytics. This stops a class of three being effectively de-anonymised.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Comments are read through a separate function from the ratings, so releasing one does not release the other.</w:t>
      </w:r>
    </w:p>
    <w:p>
      <w:r>
        <w:br w:type="page"/>
      </w:r>
    </w:p>
    <w:p>
      <w:pPr>
        <w:pStyle w:val="Heading1"/>
        <w:spacing w:after="170" w:before="380"/>
      </w:pPr>
      <w:r>
        <w:rPr>
          <w:rFonts w:ascii="Calibri" w:cs="Calibri" w:eastAsia="Calibri" w:hAnsi="Calibri"/>
          <w:b/>
          <w:bCs/>
          <w:color w:val="8B1E2D"/>
          <w:sz w:val="32"/>
          <w:szCs w:val="32"/>
        </w:rPr>
        <w:t xml:space="preserve">8. Medical certificates</w:t>
      </w:r>
    </w:p>
    <w:p>
      <w:pPr>
        <w:spacing w:after="150" w:line="276"/>
      </w:pPr>
      <w:r>
        <w:rPr>
          <w:rFonts w:ascii="Calibri" w:cs="Calibri" w:eastAsia="Calibri" w:hAnsi="Calibri"/>
          <w:b w:val="false"/>
          <w:bCs w:val="false"/>
          <w:i w:val="false"/>
          <w:iCs w:val="false"/>
          <w:color w:val="1A1A1A"/>
          <w:sz w:val="21"/>
          <w:szCs w:val="21"/>
        </w:rPr>
        <w:t xml:space="preserve">Three tables. The design point is that a certificate is approved per module, not as a whole.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58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5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submission: student, dates missed, reason type, description, deadline, and overall status.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medical_submission_courses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One row per module the certificate is claimed against, each with its own review_status, reviewer and notes.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medical_submission_files</w:t>
            </w:r>
          </w:p>
        </w:tc>
        <w:tc>
          <w:tcPr>
            <w:tcW w:type="dxa" w:w="5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uploaded certificate files, held in a private storage bucket.</w:t>
            </w:r>
          </w:p>
        </w:tc>
      </w:tr>
    </w:tbl>
    <w:p>
      <w:pPr>
        <w:spacing w:after="150" w:line="276"/>
      </w:pPr>
      <w:r>
        <w:rPr>
          <w:rFonts w:ascii="Calibri" w:cs="Calibri" w:eastAsia="Calibri" w:hAnsi="Calibri"/>
          <w:b w:val="false"/>
          <w:bCs w:val="false"/>
          <w:i w:val="false"/>
          <w:iCs w:val="false"/>
          <w:color w:val="1A1A1A"/>
          <w:sz w:val="21"/>
          <w:szCs w:val="21"/>
        </w:rPr>
        <w:t xml:space="preserve">This is why the parent status can be </w:t>
      </w:r>
      <w:r>
        <w:rPr>
          <w:rFonts w:ascii="Consolas" w:cs="Consolas" w:eastAsia="Consolas" w:hAnsi="Consolas"/>
          <w:b w:val="false"/>
          <w:bCs w:val="false"/>
          <w:i w:val="false"/>
          <w:iCs w:val="false"/>
          <w:color w:val="8B1E2D"/>
          <w:sz w:val="19"/>
          <w:szCs w:val="19"/>
        </w:rPr>
        <w:t xml:space="preserve">partially_approved</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mixed</w:t>
      </w:r>
      <w:r>
        <w:rPr>
          <w:rFonts w:ascii="Calibri" w:cs="Calibri" w:eastAsia="Calibri" w:hAnsi="Calibri"/>
          <w:b w:val="false"/>
          <w:bCs w:val="false"/>
          <w:i w:val="false"/>
          <w:iCs w:val="false"/>
          <w:color w:val="1A1A1A"/>
          <w:sz w:val="21"/>
          <w:szCs w:val="21"/>
        </w:rPr>
        <w:t xml:space="preserve">. An admin can accept the certificate for two modules and reject it for a third.</w:t>
      </w:r>
    </w:p>
    <w:p>
      <w:pPr>
        <w:spacing w:after="150" w:line="276"/>
      </w:pPr>
      <w:r>
        <w:rPr>
          <w:rFonts w:ascii="Calibri" w:cs="Calibri" w:eastAsia="Calibri" w:hAnsi="Calibri"/>
          <w:b w:val="false"/>
          <w:bCs w:val="false"/>
          <w:i w:val="false"/>
          <w:iCs w:val="false"/>
          <w:color w:val="1A1A1A"/>
          <w:sz w:val="21"/>
          <w:szCs w:val="21"/>
        </w:rPr>
        <w:t xml:space="preserve">An approval writes back into attendance: the affected rows become </w:t>
      </w:r>
      <w:r>
        <w:rPr>
          <w:rFonts w:ascii="Consolas" w:cs="Consolas" w:eastAsia="Consolas" w:hAnsi="Consolas"/>
          <w:b w:val="false"/>
          <w:bCs w:val="false"/>
          <w:i w:val="false"/>
          <w:iCs w:val="false"/>
          <w:color w:val="8B1E2D"/>
          <w:sz w:val="19"/>
          <w:szCs w:val="19"/>
        </w:rPr>
        <w:t xml:space="preserve">excused</w:t>
      </w:r>
      <w:r>
        <w:rPr>
          <w:rFonts w:ascii="Calibri" w:cs="Calibri" w:eastAsia="Calibri" w:hAnsi="Calibri"/>
          <w:b w:val="false"/>
          <w:bCs w:val="false"/>
          <w:i w:val="false"/>
          <w:iCs w:val="false"/>
          <w:color w:val="1A1A1A"/>
          <w:sz w:val="21"/>
          <w:szCs w:val="21"/>
        </w:rPr>
        <w:t xml:space="preserve"> and point at the submission through </w:t>
      </w:r>
      <w:r>
        <w:rPr>
          <w:rFonts w:ascii="Consolas" w:cs="Consolas" w:eastAsia="Consolas" w:hAnsi="Consolas"/>
          <w:b w:val="false"/>
          <w:bCs w:val="false"/>
          <w:i w:val="false"/>
          <w:iCs w:val="false"/>
          <w:color w:val="8B1E2D"/>
          <w:sz w:val="19"/>
          <w:szCs w:val="19"/>
        </w:rPr>
        <w:t xml:space="preserve">excused_via_submission_id</w:t>
      </w:r>
      <w:r>
        <w:rPr>
          <w:rFonts w:ascii="Calibri" w:cs="Calibri" w:eastAsia="Calibri" w:hAnsi="Calibri"/>
          <w:b w:val="false"/>
          <w:bCs w:val="false"/>
          <w:i w:val="false"/>
          <w:iCs w:val="false"/>
          <w:color w:val="1A1A1A"/>
          <w:sz w:val="21"/>
          <w:szCs w:val="21"/>
        </w:rPr>
        <w:t xml:space="preserve">.</w:t>
      </w:r>
    </w:p>
    <w:p>
      <w:pPr>
        <w:pStyle w:val="Heading1"/>
        <w:spacing w:after="170" w:before="380"/>
      </w:pPr>
      <w:r>
        <w:rPr>
          <w:rFonts w:ascii="Calibri" w:cs="Calibri" w:eastAsia="Calibri" w:hAnsi="Calibri"/>
          <w:b/>
          <w:bCs/>
          <w:color w:val="8B1E2D"/>
          <w:sz w:val="32"/>
          <w:szCs w:val="32"/>
        </w:rPr>
        <w:t xml:space="preserve">9. Mentoring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00"/>
        <w:gridCol w:w="900"/>
        <w:gridCol w:w="5226"/>
      </w:tblGrid>
      <w:tr>
        <w:trPr>
          <w:tblHeader/>
        </w:trPr>
        <w:tc>
          <w:tcPr>
            <w:tcW w:type="dxa" w:w="2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mentor_assignments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23</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mentors which student, with start, end and reason.</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mentor_messages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chat. Sender role, body, sent time, read time, and optional file attachment.</w:t>
            </w:r>
          </w:p>
        </w:tc>
      </w:tr>
      <w:tr>
        <w:tc>
          <w:tcPr>
            <w:tcW w:type="dxa" w:w="2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mentor_notes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mentor's private notes. The student can never see these.</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PRIVACY LINE INSIDE MENTORING</w:t>
            </w:r>
          </w:p>
          <w:p>
            <w:pPr>
              <w:spacing w:line="276"/>
            </w:pPr>
            <w:r>
              <w:rPr>
                <w:rFonts w:ascii="Calibri" w:cs="Calibri" w:eastAsia="Calibri" w:hAnsi="Calibri"/>
                <w:color w:val="1A1A1A"/>
                <w:sz w:val="20"/>
                <w:szCs w:val="20"/>
              </w:rPr>
              <w:t xml:space="preserve">Messages are visible to both people in the thread. Notes are visible only to the mentor who wrote them. These are two separate tables with two separate policies precisely so the line cannot be blurred by a mistake in one query.</w:t>
            </w:r>
          </w:p>
        </w:tc>
      </w:tr>
    </w:tbl>
    <w:p>
      <w:r>
        <w:br w:type="page"/>
      </w:r>
    </w:p>
    <w:p>
      <w:pPr>
        <w:pStyle w:val="Heading1"/>
        <w:spacing w:after="170" w:before="380"/>
      </w:pPr>
      <w:r>
        <w:rPr>
          <w:rFonts w:ascii="Calibri" w:cs="Calibri" w:eastAsia="Calibri" w:hAnsi="Calibri"/>
          <w:b/>
          <w:bCs/>
          <w:color w:val="8B1E2D"/>
          <w:sz w:val="32"/>
          <w:szCs w:val="32"/>
        </w:rPr>
        <w:t xml:space="preserve">10. Supporting tables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900"/>
        <w:gridCol w:w="49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Table</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Rows</w:t>
            </w:r>
          </w:p>
        </w:tc>
        <w:tc>
          <w:tcPr>
            <w:tcW w:type="dxa" w:w="49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is for</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system_settings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17</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regulation engine — thresholds, the grading scale, department names.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handbook_chunks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131</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Pieces of the Faculty Handbook with vector embeddings and a text index, for the AI Assistant's search.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ai_assistant_usage_log</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25</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often the assistant escalates to the paid model.</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minor_requirements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 totals each department sets for its minor streams.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Timetable data. Present but not yet used.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student_batch_changes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Audit trail for a student moving batch.</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enrollment_period_courses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Restricts a window to specific courses when needed.</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enrollments_backup_20260829</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5,629</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dated backup taken before a data migration.</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feedback_backup_20260829</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256</w:t>
            </w:r>
          </w:p>
        </w:tc>
        <w:tc>
          <w:tcPr>
            <w:tcW w:type="dxa" w:w="49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same, for feedback.</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two backup tables are leftovers from a August 2026 migration. They have Row Level Security switched off, which is safe only because no policy grants access to them at all — but they should be dropped once the migration is confirmed good.</w:t>
      </w:r>
    </w:p>
    <w:p>
      <w:r>
        <w:br w:type="page"/>
      </w:r>
    </w:p>
    <w:p>
      <w:pPr>
        <w:pStyle w:val="Heading1"/>
        <w:spacing w:after="170" w:before="380"/>
      </w:pPr>
      <w:r>
        <w:rPr>
          <w:rFonts w:ascii="Calibri" w:cs="Calibri" w:eastAsia="Calibri" w:hAnsi="Calibri"/>
          <w:b/>
          <w:bCs/>
          <w:color w:val="8B1E2D"/>
          <w:sz w:val="32"/>
          <w:szCs w:val="32"/>
        </w:rPr>
        <w:t xml:space="preserve">11. The function layer</w:t>
      </w:r>
    </w:p>
    <w:p>
      <w:pPr>
        <w:spacing w:after="150" w:line="276"/>
      </w:pPr>
      <w:r>
        <w:rPr>
          <w:rFonts w:ascii="Calibri" w:cs="Calibri" w:eastAsia="Calibri" w:hAnsi="Calibri"/>
          <w:b w:val="false"/>
          <w:bCs w:val="false"/>
          <w:i w:val="false"/>
          <w:iCs w:val="false"/>
          <w:color w:val="1A1A1A"/>
          <w:sz w:val="21"/>
          <w:szCs w:val="21"/>
        </w:rPr>
        <w:t xml:space="preserve">There are 139 functions written for this application, on top of the tables. They are the reason the browser can talk to the database directly without the rules leaking.</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1200"/>
        <w:gridCol w:w="54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Kind</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c>
          <w:tcPr>
            <w:tcW w:type="dxa" w:w="5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means</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DEFINER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127</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with the privileges of the function's owner, not the caller. It can see everything, so it must check for itself who is asking.</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SECURITY INVOKER</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5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as the caller. Row Level Security still applies to everything it touches.</w:t>
            </w:r>
          </w:p>
        </w:tc>
      </w:tr>
    </w:tbl>
    <w:p>
      <w:pPr>
        <w:pStyle w:val="Heading3"/>
        <w:spacing w:after="90" w:before="220"/>
      </w:pPr>
      <w:r>
        <w:rPr>
          <w:rFonts w:ascii="Calibri" w:cs="Calibri" w:eastAsia="Calibri" w:hAnsi="Calibri"/>
          <w:b/>
          <w:bCs/>
          <w:color w:val="8B1E2D"/>
          <w:sz w:val="23"/>
          <w:szCs w:val="23"/>
        </w:rPr>
        <w:t xml:space="preserve">Why so many are DEFINER</w:t>
      </w:r>
    </w:p>
    <w:p>
      <w:pPr>
        <w:spacing w:after="150" w:line="276"/>
      </w:pPr>
      <w:r>
        <w:rPr>
          <w:rFonts w:ascii="Calibri" w:cs="Calibri" w:eastAsia="Calibri" w:hAnsi="Calibri"/>
          <w:b w:val="false"/>
          <w:bCs w:val="false"/>
          <w:i w:val="false"/>
          <w:iCs w:val="false"/>
          <w:color w:val="1A1A1A"/>
          <w:sz w:val="21"/>
          <w:szCs w:val="21"/>
        </w:rPr>
        <w:t xml:space="preserve">Because most useful answers need data the caller may not read directly. A student may see their own published grade but not the results table. A definer function can read the table, apply the publication rule, and hand back only what is allowed.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DANGER OF DEFINER, AND THE RULE THAT FOLLOWS</w:t>
            </w:r>
          </w:p>
          <w:p>
            <w:pPr>
              <w:spacing w:line="276"/>
            </w:pPr>
            <w:r>
              <w:rPr>
                <w:rFonts w:ascii="Calibri" w:cs="Calibri" w:eastAsia="Calibri" w:hAnsi="Calibri"/>
                <w:color w:val="1A1A1A"/>
                <w:sz w:val="20"/>
                <w:szCs w:val="20"/>
              </w:rPr>
              <w:t xml:space="preserve">A definer function is powerful, so it must check the caller's role itself — and that check must fail closed. In September 2026 several of these checks were found to fail open when the role came back as NULL. Guide 4 explains the problem and the fix in detail.</w:t>
            </w:r>
          </w:p>
        </w:tc>
      </w:tr>
    </w:tbl>
    <w:p>
      <w:pPr>
        <w:pStyle w:val="Heading3"/>
        <w:spacing w:after="90" w:before="220"/>
      </w:pPr>
      <w:r>
        <w:rPr>
          <w:rFonts w:ascii="Calibri" w:cs="Calibri" w:eastAsia="Calibri" w:hAnsi="Calibri"/>
          <w:b/>
          <w:bCs/>
          <w:color w:val="8B1E2D"/>
          <w:sz w:val="23"/>
          <w:szCs w:val="23"/>
        </w:rPr>
        <w:t xml:space="preserve">The helper functions you will see everywhere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00"/>
        <w:gridCol w:w="6026"/>
      </w:tblGrid>
      <w:tr>
        <w:trPr>
          <w:tblHeader/>
        </w:trPr>
        <w:tc>
          <w:tcPr>
            <w:tcW w:type="dxa" w:w="3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Function</w:t>
            </w:r>
          </w:p>
        </w:tc>
        <w:tc>
          <w:tcPr>
            <w:tcW w:type="dxa" w:w="6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Answers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get_my_role()</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role is the caller? Returns empty text, never NULL.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get_my_department()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department does the caller administer?</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my_lecturer_id()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lecturer row is the caller, if any?</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is_active_hod_of(dept)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currently head that department?</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is_assigned_lecturer(offering)</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Does the caller teach that offering?</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is_my_mentee(student)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Is that student the caller's mentee?</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can_view_student_record(student)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May the caller see that student at all?</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current_semester_for_batch(year)</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semester is that batch in now?</w:t>
            </w:r>
          </w:p>
        </w:tc>
      </w:tr>
    </w:tbl>
    <w:p>
      <w:r>
        <w:br w:type="page"/>
      </w:r>
    </w:p>
    <w:p>
      <w:pPr>
        <w:pStyle w:val="Heading1"/>
        <w:spacing w:after="170" w:before="380"/>
      </w:pPr>
      <w:r>
        <w:rPr>
          <w:rFonts w:ascii="Calibri" w:cs="Calibri" w:eastAsia="Calibri" w:hAnsi="Calibri"/>
          <w:b/>
          <w:bCs/>
          <w:color w:val="8B1E2D"/>
          <w:sz w:val="32"/>
          <w:szCs w:val="32"/>
        </w:rPr>
        <w:t xml:space="preserve">12. File storage</w:t>
      </w:r>
    </w:p>
    <w:p>
      <w:pPr>
        <w:spacing w:after="150" w:line="276"/>
      </w:pPr>
      <w:r>
        <w:rPr>
          <w:rFonts w:ascii="Calibri" w:cs="Calibri" w:eastAsia="Calibri" w:hAnsi="Calibri"/>
          <w:b w:val="false"/>
          <w:bCs w:val="false"/>
          <w:i w:val="false"/>
          <w:iCs w:val="false"/>
          <w:color w:val="1A1A1A"/>
          <w:sz w:val="21"/>
          <w:szCs w:val="21"/>
        </w:rPr>
        <w:t xml:space="preserve">Uploaded files do not go in the database. They go in Supabase Storage, which has three buckets.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1200"/>
        <w:gridCol w:w="52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Bucket</w:t>
            </w:r>
          </w:p>
        </w:tc>
        <w:tc>
          <w:tcPr>
            <w:tcW w:type="dxa" w:w="1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Public?</w:t>
            </w:r>
          </w:p>
        </w:tc>
        <w:tc>
          <w:tcPr>
            <w:tcW w:type="dxa" w:w="5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Holds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Profile pictures. Public because a profile picture is not private.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medical-certificates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 certificate files. Reachable only through a signed, expiring link.</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mentor-attachments</w:t>
            </w:r>
          </w:p>
        </w:tc>
        <w:tc>
          <w:tcPr>
            <w:tcW w:type="dxa" w:w="1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Files sent inside a mentoring chat. Same protection.</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 private bucket means the file has no public URL at all. The application asks the database for a temporary signed link, and the database only issues one if the caller is allowed the file.</w:t>
      </w:r>
    </w:p>
    <w:p>
      <w:pPr>
        <w:pStyle w:val="Heading1"/>
        <w:spacing w:after="170" w:before="380"/>
      </w:pPr>
      <w:r>
        <w:rPr>
          <w:rFonts w:ascii="Calibri" w:cs="Calibri" w:eastAsia="Calibri" w:hAnsi="Calibri"/>
          <w:b/>
          <w:bCs/>
          <w:color w:val="8B1E2D"/>
          <w:sz w:val="32"/>
          <w:szCs w:val="32"/>
        </w:rPr>
        <w:t xml:space="preserve">13. Migrations</w:t>
      </w:r>
    </w:p>
    <w:p>
      <w:pPr>
        <w:spacing w:after="150" w:line="276"/>
      </w:pPr>
      <w:r>
        <w:rPr>
          <w:rFonts w:ascii="Calibri" w:cs="Calibri" w:eastAsia="Calibri" w:hAnsi="Calibri"/>
          <w:b w:val="false"/>
          <w:bCs w:val="false"/>
          <w:i w:val="false"/>
          <w:iCs w:val="false"/>
          <w:color w:val="1A1A1A"/>
          <w:sz w:val="21"/>
          <w:szCs w:val="21"/>
        </w:rPr>
        <w:t xml:space="preserve">Every database change is a numbered file under supabase/migrations/. There are 179. The name is the date and time it was applied, followed by a short description of what it did.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20260830144759_a_mentors_notes_are_their_own.sql</w:t>
            </w:r>
          </w:p>
          <w:p>
            <w:pPr>
              <w:spacing w:after="20" w:line="240"/>
            </w:pPr>
            <w:r>
              <w:rPr>
                <w:rFonts w:ascii="Consolas" w:cs="Consolas" w:eastAsia="Consolas" w:hAnsi="Consolas"/>
                <w:color w:val="23303B"/>
                <w:sz w:val="18"/>
                <w:szCs w:val="18"/>
              </w:rPr>
              <w:t xml:space="preserve">20260909143200_a_guard_that_cannot_answer_must_refuse.sql</w:t>
            </w:r>
          </w:p>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20260909152838_a_lecturers_row_is_not_everyones_to_read.sql</w:t>
            </w:r>
          </w:p>
        </w:tc>
      </w:tr>
    </w:tbl>
    <w:p>
      <w:pPr>
        <w:spacing w:after="150" w:line="276"/>
      </w:pPr>
      <w:r>
        <w:rPr>
          <w:rFonts w:ascii="Calibri" w:cs="Calibri" w:eastAsia="Calibri" w:hAnsi="Calibri"/>
          <w:b w:val="false"/>
          <w:bCs w:val="false"/>
          <w:i w:val="false"/>
          <w:iCs w:val="false"/>
          <w:color w:val="1A1A1A"/>
          <w:sz w:val="21"/>
          <w:szCs w:val="21"/>
        </w:rPr>
        <w:t xml:space="preserve">Read in order, these files are the honest history of the database — including the mistakes and the fixes. If you ever wonder why a table looks the way it does, the answer is in one of these files.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2026-09-11T12:17:20.134Z</dcterms:created>
  <dcterms:modified xsi:type="dcterms:W3CDTF">2026-09-11T12:17:20.134Z</dcterms:modified>
</cp:coreProperties>
</file>

<file path=docProps/custom.xml><?xml version="1.0" encoding="utf-8"?>
<Properties xmlns="http://schemas.openxmlformats.org/officeDocument/2006/custom-properties" xmlns:vt="http://schemas.openxmlformats.org/officeDocument/2006/docPropsVTypes"/>
</file>