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AB5" w:rsidRPr="000C1941" w:rsidRDefault="008F5F66">
      <w:pPr>
        <w:rPr>
          <w:rFonts w:ascii="Times New Roman" w:hAnsi="Times New Roman" w:cs="Times New Roman"/>
          <w:b/>
        </w:rPr>
      </w:pPr>
      <w:r w:rsidRPr="000C1941">
        <w:rPr>
          <w:rFonts w:ascii="Times New Roman" w:hAnsi="Times New Roman" w:cs="Times New Roman"/>
          <w:b/>
        </w:rPr>
        <w:t>3.1 Introduction</w:t>
      </w:r>
    </w:p>
    <w:p w:rsidR="00591EBE" w:rsidRPr="00591EBE" w:rsidRDefault="00591EBE" w:rsidP="00591EBE">
      <w:pPr>
        <w:spacing w:before="100" w:beforeAutospacing="1" w:after="100" w:afterAutospacing="1" w:line="240" w:lineRule="auto"/>
        <w:rPr>
          <w:rFonts w:ascii="Times New Roman" w:eastAsia="Times New Roman" w:hAnsi="Times New Roman" w:cs="Times New Roman"/>
          <w:sz w:val="24"/>
          <w:szCs w:val="24"/>
        </w:rPr>
      </w:pPr>
      <w:r w:rsidRPr="00591EBE">
        <w:rPr>
          <w:rFonts w:ascii="Times New Roman" w:eastAsia="Times New Roman" w:hAnsi="Times New Roman" w:cs="Times New Roman"/>
          <w:sz w:val="24"/>
          <w:szCs w:val="24"/>
        </w:rPr>
        <w:t>This chapter explains the research methodology used to measure the impact of corporate governance on dividend policy in the selected non-financial firms listed on the Colombo Stock Exchange. It’s included with research design, population and sample selection, data collection methods, variable measurement, and analytical techniques used in the study.</w:t>
      </w:r>
    </w:p>
    <w:p w:rsidR="00591EBE" w:rsidRDefault="00591EBE" w:rsidP="00591EBE">
      <w:pPr>
        <w:spacing w:before="100" w:beforeAutospacing="1" w:after="100" w:afterAutospacing="1" w:line="240" w:lineRule="auto"/>
        <w:rPr>
          <w:rFonts w:ascii="Times New Roman" w:eastAsia="Times New Roman" w:hAnsi="Times New Roman" w:cs="Times New Roman"/>
          <w:sz w:val="24"/>
          <w:szCs w:val="24"/>
        </w:rPr>
      </w:pPr>
      <w:r w:rsidRPr="00591EBE">
        <w:rPr>
          <w:rFonts w:ascii="Times New Roman" w:eastAsia="Times New Roman" w:hAnsi="Times New Roman" w:cs="Times New Roman"/>
          <w:sz w:val="24"/>
          <w:szCs w:val="24"/>
        </w:rPr>
        <w:t xml:space="preserve">This </w:t>
      </w:r>
      <w:r w:rsidR="00945C64" w:rsidRPr="00591EBE">
        <w:rPr>
          <w:rFonts w:ascii="Times New Roman" w:eastAsia="Times New Roman" w:hAnsi="Times New Roman" w:cs="Times New Roman"/>
          <w:sz w:val="24"/>
          <w:szCs w:val="24"/>
        </w:rPr>
        <w:t xml:space="preserve">methodology </w:t>
      </w:r>
      <w:r w:rsidRPr="00591EBE">
        <w:rPr>
          <w:rFonts w:ascii="Times New Roman" w:eastAsia="Times New Roman" w:hAnsi="Times New Roman" w:cs="Times New Roman"/>
          <w:sz w:val="24"/>
          <w:szCs w:val="24"/>
        </w:rPr>
        <w:t>is used to ensure that the research objectives are achieved reasonably and reliably. In this study, a quantitative method is used, and panel data are collected from annual reports of selected companies over a five-year period of time. Also, this chapter further explains the regression modules used to examine the relationship between corporate governance variables and dividend policy variables.</w:t>
      </w:r>
    </w:p>
    <w:p w:rsidR="00503384" w:rsidRPr="000E084F" w:rsidRDefault="00503384" w:rsidP="00503384">
      <w:pPr>
        <w:rPr>
          <w:rFonts w:ascii="Times New Roman" w:hAnsi="Times New Roman" w:cs="Times New Roman"/>
          <w:b/>
        </w:rPr>
      </w:pPr>
      <w:r w:rsidRPr="000E084F">
        <w:rPr>
          <w:rFonts w:ascii="Times New Roman" w:hAnsi="Times New Roman" w:cs="Times New Roman"/>
          <w:b/>
        </w:rPr>
        <w:t xml:space="preserve">3.2 Research design </w:t>
      </w:r>
    </w:p>
    <w:p w:rsidR="00503384" w:rsidRPr="000E084F" w:rsidRDefault="00503384" w:rsidP="00503384">
      <w:pPr>
        <w:rPr>
          <w:rFonts w:ascii="Times New Roman" w:hAnsi="Times New Roman" w:cs="Times New Roman"/>
        </w:rPr>
      </w:pPr>
      <w:r w:rsidRPr="000E084F">
        <w:rPr>
          <w:rFonts w:ascii="Times New Roman" w:hAnsi="Times New Roman" w:cs="Times New Roman"/>
        </w:rPr>
        <w:t>Research design refers to the overall plan and strategy used get answers of the research questions and achieve the research objectives of the study. This research adopts quantitative research approach as its analysis numerical data to examine the relationship between corporate governance and divided policy.</w:t>
      </w:r>
    </w:p>
    <w:p w:rsidR="00503384" w:rsidRPr="000E084F" w:rsidRDefault="00503384" w:rsidP="00503384">
      <w:pPr>
        <w:rPr>
          <w:rFonts w:ascii="Times New Roman" w:hAnsi="Times New Roman" w:cs="Times New Roman"/>
        </w:rPr>
      </w:pPr>
      <w:r w:rsidRPr="000E084F">
        <w:rPr>
          <w:rFonts w:ascii="Times New Roman" w:hAnsi="Times New Roman" w:cs="Times New Roman"/>
        </w:rPr>
        <w:t>This study is based on secondary data which is get from annual reports of selected non-financial companies of CSE in Sri Lanka. The use of secondary data ensures the reliability of results since those data are obtained from audited financial statements and corporate governance reports.</w:t>
      </w:r>
    </w:p>
    <w:p w:rsidR="00503384" w:rsidRPr="000E084F" w:rsidRDefault="00503384" w:rsidP="00503384">
      <w:pPr>
        <w:rPr>
          <w:rFonts w:ascii="Times New Roman" w:hAnsi="Times New Roman" w:cs="Times New Roman"/>
        </w:rPr>
      </w:pPr>
      <w:r w:rsidRPr="000E084F">
        <w:rPr>
          <w:rFonts w:ascii="Times New Roman" w:hAnsi="Times New Roman" w:cs="Times New Roman"/>
        </w:rPr>
        <w:t> The research follows descriptive and explanatory research design. The descriptive design used to summarize the data while explanatory design is used to identify and analysis the relationship between corporate governance mechanism and dividend policy.</w:t>
      </w:r>
    </w:p>
    <w:p w:rsidR="00503384" w:rsidRPr="000E084F" w:rsidRDefault="00503384" w:rsidP="00503384">
      <w:pPr>
        <w:rPr>
          <w:rFonts w:ascii="Times New Roman" w:hAnsi="Times New Roman" w:cs="Times New Roman"/>
        </w:rPr>
      </w:pPr>
      <w:r w:rsidRPr="000E084F">
        <w:rPr>
          <w:rFonts w:ascii="Times New Roman" w:hAnsi="Times New Roman" w:cs="Times New Roman"/>
        </w:rPr>
        <w:t>Furthermore, this study uses panel data analysis as it combines different companies in multiple years. The data cover period of five years allowing for a more comprehensive analysis between the relationship between corporate governance and dividend policy.</w:t>
      </w:r>
    </w:p>
    <w:p w:rsidR="00503384" w:rsidRPr="000E084F" w:rsidRDefault="00503384" w:rsidP="00503384">
      <w:pPr>
        <w:rPr>
          <w:rFonts w:ascii="Times New Roman" w:hAnsi="Times New Roman" w:cs="Times New Roman"/>
        </w:rPr>
      </w:pPr>
      <w:r w:rsidRPr="000E084F">
        <w:rPr>
          <w:rFonts w:ascii="Times New Roman" w:hAnsi="Times New Roman" w:cs="Times New Roman"/>
        </w:rPr>
        <w:t>Overall, this research design structured to show clear and systematic analysis of how corporate governance variables affect/influence dividend policy in non-financial listed companies in Sri Lanka.</w:t>
      </w:r>
    </w:p>
    <w:p w:rsidR="00503384" w:rsidRPr="000E084F" w:rsidRDefault="00503384" w:rsidP="00503384">
      <w:pPr>
        <w:rPr>
          <w:rFonts w:ascii="Times New Roman" w:hAnsi="Times New Roman" w:cs="Times New Roman"/>
          <w:b/>
        </w:rPr>
      </w:pPr>
      <w:r w:rsidRPr="000E084F">
        <w:rPr>
          <w:rFonts w:ascii="Times New Roman" w:hAnsi="Times New Roman" w:cs="Times New Roman"/>
          <w:b/>
        </w:rPr>
        <w:t>3.3 Population and Sample</w:t>
      </w:r>
    </w:p>
    <w:p w:rsidR="00503384" w:rsidRPr="000E084F" w:rsidRDefault="00503384" w:rsidP="00503384">
      <w:pPr>
        <w:rPr>
          <w:rFonts w:ascii="Times New Roman" w:hAnsi="Times New Roman" w:cs="Times New Roman"/>
        </w:rPr>
      </w:pPr>
      <w:r w:rsidRPr="000E084F">
        <w:rPr>
          <w:rFonts w:ascii="Times New Roman" w:hAnsi="Times New Roman" w:cs="Times New Roman"/>
        </w:rPr>
        <w:t>The population of this study focuses on all the companies listed in the Colombo Stock Exchange. However, due to different regulatory frameworks that financial companies operate under, which in turn may affect the dividend policy, this study only focuses on non-financial listed companies.</w:t>
      </w:r>
    </w:p>
    <w:p w:rsidR="00503384" w:rsidRPr="000E084F" w:rsidRDefault="00503384" w:rsidP="00503384">
      <w:pPr>
        <w:rPr>
          <w:rFonts w:ascii="Times New Roman" w:hAnsi="Times New Roman" w:cs="Times New Roman"/>
        </w:rPr>
      </w:pPr>
      <w:r w:rsidRPr="000E084F">
        <w:rPr>
          <w:rFonts w:ascii="Times New Roman" w:hAnsi="Times New Roman" w:cs="Times New Roman"/>
        </w:rPr>
        <w:t>The sample of this study includes the top 60 non-financial listed companies in the Colombo Stock Exchange based on market capitalization. These companies are chosen because they represent a significant portion of the market and provide reliable and consistent financial information.</w:t>
      </w:r>
    </w:p>
    <w:p w:rsidR="00503384" w:rsidRPr="000E084F" w:rsidRDefault="00503384" w:rsidP="00503384">
      <w:pPr>
        <w:rPr>
          <w:rFonts w:ascii="Times New Roman" w:hAnsi="Times New Roman" w:cs="Times New Roman"/>
        </w:rPr>
      </w:pPr>
      <w:r w:rsidRPr="000E084F">
        <w:rPr>
          <w:rFonts w:ascii="Times New Roman" w:hAnsi="Times New Roman" w:cs="Times New Roman"/>
        </w:rPr>
        <w:t>This study covers the period of five years (2020 – 2024), providing a comprehensive analysis. This time frame is significant because it's after the COVID-19 pandemic, which Sri Lanka faced with an economic crisis, and it may in turn affect the corporate governance decisions and dividend policy in companies. Therefore, choosing this time frame provides a more realistic understanding of how companies respond to both internal governance mechanisms and external economic challenges.</w:t>
      </w:r>
    </w:p>
    <w:p w:rsidR="00503384" w:rsidRPr="000E084F" w:rsidRDefault="00503384" w:rsidP="00503384">
      <w:pPr>
        <w:rPr>
          <w:rFonts w:ascii="Times New Roman" w:hAnsi="Times New Roman" w:cs="Times New Roman"/>
        </w:rPr>
      </w:pPr>
      <w:r w:rsidRPr="000E084F">
        <w:rPr>
          <w:rFonts w:ascii="Times New Roman" w:hAnsi="Times New Roman" w:cs="Times New Roman"/>
        </w:rPr>
        <w:lastRenderedPageBreak/>
        <w:t>A purposive sampling technique is used in this study, as companies are selected based on specific criteria, including availability of complete annual reports and the fact that they include the relevant data to achieve the research objective. Companies with missing data from the relevant time period are excluded from research to ensure accuracy and consistency of the analysis.</w:t>
      </w:r>
    </w:p>
    <w:p w:rsidR="000F5490" w:rsidRPr="000C1941" w:rsidRDefault="00D975E6" w:rsidP="00D23BFC">
      <w:pPr>
        <w:rPr>
          <w:rFonts w:ascii="Times New Roman" w:hAnsi="Times New Roman" w:cs="Times New Roman"/>
          <w:b/>
        </w:rPr>
      </w:pPr>
      <w:r w:rsidRPr="000C1941">
        <w:rPr>
          <w:rFonts w:ascii="Times New Roman" w:hAnsi="Times New Roman" w:cs="Times New Roman"/>
          <w:b/>
        </w:rPr>
        <w:t>3.4 Data Collection</w:t>
      </w:r>
    </w:p>
    <w:p w:rsidR="00C46AB1" w:rsidRPr="00C46AB1" w:rsidRDefault="00C46AB1" w:rsidP="00C46AB1">
      <w:pPr>
        <w:spacing w:before="100" w:beforeAutospacing="1" w:after="100" w:afterAutospacing="1" w:line="240" w:lineRule="auto"/>
        <w:rPr>
          <w:rFonts w:ascii="Times New Roman" w:eastAsia="Times New Roman" w:hAnsi="Times New Roman" w:cs="Times New Roman"/>
          <w:sz w:val="24"/>
          <w:szCs w:val="24"/>
        </w:rPr>
      </w:pPr>
      <w:r w:rsidRPr="00C46AB1">
        <w:rPr>
          <w:rFonts w:ascii="Times New Roman" w:eastAsia="Times New Roman" w:hAnsi="Times New Roman" w:cs="Times New Roman"/>
          <w:sz w:val="24"/>
          <w:szCs w:val="24"/>
        </w:rPr>
        <w:t>This study is based on secondary data, which is collected from annual reports of selected non-financial listed companies of Sri Lanka. These annual reports are obtained from official websites of the Colombo Stock Exchange (CSE) and are from their company websites. In finance research, using secondary data is widely acceptable due to its availability and</w:t>
      </w:r>
      <w:r w:rsidR="00BE63C4">
        <w:rPr>
          <w:rFonts w:ascii="Times New Roman" w:eastAsia="Times New Roman" w:hAnsi="Times New Roman" w:cs="Times New Roman"/>
          <w:sz w:val="24"/>
          <w:szCs w:val="24"/>
        </w:rPr>
        <w:t xml:space="preserve"> reliability. </w:t>
      </w:r>
      <w:sdt>
        <w:sdtPr>
          <w:rPr>
            <w:rFonts w:ascii="Times New Roman" w:eastAsia="Times New Roman" w:hAnsi="Times New Roman" w:cs="Times New Roman"/>
            <w:sz w:val="24"/>
            <w:szCs w:val="24"/>
          </w:rPr>
          <w:id w:val="1733510149"/>
          <w:citation/>
        </w:sdtPr>
        <w:sdtEndPr/>
        <w:sdtContent>
          <w:r w:rsidR="00BE63C4">
            <w:rPr>
              <w:rFonts w:ascii="Times New Roman" w:eastAsia="Times New Roman" w:hAnsi="Times New Roman" w:cs="Times New Roman"/>
              <w:sz w:val="24"/>
              <w:szCs w:val="24"/>
            </w:rPr>
            <w:fldChar w:fldCharType="begin"/>
          </w:r>
          <w:r w:rsidR="00BE63C4">
            <w:rPr>
              <w:rFonts w:ascii="Times New Roman" w:eastAsia="Times New Roman" w:hAnsi="Times New Roman" w:cs="Times New Roman"/>
              <w:sz w:val="24"/>
              <w:szCs w:val="24"/>
            </w:rPr>
            <w:instrText xml:space="preserve"> CITATION Ama22 \l 1033 </w:instrText>
          </w:r>
          <w:r w:rsidR="00BE63C4">
            <w:rPr>
              <w:rFonts w:ascii="Times New Roman" w:eastAsia="Times New Roman" w:hAnsi="Times New Roman" w:cs="Times New Roman"/>
              <w:sz w:val="24"/>
              <w:szCs w:val="24"/>
            </w:rPr>
            <w:fldChar w:fldCharType="separate"/>
          </w:r>
          <w:r w:rsidR="00770AC1" w:rsidRPr="00770AC1">
            <w:rPr>
              <w:rFonts w:ascii="Times New Roman" w:eastAsia="Times New Roman" w:hAnsi="Times New Roman" w:cs="Times New Roman"/>
              <w:noProof/>
              <w:sz w:val="24"/>
              <w:szCs w:val="24"/>
            </w:rPr>
            <w:t>(Amarasekara &amp; Hewage, 2022)</w:t>
          </w:r>
          <w:r w:rsidR="00BE63C4">
            <w:rPr>
              <w:rFonts w:ascii="Times New Roman" w:eastAsia="Times New Roman" w:hAnsi="Times New Roman" w:cs="Times New Roman"/>
              <w:sz w:val="24"/>
              <w:szCs w:val="24"/>
            </w:rPr>
            <w:fldChar w:fldCharType="end"/>
          </w:r>
        </w:sdtContent>
      </w:sdt>
    </w:p>
    <w:p w:rsidR="00C46AB1" w:rsidRPr="00C46AB1" w:rsidRDefault="00C46AB1" w:rsidP="00C46AB1">
      <w:pPr>
        <w:spacing w:before="100" w:beforeAutospacing="1" w:after="100" w:afterAutospacing="1" w:line="240" w:lineRule="auto"/>
        <w:rPr>
          <w:rFonts w:ascii="Times New Roman" w:eastAsia="Times New Roman" w:hAnsi="Times New Roman" w:cs="Times New Roman"/>
          <w:sz w:val="24"/>
          <w:szCs w:val="24"/>
        </w:rPr>
      </w:pPr>
      <w:r w:rsidRPr="00C46AB1">
        <w:rPr>
          <w:rFonts w:ascii="Times New Roman" w:eastAsia="Times New Roman" w:hAnsi="Times New Roman" w:cs="Times New Roman"/>
          <w:sz w:val="24"/>
          <w:szCs w:val="24"/>
        </w:rPr>
        <w:t>The data are collected from a period of five years, 2020-2024, to analyze the impact of corporate governance on dividend policy over time. This period is important because it’s after the COVID-19 pandemic and in the time of economic crisis in Sri Lanka, which may affect how corporate governance influences dividend policy.</w:t>
      </w:r>
    </w:p>
    <w:p w:rsidR="00C46AB1" w:rsidRPr="00C46AB1" w:rsidRDefault="00C46AB1" w:rsidP="00C46AB1">
      <w:pPr>
        <w:spacing w:before="100" w:beforeAutospacing="1" w:after="100" w:afterAutospacing="1" w:line="240" w:lineRule="auto"/>
        <w:rPr>
          <w:rFonts w:ascii="Times New Roman" w:eastAsia="Times New Roman" w:hAnsi="Times New Roman" w:cs="Times New Roman"/>
          <w:sz w:val="24"/>
          <w:szCs w:val="24"/>
        </w:rPr>
      </w:pPr>
      <w:r w:rsidRPr="00C46AB1">
        <w:rPr>
          <w:rFonts w:ascii="Times New Roman" w:eastAsia="Times New Roman" w:hAnsi="Times New Roman" w:cs="Times New Roman"/>
          <w:sz w:val="24"/>
          <w:szCs w:val="24"/>
        </w:rPr>
        <w:t>This study requires the data of both financial and non-financial. Financial data such as earning per share, total assets, net profit, and dividend information are obtained from the financial statements of the annual reports. Non-financial information such as board size, board independence, board meetings, and CEO duality is obtained from the corporate governance section of the reports.</w:t>
      </w:r>
    </w:p>
    <w:p w:rsidR="00591EBE" w:rsidRPr="000C1941" w:rsidRDefault="00C46AB1" w:rsidP="00591EBE">
      <w:pPr>
        <w:spacing w:before="100" w:beforeAutospacing="1" w:after="100" w:afterAutospacing="1" w:line="240" w:lineRule="auto"/>
        <w:rPr>
          <w:rFonts w:ascii="Times New Roman" w:eastAsia="Times New Roman" w:hAnsi="Times New Roman" w:cs="Times New Roman"/>
          <w:sz w:val="24"/>
          <w:szCs w:val="24"/>
        </w:rPr>
      </w:pPr>
      <w:r w:rsidRPr="00C46AB1">
        <w:rPr>
          <w:rFonts w:ascii="Times New Roman" w:eastAsia="Times New Roman" w:hAnsi="Times New Roman" w:cs="Times New Roman"/>
          <w:sz w:val="24"/>
          <w:szCs w:val="24"/>
        </w:rPr>
        <w:t>The collected data are stored and structured using Microsoft Excel. Each company is observed over the specific time frame, resulting in a panel data sheet that is suitable for statistical analysis.</w:t>
      </w:r>
    </w:p>
    <w:p w:rsidR="00C81681" w:rsidRPr="000C1941" w:rsidRDefault="00D15410" w:rsidP="00591EBE">
      <w:pPr>
        <w:spacing w:before="100" w:beforeAutospacing="1" w:after="100" w:afterAutospacing="1" w:line="240" w:lineRule="auto"/>
        <w:rPr>
          <w:rFonts w:ascii="Times New Roman" w:eastAsia="Times New Roman" w:hAnsi="Times New Roman" w:cs="Times New Roman"/>
          <w:b/>
          <w:sz w:val="24"/>
          <w:szCs w:val="24"/>
        </w:rPr>
      </w:pPr>
      <w:r w:rsidRPr="000C1941">
        <w:rPr>
          <w:rFonts w:ascii="Times New Roman" w:eastAsia="Times New Roman" w:hAnsi="Times New Roman" w:cs="Times New Roman"/>
          <w:b/>
          <w:sz w:val="24"/>
          <w:szCs w:val="24"/>
        </w:rPr>
        <w:t xml:space="preserve">3.5. </w:t>
      </w:r>
      <w:r w:rsidR="00CD4FAD" w:rsidRPr="000C1941">
        <w:rPr>
          <w:rFonts w:ascii="Times New Roman" w:eastAsia="Times New Roman" w:hAnsi="Times New Roman" w:cs="Times New Roman"/>
          <w:b/>
          <w:sz w:val="24"/>
          <w:szCs w:val="24"/>
        </w:rPr>
        <w:t>Conceptualization</w:t>
      </w:r>
    </w:p>
    <w:p w:rsidR="00CD4FAD" w:rsidRPr="00CD4FAD" w:rsidRDefault="00CD4FAD" w:rsidP="00CD4FAD">
      <w:pPr>
        <w:spacing w:before="100" w:beforeAutospacing="1" w:after="100" w:afterAutospacing="1" w:line="240" w:lineRule="auto"/>
        <w:rPr>
          <w:rFonts w:ascii="Times New Roman" w:eastAsia="Times New Roman" w:hAnsi="Times New Roman" w:cs="Times New Roman"/>
          <w:sz w:val="24"/>
          <w:szCs w:val="24"/>
        </w:rPr>
      </w:pPr>
      <w:r w:rsidRPr="00CD4FAD">
        <w:rPr>
          <w:rFonts w:ascii="Times New Roman" w:eastAsia="Times New Roman" w:hAnsi="Times New Roman" w:cs="Times New Roman"/>
          <w:sz w:val="24"/>
          <w:szCs w:val="24"/>
        </w:rPr>
        <w:t>Conceptualization means identifying the variables and the relationships among them in the study. This study examines the impact of corporate governance on the dividend policy of selected non-financial listed companies in Sri Lanka.</w:t>
      </w:r>
    </w:p>
    <w:p w:rsidR="00CD4FAD" w:rsidRPr="00CD4FAD" w:rsidRDefault="00CD4FAD" w:rsidP="00CD4FAD">
      <w:pPr>
        <w:spacing w:before="100" w:beforeAutospacing="1" w:after="100" w:afterAutospacing="1" w:line="240" w:lineRule="auto"/>
        <w:rPr>
          <w:rFonts w:ascii="Times New Roman" w:eastAsia="Times New Roman" w:hAnsi="Times New Roman" w:cs="Times New Roman"/>
          <w:sz w:val="24"/>
          <w:szCs w:val="24"/>
        </w:rPr>
      </w:pPr>
      <w:r w:rsidRPr="00CD4FAD">
        <w:rPr>
          <w:rFonts w:ascii="Times New Roman" w:eastAsia="Times New Roman" w:hAnsi="Times New Roman" w:cs="Times New Roman"/>
          <w:sz w:val="24"/>
          <w:szCs w:val="24"/>
        </w:rPr>
        <w:t>This study includes independent variables such as board size, board meetings, board independence, and CEO duality. The dependent variables are dividend payout ratio (DPR) and earning per share (EPS). Furthermore, there are two control variables named firm size and return on assets (ROA).</w:t>
      </w:r>
    </w:p>
    <w:p w:rsidR="00CD4FAD" w:rsidRPr="000C1941" w:rsidRDefault="00CD4FAD" w:rsidP="00CD4FAD">
      <w:pPr>
        <w:spacing w:before="100" w:beforeAutospacing="1" w:after="100" w:afterAutospacing="1" w:line="240" w:lineRule="auto"/>
        <w:rPr>
          <w:rFonts w:ascii="Times New Roman" w:eastAsia="Times New Roman" w:hAnsi="Times New Roman" w:cs="Times New Roman"/>
          <w:sz w:val="24"/>
          <w:szCs w:val="24"/>
        </w:rPr>
      </w:pPr>
      <w:r w:rsidRPr="00CD4FAD">
        <w:rPr>
          <w:rFonts w:ascii="Times New Roman" w:eastAsia="Times New Roman" w:hAnsi="Times New Roman" w:cs="Times New Roman"/>
          <w:sz w:val="24"/>
          <w:szCs w:val="24"/>
        </w:rPr>
        <w:t>The conceptual framework illustrate the relationship between corporate governance variables and dividend policy.</w:t>
      </w:r>
    </w:p>
    <w:p w:rsidR="00503384" w:rsidRDefault="00503384" w:rsidP="00CD4FAD">
      <w:pPr>
        <w:spacing w:before="100" w:beforeAutospacing="1" w:after="100" w:afterAutospacing="1" w:line="240" w:lineRule="auto"/>
        <w:rPr>
          <w:rFonts w:ascii="Times New Roman" w:eastAsia="Times New Roman" w:hAnsi="Times New Roman" w:cs="Times New Roman"/>
          <w:sz w:val="24"/>
          <w:szCs w:val="24"/>
        </w:rPr>
      </w:pPr>
    </w:p>
    <w:p w:rsidR="00503384" w:rsidRDefault="00503384" w:rsidP="00CD4FAD">
      <w:pPr>
        <w:spacing w:before="100" w:beforeAutospacing="1" w:after="100" w:afterAutospacing="1" w:line="240" w:lineRule="auto"/>
        <w:rPr>
          <w:rFonts w:ascii="Times New Roman" w:eastAsia="Times New Roman" w:hAnsi="Times New Roman" w:cs="Times New Roman"/>
          <w:sz w:val="24"/>
          <w:szCs w:val="24"/>
        </w:rPr>
      </w:pPr>
    </w:p>
    <w:p w:rsidR="00503384" w:rsidRDefault="00503384" w:rsidP="00CD4FAD">
      <w:pPr>
        <w:spacing w:before="100" w:beforeAutospacing="1" w:after="100" w:afterAutospacing="1" w:line="240" w:lineRule="auto"/>
        <w:rPr>
          <w:rFonts w:ascii="Times New Roman" w:eastAsia="Times New Roman" w:hAnsi="Times New Roman" w:cs="Times New Roman"/>
          <w:sz w:val="24"/>
          <w:szCs w:val="24"/>
        </w:rPr>
      </w:pPr>
    </w:p>
    <w:p w:rsidR="000C1941" w:rsidRPr="000C1941" w:rsidRDefault="000C1941" w:rsidP="00CD4FAD">
      <w:pPr>
        <w:spacing w:before="100" w:beforeAutospacing="1" w:after="100" w:afterAutospacing="1" w:line="240" w:lineRule="auto"/>
        <w:rPr>
          <w:rFonts w:ascii="Times New Roman" w:eastAsia="Times New Roman" w:hAnsi="Times New Roman" w:cs="Times New Roman"/>
          <w:sz w:val="24"/>
          <w:szCs w:val="24"/>
        </w:rPr>
      </w:pPr>
      <w:r w:rsidRPr="000C1941">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simplePos x="0" y="0"/>
                <wp:positionH relativeFrom="column">
                  <wp:posOffset>3248025</wp:posOffset>
                </wp:positionH>
                <wp:positionV relativeFrom="paragraph">
                  <wp:posOffset>1310005</wp:posOffset>
                </wp:positionV>
                <wp:extent cx="600075" cy="1114425"/>
                <wp:effectExtent l="0" t="38100" r="47625" b="28575"/>
                <wp:wrapNone/>
                <wp:docPr id="28" name="Straight Arrow Connector 28"/>
                <wp:cNvGraphicFramePr/>
                <a:graphic xmlns:a="http://schemas.openxmlformats.org/drawingml/2006/main">
                  <a:graphicData uri="http://schemas.microsoft.com/office/word/2010/wordprocessingShape">
                    <wps:wsp>
                      <wps:cNvCnPr/>
                      <wps:spPr>
                        <a:xfrm flipV="1">
                          <a:off x="0" y="0"/>
                          <a:ext cx="600075" cy="11144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6272A1" id="_x0000_t32" coordsize="21600,21600" o:spt="32" o:oned="t" path="m,l21600,21600e" filled="f">
                <v:path arrowok="t" fillok="f" o:connecttype="none"/>
                <o:lock v:ext="edit" shapetype="t"/>
              </v:shapetype>
              <v:shape id="Straight Arrow Connector 28" o:spid="_x0000_s1026" type="#_x0000_t32" style="position:absolute;margin-left:255.75pt;margin-top:103.15pt;width:47.25pt;height:87.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" strokecolor="black [3213]" strokeweight=".5pt">
                <v:stroke endarrow="block" joinstyle="miter"/>
              </v:shape>
            </w:pict>
          </mc:Fallback>
        </mc:AlternateContent>
      </w:r>
      <w:r w:rsidRPr="000C1941">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2171700</wp:posOffset>
                </wp:positionH>
                <wp:positionV relativeFrom="paragraph">
                  <wp:posOffset>1062355</wp:posOffset>
                </wp:positionV>
                <wp:extent cx="1714500" cy="19050"/>
                <wp:effectExtent l="0" t="57150" r="19050" b="95250"/>
                <wp:wrapNone/>
                <wp:docPr id="27" name="Straight Arrow Connector 27"/>
                <wp:cNvGraphicFramePr/>
                <a:graphic xmlns:a="http://schemas.openxmlformats.org/drawingml/2006/main">
                  <a:graphicData uri="http://schemas.microsoft.com/office/word/2010/wordprocessingShape">
                    <wps:wsp>
                      <wps:cNvCnPr/>
                      <wps:spPr>
                        <a:xfrm>
                          <a:off x="0" y="0"/>
                          <a:ext cx="1714500"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58D1B" id="Straight Arrow Connector 27" o:spid="_x0000_s1026" type="#_x0000_t32" style="position:absolute;margin-left:171pt;margin-top:83.65pt;width:135pt;height: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" strokecolor="black [3213]" strokeweight=".5pt">
                <v:stroke endarrow="block" joinstyle="miter"/>
              </v:shape>
            </w:pict>
          </mc:Fallback>
        </mc:AlternateContent>
      </w:r>
      <w:r w:rsidR="00864310" w:rsidRPr="000C1941">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2619375</wp:posOffset>
                </wp:positionH>
                <wp:positionV relativeFrom="paragraph">
                  <wp:posOffset>2453005</wp:posOffset>
                </wp:positionV>
                <wp:extent cx="1447800" cy="64770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1447800" cy="647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64310" w:rsidRDefault="00864310" w:rsidP="00864310">
                            <w:pPr>
                              <w:jc w:val="center"/>
                            </w:pPr>
                            <w:r>
                              <w:t>Firm Size</w:t>
                            </w:r>
                          </w:p>
                          <w:p w:rsidR="00864310" w:rsidRDefault="00864310" w:rsidP="00864310">
                            <w:pPr>
                              <w:jc w:val="center"/>
                            </w:pPr>
                            <w:r>
                              <w:t>Return on Assets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206.25pt;margin-top:193.15pt;width:114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" fillcolor="white [3201]" strokeweight=".5pt">
                <v:textbox>
                  <w:txbxContent>
                    <w:p w:rsidR="00864310" w:rsidRDefault="00864310" w:rsidP="00864310">
                      <w:pPr>
                        <w:jc w:val="center"/>
                      </w:pPr>
                      <w:r>
                        <w:t>Firm Size</w:t>
                      </w:r>
                    </w:p>
                    <w:p w:rsidR="00864310" w:rsidRDefault="00864310" w:rsidP="00864310">
                      <w:pPr>
                        <w:jc w:val="center"/>
                      </w:pPr>
                      <w:r>
                        <w:t>Return on Assets</w:t>
                      </w:r>
                    </w:p>
                  </w:txbxContent>
                </v:textbox>
              </v:shape>
            </w:pict>
          </mc:Fallback>
        </mc:AlternateContent>
      </w:r>
      <w:r w:rsidR="008F5F66" w:rsidRPr="000C1941">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3924300</wp:posOffset>
                </wp:positionH>
                <wp:positionV relativeFrom="paragraph">
                  <wp:posOffset>385445</wp:posOffset>
                </wp:positionV>
                <wp:extent cx="1924050" cy="12858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1924050" cy="1285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F5F66" w:rsidRDefault="008F5F66"/>
                          <w:p w:rsidR="008F5F66" w:rsidRPr="008F5F66" w:rsidRDefault="008F5F66">
                            <w:pPr>
                              <w:rPr>
                                <w:b/>
                              </w:rPr>
                            </w:pPr>
                            <w:r w:rsidRPr="008F5F66">
                              <w:rPr>
                                <w:b/>
                              </w:rPr>
                              <w:t>Dividend Policy</w:t>
                            </w:r>
                          </w:p>
                          <w:p w:rsidR="008F5F66" w:rsidRDefault="008F5F66" w:rsidP="008F5F66">
                            <w:pPr>
                              <w:pStyle w:val="ListParagraph"/>
                              <w:numPr>
                                <w:ilvl w:val="0"/>
                                <w:numId w:val="3"/>
                              </w:numPr>
                            </w:pPr>
                            <w:r>
                              <w:t>Dividend Payout Ratio</w:t>
                            </w:r>
                          </w:p>
                          <w:p w:rsidR="008F5F66" w:rsidRDefault="008F5F66" w:rsidP="008F5F66">
                            <w:pPr>
                              <w:pStyle w:val="ListParagraph"/>
                              <w:numPr>
                                <w:ilvl w:val="0"/>
                                <w:numId w:val="3"/>
                              </w:numPr>
                            </w:pPr>
                            <w:r>
                              <w:t>Earnings Per Share</w:t>
                            </w:r>
                          </w:p>
                          <w:p w:rsidR="008F5F66" w:rsidRDefault="008F5F66" w:rsidP="008F5F66"/>
                          <w:p w:rsidR="008F5F66" w:rsidRDefault="008F5F66" w:rsidP="008F5F66">
                            <w:r>
                              <w:t>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27" type="#_x0000_t202" style="position:absolute;margin-left:309pt;margin-top:30.35pt;width:151.5pt;height:101.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" fillcolor="white [3201]" strokeweight=".5pt">
                <v:textbox>
                  <w:txbxContent>
                    <w:p w:rsidR="008F5F66" w:rsidRDefault="008F5F66"/>
                    <w:p w:rsidR="008F5F66" w:rsidRPr="008F5F66" w:rsidRDefault="008F5F66">
                      <w:pPr>
                        <w:rPr>
                          <w:b/>
                        </w:rPr>
                      </w:pPr>
                      <w:r w:rsidRPr="008F5F66">
                        <w:rPr>
                          <w:b/>
                        </w:rPr>
                        <w:t>Dividend Policy</w:t>
                      </w:r>
                    </w:p>
                    <w:p w:rsidR="008F5F66" w:rsidRDefault="008F5F66" w:rsidP="008F5F66">
                      <w:pPr>
                        <w:pStyle w:val="ListParagraph"/>
                        <w:numPr>
                          <w:ilvl w:val="0"/>
                          <w:numId w:val="3"/>
                        </w:numPr>
                      </w:pPr>
                      <w:r>
                        <w:t>Dividend Payout Ratio</w:t>
                      </w:r>
                    </w:p>
                    <w:p w:rsidR="008F5F66" w:rsidRDefault="008F5F66" w:rsidP="008F5F66">
                      <w:pPr>
                        <w:pStyle w:val="ListParagraph"/>
                        <w:numPr>
                          <w:ilvl w:val="0"/>
                          <w:numId w:val="3"/>
                        </w:numPr>
                      </w:pPr>
                      <w:r>
                        <w:t>Earnings Per Share</w:t>
                      </w:r>
                    </w:p>
                    <w:p w:rsidR="008F5F66" w:rsidRDefault="008F5F66" w:rsidP="008F5F66"/>
                    <w:p w:rsidR="008F5F66" w:rsidRDefault="008F5F66" w:rsidP="008F5F66">
                      <w:r>
                        <w:t>DD</w:t>
                      </w:r>
                    </w:p>
                  </w:txbxContent>
                </v:textbox>
              </v:shape>
            </w:pict>
          </mc:Fallback>
        </mc:AlternateContent>
      </w:r>
      <w:r w:rsidR="008F5F66" w:rsidRPr="000C1941">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104775</wp:posOffset>
                </wp:positionH>
                <wp:positionV relativeFrom="paragraph">
                  <wp:posOffset>205104</wp:posOffset>
                </wp:positionV>
                <wp:extent cx="2047875" cy="16859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2047875" cy="1685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F5F66" w:rsidRDefault="008F5F66">
                            <w:pPr>
                              <w:rPr>
                                <w:b/>
                              </w:rPr>
                            </w:pPr>
                          </w:p>
                          <w:p w:rsidR="008F5F66" w:rsidRPr="008F5F66" w:rsidRDefault="008F5F66">
                            <w:pPr>
                              <w:rPr>
                                <w:b/>
                              </w:rPr>
                            </w:pPr>
                            <w:r w:rsidRPr="008F5F66">
                              <w:rPr>
                                <w:b/>
                              </w:rPr>
                              <w:t>Corporate Governance</w:t>
                            </w:r>
                          </w:p>
                          <w:p w:rsidR="008F5F66" w:rsidRDefault="008F5F66" w:rsidP="008F5F66">
                            <w:pPr>
                              <w:pStyle w:val="ListParagraph"/>
                              <w:numPr>
                                <w:ilvl w:val="0"/>
                                <w:numId w:val="1"/>
                              </w:numPr>
                            </w:pPr>
                            <w:r>
                              <w:t>Board Size</w:t>
                            </w:r>
                          </w:p>
                          <w:p w:rsidR="008F5F66" w:rsidRDefault="008F5F66" w:rsidP="008F5F66">
                            <w:pPr>
                              <w:pStyle w:val="ListParagraph"/>
                              <w:numPr>
                                <w:ilvl w:val="0"/>
                                <w:numId w:val="1"/>
                              </w:numPr>
                            </w:pPr>
                            <w:r>
                              <w:t>Board meetings</w:t>
                            </w:r>
                          </w:p>
                          <w:p w:rsidR="008F5F66" w:rsidRDefault="008F5F66" w:rsidP="008F5F66">
                            <w:pPr>
                              <w:pStyle w:val="ListParagraph"/>
                              <w:numPr>
                                <w:ilvl w:val="0"/>
                                <w:numId w:val="1"/>
                              </w:numPr>
                            </w:pPr>
                            <w:r>
                              <w:t>Board Independence</w:t>
                            </w:r>
                          </w:p>
                          <w:p w:rsidR="008F5F66" w:rsidRDefault="008F5F66" w:rsidP="008F5F66">
                            <w:pPr>
                              <w:pStyle w:val="ListParagraph"/>
                              <w:numPr>
                                <w:ilvl w:val="0"/>
                                <w:numId w:val="1"/>
                              </w:numPr>
                            </w:pPr>
                            <w:r>
                              <w:t>CEO Duality</w:t>
                            </w:r>
                          </w:p>
                          <w:p w:rsidR="008F5F66" w:rsidRDefault="008F5F66" w:rsidP="008F5F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margin-left:8.25pt;margin-top:16.15pt;width:161.25pt;height:13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" fillcolor="white [3201]" strokeweight=".5pt">
                <v:textbox>
                  <w:txbxContent>
                    <w:p w:rsidR="008F5F66" w:rsidRDefault="008F5F66">
                      <w:pPr>
                        <w:rPr>
                          <w:b/>
                        </w:rPr>
                      </w:pPr>
                    </w:p>
                    <w:p w:rsidR="008F5F66" w:rsidRPr="008F5F66" w:rsidRDefault="008F5F66">
                      <w:pPr>
                        <w:rPr>
                          <w:b/>
                        </w:rPr>
                      </w:pPr>
                      <w:r w:rsidRPr="008F5F66">
                        <w:rPr>
                          <w:b/>
                        </w:rPr>
                        <w:t>Corporate Governance</w:t>
                      </w:r>
                    </w:p>
                    <w:p w:rsidR="008F5F66" w:rsidRDefault="008F5F66" w:rsidP="008F5F66">
                      <w:pPr>
                        <w:pStyle w:val="ListParagraph"/>
                        <w:numPr>
                          <w:ilvl w:val="0"/>
                          <w:numId w:val="1"/>
                        </w:numPr>
                      </w:pPr>
                      <w:r>
                        <w:t>Board Size</w:t>
                      </w:r>
                    </w:p>
                    <w:p w:rsidR="008F5F66" w:rsidRDefault="008F5F66" w:rsidP="008F5F66">
                      <w:pPr>
                        <w:pStyle w:val="ListParagraph"/>
                        <w:numPr>
                          <w:ilvl w:val="0"/>
                          <w:numId w:val="1"/>
                        </w:numPr>
                      </w:pPr>
                      <w:r>
                        <w:t>Board meetings</w:t>
                      </w:r>
                    </w:p>
                    <w:p w:rsidR="008F5F66" w:rsidRDefault="008F5F66" w:rsidP="008F5F66">
                      <w:pPr>
                        <w:pStyle w:val="ListParagraph"/>
                        <w:numPr>
                          <w:ilvl w:val="0"/>
                          <w:numId w:val="1"/>
                        </w:numPr>
                      </w:pPr>
                      <w:r>
                        <w:t>Board Independence</w:t>
                      </w:r>
                    </w:p>
                    <w:p w:rsidR="008F5F66" w:rsidRDefault="008F5F66" w:rsidP="008F5F66">
                      <w:pPr>
                        <w:pStyle w:val="ListParagraph"/>
                        <w:numPr>
                          <w:ilvl w:val="0"/>
                          <w:numId w:val="1"/>
                        </w:numPr>
                      </w:pPr>
                      <w:r>
                        <w:t>CEO Duality</w:t>
                      </w:r>
                    </w:p>
                    <w:p w:rsidR="008F5F66" w:rsidRDefault="008F5F66" w:rsidP="008F5F66"/>
                  </w:txbxContent>
                </v:textbox>
              </v:shape>
            </w:pict>
          </mc:Fallback>
        </mc:AlternateContent>
      </w: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0C1941" w:rsidRPr="000C1941" w:rsidRDefault="000C1941" w:rsidP="000C1941">
      <w:pPr>
        <w:rPr>
          <w:rFonts w:ascii="Times New Roman" w:eastAsia="Times New Roman" w:hAnsi="Times New Roman" w:cs="Times New Roman"/>
          <w:sz w:val="24"/>
          <w:szCs w:val="24"/>
        </w:rPr>
      </w:pPr>
    </w:p>
    <w:p w:rsidR="00CD4FAD" w:rsidRPr="000C1941" w:rsidRDefault="000C1941" w:rsidP="000C1941">
      <w:pPr>
        <w:tabs>
          <w:tab w:val="left" w:pos="930"/>
        </w:tabs>
        <w:jc w:val="center"/>
        <w:rPr>
          <w:rFonts w:ascii="Times New Roman" w:eastAsia="Times New Roman" w:hAnsi="Times New Roman" w:cs="Times New Roman"/>
          <w:b/>
          <w:sz w:val="24"/>
          <w:szCs w:val="24"/>
        </w:rPr>
      </w:pPr>
      <w:r w:rsidRPr="000C1941">
        <w:rPr>
          <w:rFonts w:ascii="Times New Roman" w:eastAsia="Times New Roman" w:hAnsi="Times New Roman" w:cs="Times New Roman"/>
          <w:b/>
          <w:sz w:val="24"/>
          <w:szCs w:val="24"/>
        </w:rPr>
        <w:t>Figure 3.1 Conceptual Framework</w:t>
      </w:r>
    </w:p>
    <w:p w:rsidR="000C1941" w:rsidRPr="000C1941" w:rsidRDefault="000C1941" w:rsidP="000C1941">
      <w:pPr>
        <w:tabs>
          <w:tab w:val="left" w:pos="930"/>
        </w:tabs>
        <w:rPr>
          <w:rFonts w:ascii="Times New Roman" w:eastAsia="Times New Roman" w:hAnsi="Times New Roman" w:cs="Times New Roman"/>
          <w:b/>
          <w:sz w:val="24"/>
          <w:szCs w:val="24"/>
        </w:rPr>
      </w:pPr>
      <w:r w:rsidRPr="000C1941">
        <w:rPr>
          <w:rFonts w:ascii="Times New Roman" w:eastAsia="Times New Roman" w:hAnsi="Times New Roman" w:cs="Times New Roman"/>
          <w:b/>
          <w:sz w:val="24"/>
          <w:szCs w:val="24"/>
        </w:rPr>
        <w:t>3.6 Operationalization</w:t>
      </w:r>
    </w:p>
    <w:p w:rsidR="000C1941" w:rsidRDefault="008958A1"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Operationalization refer to the process of showing how variables are measured. In this research all the variables are measured by using the data obtained from annual reports of selected companies.</w:t>
      </w:r>
    </w:p>
    <w:p w:rsidR="008958A1" w:rsidRDefault="008958A1"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flowing table present the measurement of variable of this study.</w:t>
      </w:r>
    </w:p>
    <w:tbl>
      <w:tblPr>
        <w:tblStyle w:val="TableGrid"/>
        <w:tblW w:w="0" w:type="auto"/>
        <w:tblLook w:val="04A0" w:firstRow="1" w:lastRow="0" w:firstColumn="1" w:lastColumn="0" w:noHBand="0" w:noVBand="1"/>
      </w:tblPr>
      <w:tblGrid>
        <w:gridCol w:w="2337"/>
        <w:gridCol w:w="2337"/>
        <w:gridCol w:w="2338"/>
        <w:gridCol w:w="2338"/>
      </w:tblGrid>
      <w:tr w:rsidR="0096431C" w:rsidTr="0096431C">
        <w:tc>
          <w:tcPr>
            <w:tcW w:w="2337" w:type="dxa"/>
            <w:tcBorders>
              <w:bottom w:val="single" w:sz="4" w:space="0" w:color="auto"/>
            </w:tcBorders>
          </w:tcPr>
          <w:p w:rsidR="0096431C" w:rsidRPr="0096431C" w:rsidRDefault="0096431C" w:rsidP="000C1941">
            <w:pPr>
              <w:tabs>
                <w:tab w:val="left" w:pos="930"/>
              </w:tabs>
              <w:rPr>
                <w:rFonts w:ascii="Times New Roman" w:eastAsia="Times New Roman" w:hAnsi="Times New Roman" w:cs="Times New Roman"/>
                <w:b/>
                <w:sz w:val="24"/>
                <w:szCs w:val="24"/>
              </w:rPr>
            </w:pPr>
            <w:r w:rsidRPr="0096431C">
              <w:rPr>
                <w:rFonts w:ascii="Times New Roman" w:eastAsia="Times New Roman" w:hAnsi="Times New Roman" w:cs="Times New Roman"/>
                <w:b/>
                <w:sz w:val="24"/>
                <w:szCs w:val="24"/>
              </w:rPr>
              <w:t>Concept</w:t>
            </w:r>
          </w:p>
        </w:tc>
        <w:tc>
          <w:tcPr>
            <w:tcW w:w="2337" w:type="dxa"/>
          </w:tcPr>
          <w:p w:rsidR="0096431C" w:rsidRPr="0096431C" w:rsidRDefault="0096431C" w:rsidP="000C1941">
            <w:pPr>
              <w:tabs>
                <w:tab w:val="left" w:pos="930"/>
              </w:tabs>
              <w:rPr>
                <w:rFonts w:ascii="Times New Roman" w:eastAsia="Times New Roman" w:hAnsi="Times New Roman" w:cs="Times New Roman"/>
                <w:b/>
                <w:sz w:val="24"/>
                <w:szCs w:val="24"/>
              </w:rPr>
            </w:pPr>
            <w:r w:rsidRPr="0096431C">
              <w:rPr>
                <w:rFonts w:ascii="Times New Roman" w:eastAsia="Times New Roman" w:hAnsi="Times New Roman" w:cs="Times New Roman"/>
                <w:b/>
                <w:sz w:val="24"/>
                <w:szCs w:val="24"/>
              </w:rPr>
              <w:t>Variable</w:t>
            </w:r>
          </w:p>
        </w:tc>
        <w:tc>
          <w:tcPr>
            <w:tcW w:w="2338" w:type="dxa"/>
          </w:tcPr>
          <w:p w:rsidR="0096431C" w:rsidRPr="0096431C" w:rsidRDefault="0096431C" w:rsidP="000C1941">
            <w:pPr>
              <w:tabs>
                <w:tab w:val="left" w:pos="930"/>
              </w:tabs>
              <w:rPr>
                <w:rFonts w:ascii="Times New Roman" w:eastAsia="Times New Roman" w:hAnsi="Times New Roman" w:cs="Times New Roman"/>
                <w:b/>
                <w:sz w:val="24"/>
                <w:szCs w:val="24"/>
              </w:rPr>
            </w:pPr>
            <w:r w:rsidRPr="0096431C">
              <w:rPr>
                <w:rFonts w:ascii="Times New Roman" w:eastAsia="Times New Roman" w:hAnsi="Times New Roman" w:cs="Times New Roman"/>
                <w:b/>
                <w:sz w:val="24"/>
                <w:szCs w:val="24"/>
              </w:rPr>
              <w:t>Indicators</w:t>
            </w:r>
          </w:p>
        </w:tc>
        <w:tc>
          <w:tcPr>
            <w:tcW w:w="2338" w:type="dxa"/>
          </w:tcPr>
          <w:p w:rsidR="0096431C" w:rsidRPr="0096431C" w:rsidRDefault="0096431C" w:rsidP="000C1941">
            <w:pPr>
              <w:tabs>
                <w:tab w:val="left" w:pos="930"/>
              </w:tabs>
              <w:rPr>
                <w:rFonts w:ascii="Times New Roman" w:eastAsia="Times New Roman" w:hAnsi="Times New Roman" w:cs="Times New Roman"/>
                <w:b/>
                <w:sz w:val="24"/>
                <w:szCs w:val="24"/>
              </w:rPr>
            </w:pPr>
            <w:r w:rsidRPr="0096431C">
              <w:rPr>
                <w:rFonts w:ascii="Times New Roman" w:eastAsia="Times New Roman" w:hAnsi="Times New Roman" w:cs="Times New Roman"/>
                <w:b/>
                <w:sz w:val="24"/>
                <w:szCs w:val="24"/>
              </w:rPr>
              <w:t>Measurement</w:t>
            </w:r>
          </w:p>
        </w:tc>
      </w:tr>
      <w:tr w:rsidR="0096431C" w:rsidTr="0096431C">
        <w:tc>
          <w:tcPr>
            <w:tcW w:w="2337" w:type="dxa"/>
            <w:tcBorders>
              <w:bottom w:val="nil"/>
            </w:tcBorders>
          </w:tcPr>
          <w:p w:rsidR="0096431C" w:rsidRDefault="0096431C" w:rsidP="0096431C">
            <w:pPr>
              <w:tabs>
                <w:tab w:val="left" w:pos="930"/>
              </w:tabs>
              <w:jc w:val="center"/>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Corporate Governance</w:t>
            </w:r>
          </w:p>
        </w:tc>
        <w:tc>
          <w:tcPr>
            <w:tcW w:w="2337"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Board Size</w:t>
            </w:r>
          </w:p>
        </w:tc>
        <w:tc>
          <w:tcPr>
            <w:tcW w:w="2338"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Total number of directors on a company’s board.</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Number of board members</w:t>
            </w:r>
          </w:p>
        </w:tc>
      </w:tr>
      <w:tr w:rsidR="0096431C" w:rsidTr="0096431C">
        <w:tc>
          <w:tcPr>
            <w:tcW w:w="2337" w:type="dxa"/>
            <w:tcBorders>
              <w:top w:val="nil"/>
              <w:bottom w:val="nil"/>
            </w:tcBorders>
          </w:tcPr>
          <w:p w:rsidR="0096431C" w:rsidRDefault="0096431C" w:rsidP="000C1941">
            <w:pPr>
              <w:tabs>
                <w:tab w:val="left" w:pos="930"/>
              </w:tabs>
              <w:rPr>
                <w:rFonts w:ascii="Times New Roman" w:eastAsia="Times New Roman" w:hAnsi="Times New Roman" w:cs="Times New Roman"/>
                <w:sz w:val="24"/>
                <w:szCs w:val="24"/>
              </w:rPr>
            </w:pPr>
          </w:p>
        </w:tc>
        <w:tc>
          <w:tcPr>
            <w:tcW w:w="2337"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Board Meetings</w:t>
            </w:r>
          </w:p>
        </w:tc>
        <w:tc>
          <w:tcPr>
            <w:tcW w:w="2338"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Number of board meetings held in one financial year</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Number of board meetings per year</w:t>
            </w:r>
          </w:p>
        </w:tc>
      </w:tr>
      <w:tr w:rsidR="0096431C" w:rsidTr="0096431C">
        <w:tc>
          <w:tcPr>
            <w:tcW w:w="2337" w:type="dxa"/>
            <w:tcBorders>
              <w:top w:val="nil"/>
              <w:bottom w:val="nil"/>
            </w:tcBorders>
          </w:tcPr>
          <w:p w:rsidR="0096431C" w:rsidRDefault="0096431C" w:rsidP="000C1941">
            <w:pPr>
              <w:tabs>
                <w:tab w:val="left" w:pos="930"/>
              </w:tabs>
              <w:rPr>
                <w:rFonts w:ascii="Times New Roman" w:eastAsia="Times New Roman" w:hAnsi="Times New Roman" w:cs="Times New Roman"/>
                <w:sz w:val="24"/>
                <w:szCs w:val="24"/>
              </w:rPr>
            </w:pPr>
          </w:p>
        </w:tc>
        <w:tc>
          <w:tcPr>
            <w:tcW w:w="2337"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Board Independence</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Percentage of directors who are classified as independent</w:t>
            </w:r>
          </w:p>
        </w:tc>
        <w:tc>
          <w:tcPr>
            <w:tcW w:w="2338" w:type="dxa"/>
          </w:tcPr>
          <w:p w:rsidR="00D53826" w:rsidRPr="00D53826" w:rsidRDefault="00D53826" w:rsidP="00D53826">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 of independent directors</w:t>
            </w:r>
          </w:p>
          <w:p w:rsidR="0096431C" w:rsidRDefault="0096431C" w:rsidP="000C1941">
            <w:pPr>
              <w:tabs>
                <w:tab w:val="left" w:pos="930"/>
              </w:tabs>
              <w:rPr>
                <w:rFonts w:ascii="Times New Roman" w:eastAsia="Times New Roman" w:hAnsi="Times New Roman" w:cs="Times New Roman"/>
                <w:sz w:val="24"/>
                <w:szCs w:val="24"/>
              </w:rPr>
            </w:pPr>
          </w:p>
        </w:tc>
      </w:tr>
      <w:tr w:rsidR="0096431C" w:rsidTr="0096431C">
        <w:tc>
          <w:tcPr>
            <w:tcW w:w="2337" w:type="dxa"/>
            <w:tcBorders>
              <w:top w:val="nil"/>
              <w:bottom w:val="single" w:sz="4" w:space="0" w:color="auto"/>
            </w:tcBorders>
          </w:tcPr>
          <w:p w:rsidR="0096431C" w:rsidRDefault="0096431C" w:rsidP="000C1941">
            <w:pPr>
              <w:tabs>
                <w:tab w:val="left" w:pos="930"/>
              </w:tabs>
              <w:rPr>
                <w:rFonts w:ascii="Times New Roman" w:eastAsia="Times New Roman" w:hAnsi="Times New Roman" w:cs="Times New Roman"/>
                <w:sz w:val="24"/>
                <w:szCs w:val="24"/>
              </w:rPr>
            </w:pPr>
          </w:p>
        </w:tc>
        <w:tc>
          <w:tcPr>
            <w:tcW w:w="2337"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CEO Duality</w:t>
            </w:r>
          </w:p>
        </w:tc>
        <w:tc>
          <w:tcPr>
            <w:tcW w:w="2338" w:type="dxa"/>
          </w:tcPr>
          <w:p w:rsidR="00D53826" w:rsidRDefault="00D53826"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A business practice where CEO of a company serve as the chairman of the board of directors</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Whether a firm’s CEO is also the chairman of board of directors.</w:t>
            </w:r>
          </w:p>
          <w:p w:rsidR="00D53826" w:rsidRDefault="00D53826"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Yes = 1</w:t>
            </w:r>
          </w:p>
          <w:p w:rsidR="00D53826" w:rsidRDefault="00D53826"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No = 0</w:t>
            </w:r>
          </w:p>
          <w:p w:rsidR="00D53826" w:rsidRDefault="00D53826" w:rsidP="000C1941">
            <w:pPr>
              <w:tabs>
                <w:tab w:val="left" w:pos="930"/>
              </w:tabs>
              <w:rPr>
                <w:rFonts w:ascii="Times New Roman" w:eastAsia="Times New Roman" w:hAnsi="Times New Roman" w:cs="Times New Roman"/>
                <w:sz w:val="24"/>
                <w:szCs w:val="24"/>
              </w:rPr>
            </w:pPr>
          </w:p>
        </w:tc>
      </w:tr>
      <w:tr w:rsidR="0096431C" w:rsidTr="0096431C">
        <w:tc>
          <w:tcPr>
            <w:tcW w:w="2337" w:type="dxa"/>
            <w:tcBorders>
              <w:top w:val="single" w:sz="4" w:space="0" w:color="auto"/>
              <w:bottom w:val="nil"/>
            </w:tcBorders>
          </w:tcPr>
          <w:p w:rsidR="0096431C" w:rsidRDefault="0096431C" w:rsidP="0096431C">
            <w:pPr>
              <w:tabs>
                <w:tab w:val="left" w:pos="930"/>
              </w:tabs>
              <w:jc w:val="center"/>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lastRenderedPageBreak/>
              <w:t>Dividend Policy</w:t>
            </w:r>
          </w:p>
        </w:tc>
        <w:tc>
          <w:tcPr>
            <w:tcW w:w="2337"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 xml:space="preserve">Dividend Payout Ratio </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company’s profit is paid to shareholders as dividend</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Dividend Payout Ratio = Dividend per Share (DPS) / Earnings per Share (EPS).</w:t>
            </w:r>
          </w:p>
        </w:tc>
      </w:tr>
      <w:tr w:rsidR="0096431C" w:rsidTr="0096431C">
        <w:tc>
          <w:tcPr>
            <w:tcW w:w="2337" w:type="dxa"/>
            <w:tcBorders>
              <w:top w:val="nil"/>
              <w:bottom w:val="single" w:sz="4" w:space="0" w:color="auto"/>
            </w:tcBorders>
          </w:tcPr>
          <w:p w:rsidR="0096431C" w:rsidRDefault="0096431C" w:rsidP="000C1941">
            <w:pPr>
              <w:tabs>
                <w:tab w:val="left" w:pos="930"/>
              </w:tabs>
              <w:rPr>
                <w:rFonts w:ascii="Times New Roman" w:eastAsia="Times New Roman" w:hAnsi="Times New Roman" w:cs="Times New Roman"/>
                <w:sz w:val="24"/>
                <w:szCs w:val="24"/>
              </w:rPr>
            </w:pPr>
          </w:p>
        </w:tc>
        <w:tc>
          <w:tcPr>
            <w:tcW w:w="2337" w:type="dxa"/>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Earning</w:t>
            </w:r>
            <w:r>
              <w:rPr>
                <w:rFonts w:ascii="Times New Roman" w:eastAsia="Times New Roman" w:hAnsi="Times New Roman" w:cs="Times New Roman"/>
                <w:sz w:val="24"/>
                <w:szCs w:val="24"/>
              </w:rPr>
              <w:t>s</w:t>
            </w:r>
            <w:r w:rsidRPr="0096431C">
              <w:rPr>
                <w:rFonts w:ascii="Times New Roman" w:eastAsia="Times New Roman" w:hAnsi="Times New Roman" w:cs="Times New Roman"/>
                <w:sz w:val="24"/>
                <w:szCs w:val="24"/>
              </w:rPr>
              <w:t xml:space="preserve"> Per Share </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Net profit earned per share of common stock</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Net income / weighted average share</w:t>
            </w:r>
          </w:p>
        </w:tc>
      </w:tr>
      <w:tr w:rsidR="0096431C" w:rsidTr="0096431C">
        <w:tc>
          <w:tcPr>
            <w:tcW w:w="2337" w:type="dxa"/>
            <w:tcBorders>
              <w:top w:val="single" w:sz="4" w:space="0" w:color="auto"/>
              <w:left w:val="single" w:sz="4" w:space="0" w:color="auto"/>
              <w:bottom w:val="nil"/>
              <w:right w:val="single" w:sz="4" w:space="0" w:color="auto"/>
            </w:tcBorders>
          </w:tcPr>
          <w:p w:rsidR="0096431C" w:rsidRDefault="0096431C" w:rsidP="0096431C">
            <w:pPr>
              <w:tabs>
                <w:tab w:val="left" w:pos="93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Variable</w:t>
            </w:r>
          </w:p>
        </w:tc>
        <w:tc>
          <w:tcPr>
            <w:tcW w:w="2337" w:type="dxa"/>
            <w:tcBorders>
              <w:left w:val="single" w:sz="4" w:space="0" w:color="auto"/>
            </w:tcBorders>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 xml:space="preserve">Firm Size </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Natural logarithm of the company's total assets.</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sidRPr="00D53826">
              <w:rPr>
                <w:rFonts w:ascii="Times New Roman" w:eastAsia="Times New Roman" w:hAnsi="Times New Roman" w:cs="Times New Roman"/>
                <w:sz w:val="24"/>
                <w:szCs w:val="24"/>
              </w:rPr>
              <w:t>Natural log of  total assets</w:t>
            </w:r>
          </w:p>
        </w:tc>
      </w:tr>
      <w:tr w:rsidR="0096431C" w:rsidTr="0096431C">
        <w:tc>
          <w:tcPr>
            <w:tcW w:w="2337" w:type="dxa"/>
            <w:tcBorders>
              <w:top w:val="nil"/>
              <w:left w:val="single" w:sz="4" w:space="0" w:color="auto"/>
              <w:bottom w:val="single" w:sz="4" w:space="0" w:color="auto"/>
              <w:right w:val="single" w:sz="4" w:space="0" w:color="auto"/>
            </w:tcBorders>
          </w:tcPr>
          <w:p w:rsidR="0096431C" w:rsidRDefault="0096431C" w:rsidP="0096431C">
            <w:pPr>
              <w:tabs>
                <w:tab w:val="left" w:pos="930"/>
              </w:tabs>
              <w:jc w:val="center"/>
              <w:rPr>
                <w:rFonts w:ascii="Times New Roman" w:eastAsia="Times New Roman" w:hAnsi="Times New Roman" w:cs="Times New Roman"/>
                <w:sz w:val="24"/>
                <w:szCs w:val="24"/>
              </w:rPr>
            </w:pPr>
          </w:p>
        </w:tc>
        <w:tc>
          <w:tcPr>
            <w:tcW w:w="2337" w:type="dxa"/>
            <w:tcBorders>
              <w:left w:val="single" w:sz="4" w:space="0" w:color="auto"/>
            </w:tcBorders>
          </w:tcPr>
          <w:p w:rsidR="0096431C" w:rsidRDefault="0096431C" w:rsidP="000C1941">
            <w:pPr>
              <w:tabs>
                <w:tab w:val="left" w:pos="930"/>
              </w:tabs>
              <w:rPr>
                <w:rFonts w:ascii="Times New Roman" w:eastAsia="Times New Roman" w:hAnsi="Times New Roman" w:cs="Times New Roman"/>
                <w:sz w:val="24"/>
                <w:szCs w:val="24"/>
              </w:rPr>
            </w:pPr>
            <w:r w:rsidRPr="0096431C">
              <w:rPr>
                <w:rFonts w:ascii="Times New Roman" w:eastAsia="Times New Roman" w:hAnsi="Times New Roman" w:cs="Times New Roman"/>
                <w:sz w:val="24"/>
                <w:szCs w:val="24"/>
              </w:rPr>
              <w:t>Return of assets</w:t>
            </w:r>
          </w:p>
        </w:tc>
        <w:tc>
          <w:tcPr>
            <w:tcW w:w="2338" w:type="dxa"/>
          </w:tcPr>
          <w:p w:rsidR="0096431C" w:rsidRDefault="00E84BD5"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well a company use its assets to generate profit</w:t>
            </w:r>
          </w:p>
        </w:tc>
        <w:tc>
          <w:tcPr>
            <w:tcW w:w="2338" w:type="dxa"/>
          </w:tcPr>
          <w:p w:rsidR="0096431C" w:rsidRDefault="00D53826"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ROA = Net Profit / Total Assets</w:t>
            </w:r>
          </w:p>
        </w:tc>
      </w:tr>
    </w:tbl>
    <w:p w:rsidR="008958A1" w:rsidRDefault="008958A1" w:rsidP="000C1941">
      <w:pPr>
        <w:tabs>
          <w:tab w:val="left" w:pos="930"/>
        </w:tabs>
        <w:rPr>
          <w:rFonts w:ascii="Times New Roman" w:eastAsia="Times New Roman" w:hAnsi="Times New Roman" w:cs="Times New Roman"/>
          <w:sz w:val="24"/>
          <w:szCs w:val="24"/>
        </w:rPr>
      </w:pPr>
    </w:p>
    <w:p w:rsidR="00E84BD5" w:rsidRPr="005728A8" w:rsidRDefault="00610D58" w:rsidP="000C1941">
      <w:pPr>
        <w:tabs>
          <w:tab w:val="left" w:pos="930"/>
        </w:tabs>
        <w:rPr>
          <w:rFonts w:ascii="Times New Roman" w:eastAsia="Times New Roman" w:hAnsi="Times New Roman" w:cs="Times New Roman"/>
          <w:b/>
          <w:sz w:val="24"/>
          <w:szCs w:val="24"/>
        </w:rPr>
      </w:pPr>
      <w:r w:rsidRPr="005728A8">
        <w:rPr>
          <w:rFonts w:ascii="Times New Roman" w:eastAsia="Times New Roman" w:hAnsi="Times New Roman" w:cs="Times New Roman"/>
          <w:b/>
          <w:sz w:val="24"/>
          <w:szCs w:val="24"/>
        </w:rPr>
        <w:t>3.7 Hypotheses Development</w:t>
      </w:r>
    </w:p>
    <w:p w:rsidR="00610D58" w:rsidRDefault="005728A8"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Hypotheses</w:t>
      </w:r>
      <w:r w:rsidR="00610D58">
        <w:rPr>
          <w:rFonts w:ascii="Times New Roman" w:eastAsia="Times New Roman" w:hAnsi="Times New Roman" w:cs="Times New Roman"/>
          <w:sz w:val="24"/>
          <w:szCs w:val="24"/>
        </w:rPr>
        <w:t xml:space="preserve"> are developed to find out the relationship between corporate governance </w:t>
      </w:r>
      <w:r>
        <w:rPr>
          <w:rFonts w:ascii="Times New Roman" w:eastAsia="Times New Roman" w:hAnsi="Times New Roman" w:cs="Times New Roman"/>
          <w:sz w:val="24"/>
          <w:szCs w:val="24"/>
        </w:rPr>
        <w:t>machinimas</w:t>
      </w:r>
      <w:r w:rsidR="00610D58">
        <w:rPr>
          <w:rFonts w:ascii="Times New Roman" w:eastAsia="Times New Roman" w:hAnsi="Times New Roman" w:cs="Times New Roman"/>
          <w:sz w:val="24"/>
          <w:szCs w:val="24"/>
        </w:rPr>
        <w:t xml:space="preserve"> and dividend policy. Based on the </w:t>
      </w:r>
      <w:r>
        <w:rPr>
          <w:rFonts w:ascii="Times New Roman" w:eastAsia="Times New Roman" w:hAnsi="Times New Roman" w:cs="Times New Roman"/>
          <w:sz w:val="24"/>
          <w:szCs w:val="24"/>
        </w:rPr>
        <w:t>theoretical</w:t>
      </w:r>
      <w:r w:rsidR="00610D58">
        <w:rPr>
          <w:rFonts w:ascii="Times New Roman" w:eastAsia="Times New Roman" w:hAnsi="Times New Roman" w:cs="Times New Roman"/>
          <w:sz w:val="24"/>
          <w:szCs w:val="24"/>
        </w:rPr>
        <w:t xml:space="preserve"> and empirical </w:t>
      </w:r>
      <w:r>
        <w:rPr>
          <w:rFonts w:ascii="Times New Roman" w:eastAsia="Times New Roman" w:hAnsi="Times New Roman" w:cs="Times New Roman"/>
          <w:sz w:val="24"/>
          <w:szCs w:val="24"/>
        </w:rPr>
        <w:t>literature</w:t>
      </w:r>
      <w:r w:rsidR="00610D58">
        <w:rPr>
          <w:rFonts w:ascii="Times New Roman" w:eastAsia="Times New Roman" w:hAnsi="Times New Roman" w:cs="Times New Roman"/>
          <w:sz w:val="24"/>
          <w:szCs w:val="24"/>
        </w:rPr>
        <w:t xml:space="preserve"> discussed on chapter Two, corporate governance </w:t>
      </w:r>
      <w:r>
        <w:rPr>
          <w:rFonts w:ascii="Times New Roman" w:eastAsia="Times New Roman" w:hAnsi="Times New Roman" w:cs="Times New Roman"/>
          <w:sz w:val="24"/>
          <w:szCs w:val="24"/>
        </w:rPr>
        <w:t>mechanism</w:t>
      </w:r>
      <w:r w:rsidR="00610D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expect</w:t>
      </w:r>
      <w:r w:rsidR="00610D58">
        <w:rPr>
          <w:rFonts w:ascii="Times New Roman" w:eastAsia="Times New Roman" w:hAnsi="Times New Roman" w:cs="Times New Roman"/>
          <w:sz w:val="24"/>
          <w:szCs w:val="24"/>
        </w:rPr>
        <w:t xml:space="preserve"> to influence firm’s dividend </w:t>
      </w:r>
      <w:r>
        <w:rPr>
          <w:rFonts w:ascii="Times New Roman" w:eastAsia="Times New Roman" w:hAnsi="Times New Roman" w:cs="Times New Roman"/>
          <w:sz w:val="24"/>
          <w:szCs w:val="24"/>
        </w:rPr>
        <w:t>dissensions</w:t>
      </w:r>
      <w:r w:rsidR="00610D58">
        <w:rPr>
          <w:rFonts w:ascii="Times New Roman" w:eastAsia="Times New Roman" w:hAnsi="Times New Roman" w:cs="Times New Roman"/>
          <w:sz w:val="24"/>
          <w:szCs w:val="24"/>
        </w:rPr>
        <w:t xml:space="preserve"> and firm </w:t>
      </w:r>
      <w:r>
        <w:rPr>
          <w:rFonts w:ascii="Times New Roman" w:eastAsia="Times New Roman" w:hAnsi="Times New Roman" w:cs="Times New Roman"/>
          <w:sz w:val="24"/>
          <w:szCs w:val="24"/>
        </w:rPr>
        <w:t>performance</w:t>
      </w:r>
      <w:r w:rsidR="00610D58">
        <w:rPr>
          <w:rFonts w:ascii="Times New Roman" w:eastAsia="Times New Roman" w:hAnsi="Times New Roman" w:cs="Times New Roman"/>
          <w:sz w:val="24"/>
          <w:szCs w:val="24"/>
        </w:rPr>
        <w:t>.</w:t>
      </w:r>
    </w:p>
    <w:p w:rsidR="00610D58" w:rsidRDefault="00610D58"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dividend policy is measured using two </w:t>
      </w:r>
      <w:r w:rsidR="00A1004F">
        <w:rPr>
          <w:rFonts w:ascii="Times New Roman" w:eastAsia="Times New Roman" w:hAnsi="Times New Roman" w:cs="Times New Roman"/>
          <w:sz w:val="24"/>
          <w:szCs w:val="24"/>
        </w:rPr>
        <w:t>variables</w:t>
      </w:r>
      <w:r>
        <w:rPr>
          <w:rFonts w:ascii="Times New Roman" w:eastAsia="Times New Roman" w:hAnsi="Times New Roman" w:cs="Times New Roman"/>
          <w:sz w:val="24"/>
          <w:szCs w:val="24"/>
        </w:rPr>
        <w:t xml:space="preserve">: Dividend payout ratio (DPR) and earning per share (EPS). Therefore separate </w:t>
      </w:r>
      <w:r w:rsidR="005728A8">
        <w:rPr>
          <w:rFonts w:ascii="Times New Roman" w:eastAsia="Times New Roman" w:hAnsi="Times New Roman" w:cs="Times New Roman"/>
          <w:sz w:val="24"/>
          <w:szCs w:val="24"/>
        </w:rPr>
        <w:t>hypotheses</w:t>
      </w:r>
      <w:r>
        <w:rPr>
          <w:rFonts w:ascii="Times New Roman" w:eastAsia="Times New Roman" w:hAnsi="Times New Roman" w:cs="Times New Roman"/>
          <w:sz w:val="24"/>
          <w:szCs w:val="24"/>
        </w:rPr>
        <w:t xml:space="preserve"> are </w:t>
      </w:r>
      <w:r w:rsidR="005728A8">
        <w:rPr>
          <w:rFonts w:ascii="Times New Roman" w:eastAsia="Times New Roman" w:hAnsi="Times New Roman" w:cs="Times New Roman"/>
          <w:sz w:val="24"/>
          <w:szCs w:val="24"/>
        </w:rPr>
        <w:t>built</w:t>
      </w:r>
      <w:r>
        <w:rPr>
          <w:rFonts w:ascii="Times New Roman" w:eastAsia="Times New Roman" w:hAnsi="Times New Roman" w:cs="Times New Roman"/>
          <w:sz w:val="24"/>
          <w:szCs w:val="24"/>
        </w:rPr>
        <w:t xml:space="preserve"> to </w:t>
      </w:r>
      <w:r w:rsidR="00945C64">
        <w:rPr>
          <w:rFonts w:ascii="Times New Roman" w:eastAsia="Times New Roman" w:hAnsi="Times New Roman" w:cs="Times New Roman"/>
          <w:sz w:val="24"/>
          <w:szCs w:val="24"/>
        </w:rPr>
        <w:t>show</w:t>
      </w:r>
      <w:r>
        <w:rPr>
          <w:rFonts w:ascii="Times New Roman" w:eastAsia="Times New Roman" w:hAnsi="Times New Roman" w:cs="Times New Roman"/>
          <w:sz w:val="24"/>
          <w:szCs w:val="24"/>
        </w:rPr>
        <w:t xml:space="preserve"> the </w:t>
      </w:r>
      <w:r w:rsidR="005728A8">
        <w:rPr>
          <w:rFonts w:ascii="Times New Roman" w:eastAsia="Times New Roman" w:hAnsi="Times New Roman" w:cs="Times New Roman"/>
          <w:sz w:val="24"/>
          <w:szCs w:val="24"/>
        </w:rPr>
        <w:t>impact</w:t>
      </w:r>
      <w:r>
        <w:rPr>
          <w:rFonts w:ascii="Times New Roman" w:eastAsia="Times New Roman" w:hAnsi="Times New Roman" w:cs="Times New Roman"/>
          <w:sz w:val="24"/>
          <w:szCs w:val="24"/>
        </w:rPr>
        <w:t xml:space="preserve"> of corporate governance variables on each dividend policy variables.</w:t>
      </w:r>
    </w:p>
    <w:p w:rsidR="005728A8" w:rsidRPr="005728A8" w:rsidRDefault="005728A8" w:rsidP="005728A8">
      <w:pPr>
        <w:tabs>
          <w:tab w:val="left" w:pos="930"/>
        </w:tabs>
        <w:rPr>
          <w:rFonts w:ascii="Times New Roman" w:eastAsia="Times New Roman" w:hAnsi="Times New Roman" w:cs="Times New Roman"/>
          <w:b/>
          <w:bCs/>
          <w:sz w:val="24"/>
          <w:szCs w:val="24"/>
        </w:rPr>
      </w:pPr>
      <w:r w:rsidRPr="005728A8">
        <w:rPr>
          <w:rFonts w:ascii="Times New Roman" w:eastAsia="Times New Roman" w:hAnsi="Times New Roman" w:cs="Times New Roman"/>
          <w:b/>
          <w:bCs/>
          <w:sz w:val="24"/>
          <w:szCs w:val="24"/>
        </w:rPr>
        <w:t>Main Hypothesis</w:t>
      </w:r>
    </w:p>
    <w:p w:rsidR="00945C64" w:rsidRDefault="005728A8" w:rsidP="00945C64">
      <w:pPr>
        <w:tabs>
          <w:tab w:val="left" w:pos="930"/>
        </w:tabs>
        <w:rPr>
          <w:rFonts w:ascii="Times New Roman" w:eastAsia="Times New Roman" w:hAnsi="Times New Roman" w:cs="Times New Roman"/>
          <w:sz w:val="24"/>
          <w:szCs w:val="24"/>
        </w:rPr>
      </w:pPr>
      <w:r w:rsidRPr="005728A8">
        <w:rPr>
          <w:rFonts w:ascii="Times New Roman" w:eastAsia="Times New Roman" w:hAnsi="Times New Roman" w:cs="Times New Roman"/>
          <w:sz w:val="24"/>
          <w:szCs w:val="24"/>
        </w:rPr>
        <w:t xml:space="preserve">H₁: </w:t>
      </w:r>
      <w:r w:rsidR="00945C64" w:rsidRPr="005728A8">
        <w:rPr>
          <w:rFonts w:ascii="Times New Roman" w:eastAsia="Times New Roman" w:hAnsi="Times New Roman" w:cs="Times New Roman"/>
          <w:sz w:val="24"/>
          <w:szCs w:val="24"/>
        </w:rPr>
        <w:t xml:space="preserve">There is an impact of Corporate Governance on Dividend Policy. </w:t>
      </w:r>
    </w:p>
    <w:p w:rsidR="005728A8" w:rsidRDefault="005728A8" w:rsidP="005728A8">
      <w:pPr>
        <w:tabs>
          <w:tab w:val="left" w:pos="930"/>
        </w:tabs>
        <w:rPr>
          <w:rFonts w:ascii="Times New Roman" w:eastAsia="Times New Roman" w:hAnsi="Times New Roman" w:cs="Times New Roman"/>
          <w:sz w:val="24"/>
          <w:szCs w:val="24"/>
        </w:rPr>
      </w:pPr>
      <w:r w:rsidRPr="005728A8">
        <w:rPr>
          <w:rFonts w:ascii="Times New Roman" w:eastAsia="Times New Roman" w:hAnsi="Times New Roman" w:cs="Times New Roman"/>
          <w:sz w:val="24"/>
          <w:szCs w:val="24"/>
        </w:rPr>
        <w:t xml:space="preserve">H₀: </w:t>
      </w:r>
      <w:r w:rsidR="00945C64" w:rsidRPr="005728A8">
        <w:rPr>
          <w:rFonts w:ascii="Times New Roman" w:eastAsia="Times New Roman" w:hAnsi="Times New Roman" w:cs="Times New Roman"/>
          <w:sz w:val="24"/>
          <w:szCs w:val="24"/>
        </w:rPr>
        <w:t>There is no impact of Corporate Governance on Dividend Policy.</w:t>
      </w:r>
    </w:p>
    <w:p w:rsidR="005728A8" w:rsidRPr="005728A8" w:rsidRDefault="005728A8" w:rsidP="005728A8">
      <w:pPr>
        <w:tabs>
          <w:tab w:val="left" w:pos="930"/>
        </w:tabs>
        <w:rPr>
          <w:rFonts w:ascii="Times New Roman" w:eastAsia="Times New Roman" w:hAnsi="Times New Roman" w:cs="Times New Roman"/>
          <w:b/>
          <w:bCs/>
          <w:sz w:val="24"/>
          <w:szCs w:val="24"/>
        </w:rPr>
      </w:pPr>
      <w:r w:rsidRPr="005728A8">
        <w:rPr>
          <w:rFonts w:ascii="Times New Roman" w:eastAsia="Times New Roman" w:hAnsi="Times New Roman" w:cs="Times New Roman"/>
          <w:b/>
          <w:bCs/>
          <w:sz w:val="24"/>
          <w:szCs w:val="24"/>
        </w:rPr>
        <w:t>Hypotheses for Dividend Payout Ratio (DPR)</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H₁a</w:t>
      </w:r>
      <w:proofErr w:type="spellEnd"/>
      <w:r w:rsidRPr="005728A8">
        <w:rPr>
          <w:rFonts w:ascii="Times New Roman" w:eastAsia="Times New Roman" w:hAnsi="Times New Roman" w:cs="Times New Roman"/>
          <w:sz w:val="24"/>
          <w:szCs w:val="24"/>
        </w:rPr>
        <w:t>: Board size has a significant impact on dividend payout ratio.</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H₀a</w:t>
      </w:r>
      <w:proofErr w:type="spellEnd"/>
      <w:r w:rsidRPr="005728A8">
        <w:rPr>
          <w:rFonts w:ascii="Times New Roman" w:eastAsia="Times New Roman" w:hAnsi="Times New Roman" w:cs="Times New Roman"/>
          <w:sz w:val="24"/>
          <w:szCs w:val="24"/>
        </w:rPr>
        <w:t>: Board size has no significant impact on dividend payout ratio.</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H₁b</w:t>
      </w:r>
      <w:proofErr w:type="spellEnd"/>
      <w:r w:rsidRPr="005728A8">
        <w:rPr>
          <w:rFonts w:ascii="Times New Roman" w:eastAsia="Times New Roman" w:hAnsi="Times New Roman" w:cs="Times New Roman"/>
          <w:sz w:val="24"/>
          <w:szCs w:val="24"/>
        </w:rPr>
        <w:t>: Board independence has a significant impact on dividend payout ratio.</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H₀b</w:t>
      </w:r>
      <w:proofErr w:type="spellEnd"/>
      <w:r w:rsidRPr="005728A8">
        <w:rPr>
          <w:rFonts w:ascii="Times New Roman" w:eastAsia="Times New Roman" w:hAnsi="Times New Roman" w:cs="Times New Roman"/>
          <w:sz w:val="24"/>
          <w:szCs w:val="24"/>
        </w:rPr>
        <w:t>: Board independence has no significant impact on dividend payout ratio.</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H₁c</w:t>
      </w:r>
      <w:proofErr w:type="spellEnd"/>
      <w:r w:rsidRPr="005728A8">
        <w:rPr>
          <w:rFonts w:ascii="Times New Roman" w:eastAsia="Times New Roman" w:hAnsi="Times New Roman" w:cs="Times New Roman"/>
          <w:sz w:val="24"/>
          <w:szCs w:val="24"/>
        </w:rPr>
        <w:t>: Board meetings have a significant impact on dividend payout ratio.</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H₀c</w:t>
      </w:r>
      <w:proofErr w:type="spellEnd"/>
      <w:r w:rsidRPr="005728A8">
        <w:rPr>
          <w:rFonts w:ascii="Times New Roman" w:eastAsia="Times New Roman" w:hAnsi="Times New Roman" w:cs="Times New Roman"/>
          <w:sz w:val="24"/>
          <w:szCs w:val="24"/>
        </w:rPr>
        <w:t>: Board meetings have no significant impact on dividend payout ratio.</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H₁d</w:t>
      </w:r>
      <w:proofErr w:type="spellEnd"/>
      <w:r w:rsidRPr="005728A8">
        <w:rPr>
          <w:rFonts w:ascii="Times New Roman" w:eastAsia="Times New Roman" w:hAnsi="Times New Roman" w:cs="Times New Roman"/>
          <w:sz w:val="24"/>
          <w:szCs w:val="24"/>
        </w:rPr>
        <w:t>: CEO duality has a significant impact on dividend payout ratio.</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H₀d</w:t>
      </w:r>
      <w:proofErr w:type="spellEnd"/>
      <w:r w:rsidRPr="005728A8">
        <w:rPr>
          <w:rFonts w:ascii="Times New Roman" w:eastAsia="Times New Roman" w:hAnsi="Times New Roman" w:cs="Times New Roman"/>
          <w:sz w:val="24"/>
          <w:szCs w:val="24"/>
        </w:rPr>
        <w:t>: CEO duality has no significant impact on dividend payout ratio.</w:t>
      </w:r>
    </w:p>
    <w:p w:rsidR="005728A8" w:rsidRDefault="005728A8" w:rsidP="005728A8">
      <w:pPr>
        <w:tabs>
          <w:tab w:val="left" w:pos="930"/>
        </w:tabs>
        <w:rPr>
          <w:rFonts w:ascii="Times New Roman" w:eastAsia="Times New Roman" w:hAnsi="Times New Roman" w:cs="Times New Roman"/>
          <w:b/>
          <w:bCs/>
          <w:sz w:val="24"/>
          <w:szCs w:val="24"/>
        </w:rPr>
      </w:pPr>
    </w:p>
    <w:p w:rsidR="005728A8" w:rsidRDefault="005728A8" w:rsidP="005728A8">
      <w:pPr>
        <w:tabs>
          <w:tab w:val="left" w:pos="930"/>
        </w:tabs>
        <w:rPr>
          <w:rFonts w:ascii="Times New Roman" w:eastAsia="Times New Roman" w:hAnsi="Times New Roman" w:cs="Times New Roman"/>
          <w:b/>
          <w:bCs/>
          <w:sz w:val="24"/>
          <w:szCs w:val="24"/>
        </w:rPr>
      </w:pPr>
    </w:p>
    <w:p w:rsidR="005728A8" w:rsidRPr="005728A8" w:rsidRDefault="005728A8" w:rsidP="005728A8">
      <w:pPr>
        <w:tabs>
          <w:tab w:val="left" w:pos="930"/>
        </w:tabs>
        <w:rPr>
          <w:rFonts w:ascii="Times New Roman" w:eastAsia="Times New Roman" w:hAnsi="Times New Roman" w:cs="Times New Roman"/>
          <w:b/>
          <w:bCs/>
          <w:sz w:val="24"/>
          <w:szCs w:val="24"/>
        </w:rPr>
      </w:pPr>
      <w:r w:rsidRPr="005728A8">
        <w:rPr>
          <w:rFonts w:ascii="Times New Roman" w:eastAsia="Times New Roman" w:hAnsi="Times New Roman" w:cs="Times New Roman"/>
          <w:b/>
          <w:bCs/>
          <w:sz w:val="24"/>
          <w:szCs w:val="24"/>
        </w:rPr>
        <w:lastRenderedPageBreak/>
        <w:t xml:space="preserve">Hypotheses for Earnings </w:t>
      </w:r>
      <w:r w:rsidR="00A1004F" w:rsidRPr="005728A8">
        <w:rPr>
          <w:rFonts w:ascii="Times New Roman" w:eastAsia="Times New Roman" w:hAnsi="Times New Roman" w:cs="Times New Roman"/>
          <w:b/>
          <w:bCs/>
          <w:sz w:val="24"/>
          <w:szCs w:val="24"/>
        </w:rPr>
        <w:t>per</w:t>
      </w:r>
      <w:r w:rsidRPr="005728A8">
        <w:rPr>
          <w:rFonts w:ascii="Times New Roman" w:eastAsia="Times New Roman" w:hAnsi="Times New Roman" w:cs="Times New Roman"/>
          <w:b/>
          <w:bCs/>
          <w:sz w:val="24"/>
          <w:szCs w:val="24"/>
        </w:rPr>
        <w:t xml:space="preserve"> Share (EPS)</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H₂a</w:t>
      </w:r>
      <w:proofErr w:type="spellEnd"/>
      <w:r w:rsidRPr="005728A8">
        <w:rPr>
          <w:rFonts w:ascii="Times New Roman" w:eastAsia="Times New Roman" w:hAnsi="Times New Roman" w:cs="Times New Roman"/>
          <w:sz w:val="24"/>
          <w:szCs w:val="24"/>
        </w:rPr>
        <w:t>: Board size has a significant impact on earnings per share.</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H₀a</w:t>
      </w:r>
      <w:proofErr w:type="spellEnd"/>
      <w:r w:rsidRPr="005728A8">
        <w:rPr>
          <w:rFonts w:ascii="Times New Roman" w:eastAsia="Times New Roman" w:hAnsi="Times New Roman" w:cs="Times New Roman"/>
          <w:sz w:val="24"/>
          <w:szCs w:val="24"/>
        </w:rPr>
        <w:t>: Board size has no significant impact on earnings per share.</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H₂b</w:t>
      </w:r>
      <w:proofErr w:type="spellEnd"/>
      <w:r w:rsidRPr="005728A8">
        <w:rPr>
          <w:rFonts w:ascii="Times New Roman" w:eastAsia="Times New Roman" w:hAnsi="Times New Roman" w:cs="Times New Roman"/>
          <w:sz w:val="24"/>
          <w:szCs w:val="24"/>
        </w:rPr>
        <w:t>: Board independence has a significant impact on earnings per share.</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H₀b</w:t>
      </w:r>
      <w:proofErr w:type="spellEnd"/>
      <w:r w:rsidRPr="005728A8">
        <w:rPr>
          <w:rFonts w:ascii="Times New Roman" w:eastAsia="Times New Roman" w:hAnsi="Times New Roman" w:cs="Times New Roman"/>
          <w:sz w:val="24"/>
          <w:szCs w:val="24"/>
        </w:rPr>
        <w:t>: Board independence has no significant impact on earnings per share.</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H₂c</w:t>
      </w:r>
      <w:proofErr w:type="spellEnd"/>
      <w:r w:rsidRPr="005728A8">
        <w:rPr>
          <w:rFonts w:ascii="Times New Roman" w:eastAsia="Times New Roman" w:hAnsi="Times New Roman" w:cs="Times New Roman"/>
          <w:sz w:val="24"/>
          <w:szCs w:val="24"/>
        </w:rPr>
        <w:t>: Board meetings have a significant impact on earnings per share.</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H₀c</w:t>
      </w:r>
      <w:proofErr w:type="spellEnd"/>
      <w:r w:rsidRPr="005728A8">
        <w:rPr>
          <w:rFonts w:ascii="Times New Roman" w:eastAsia="Times New Roman" w:hAnsi="Times New Roman" w:cs="Times New Roman"/>
          <w:sz w:val="24"/>
          <w:szCs w:val="24"/>
        </w:rPr>
        <w:t>: Board meetings have no significant impact on earnings per share.</w:t>
      </w:r>
    </w:p>
    <w:p w:rsidR="005728A8" w:rsidRPr="005728A8" w:rsidRDefault="005728A8" w:rsidP="005728A8">
      <w:pPr>
        <w:tabs>
          <w:tab w:val="left" w:pos="930"/>
        </w:tabs>
        <w:rPr>
          <w:rFonts w:ascii="Times New Roman" w:eastAsia="Times New Roman" w:hAnsi="Times New Roman" w:cs="Times New Roman"/>
          <w:sz w:val="24"/>
          <w:szCs w:val="24"/>
        </w:rPr>
      </w:pPr>
      <w:proofErr w:type="spellStart"/>
      <w:r w:rsidRPr="005728A8">
        <w:rPr>
          <w:rFonts w:ascii="Times New Roman" w:eastAsia="Times New Roman" w:hAnsi="Times New Roman" w:cs="Times New Roman"/>
          <w:sz w:val="24"/>
          <w:szCs w:val="24"/>
        </w:rPr>
        <w:t>H₂d</w:t>
      </w:r>
      <w:proofErr w:type="spellEnd"/>
      <w:r w:rsidRPr="005728A8">
        <w:rPr>
          <w:rFonts w:ascii="Times New Roman" w:eastAsia="Times New Roman" w:hAnsi="Times New Roman" w:cs="Times New Roman"/>
          <w:sz w:val="24"/>
          <w:szCs w:val="24"/>
        </w:rPr>
        <w:t>: CEO duality has a significant impact on earnings per share.</w:t>
      </w:r>
      <w:r w:rsidRPr="005728A8">
        <w:rPr>
          <w:rFonts w:ascii="Times New Roman" w:eastAsia="Times New Roman" w:hAnsi="Times New Roman" w:cs="Times New Roman"/>
          <w:sz w:val="24"/>
          <w:szCs w:val="24"/>
        </w:rPr>
        <w:br/>
      </w:r>
      <w:proofErr w:type="spellStart"/>
      <w:r w:rsidRPr="005728A8">
        <w:rPr>
          <w:rFonts w:ascii="Times New Roman" w:eastAsia="Times New Roman" w:hAnsi="Times New Roman" w:cs="Times New Roman"/>
          <w:sz w:val="24"/>
          <w:szCs w:val="24"/>
        </w:rPr>
        <w:t>H₀d</w:t>
      </w:r>
      <w:proofErr w:type="spellEnd"/>
      <w:r w:rsidRPr="005728A8">
        <w:rPr>
          <w:rFonts w:ascii="Times New Roman" w:eastAsia="Times New Roman" w:hAnsi="Times New Roman" w:cs="Times New Roman"/>
          <w:sz w:val="24"/>
          <w:szCs w:val="24"/>
        </w:rPr>
        <w:t>: CEO duality has no significant impact on earnings per share.</w:t>
      </w:r>
    </w:p>
    <w:p w:rsidR="005728A8" w:rsidRDefault="004579EC" w:rsidP="000C1941">
      <w:pPr>
        <w:tabs>
          <w:tab w:val="left" w:pos="930"/>
        </w:tabs>
        <w:rPr>
          <w:rFonts w:ascii="Times New Roman" w:eastAsia="Times New Roman" w:hAnsi="Times New Roman" w:cs="Times New Roman"/>
          <w:b/>
          <w:sz w:val="24"/>
          <w:szCs w:val="24"/>
        </w:rPr>
      </w:pPr>
      <w:r w:rsidRPr="004579EC">
        <w:rPr>
          <w:rFonts w:ascii="Times New Roman" w:eastAsia="Times New Roman" w:hAnsi="Times New Roman" w:cs="Times New Roman"/>
          <w:b/>
          <w:sz w:val="24"/>
          <w:szCs w:val="24"/>
        </w:rPr>
        <w:t>3.8 Model Specification</w:t>
      </w:r>
    </w:p>
    <w:p w:rsidR="004579EC" w:rsidRDefault="004579EC" w:rsidP="000C1941">
      <w:pPr>
        <w:tabs>
          <w:tab w:val="left" w:pos="930"/>
        </w:tabs>
        <w:rPr>
          <w:rFonts w:ascii="Times New Roman" w:eastAsia="Times New Roman" w:hAnsi="Times New Roman" w:cs="Times New Roman"/>
          <w:sz w:val="24"/>
          <w:szCs w:val="24"/>
        </w:rPr>
      </w:pPr>
      <w:r w:rsidRPr="004579EC">
        <w:rPr>
          <w:rFonts w:ascii="Times New Roman" w:eastAsia="Times New Roman" w:hAnsi="Times New Roman" w:cs="Times New Roman"/>
          <w:sz w:val="24"/>
          <w:szCs w:val="24"/>
        </w:rPr>
        <w:t xml:space="preserve">Model speciation </w:t>
      </w:r>
      <w:r>
        <w:rPr>
          <w:rFonts w:ascii="Times New Roman" w:eastAsia="Times New Roman" w:hAnsi="Times New Roman" w:cs="Times New Roman"/>
          <w:sz w:val="24"/>
          <w:szCs w:val="24"/>
        </w:rPr>
        <w:t>shows the mathematical representation of the relationship between independent variables and dependent variables of the study. In this research regression analysis is used to examine the impact of corporate governance variable on dividend policy among non-financial listed companies in Sri Lanka.</w:t>
      </w:r>
    </w:p>
    <w:p w:rsidR="004579EC" w:rsidRDefault="004579EC" w:rsidP="000C1941">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dividend policy are measured using Two variables namely dividend payout ratio and earning per share two regression models are developed in this study.</w:t>
      </w:r>
    </w:p>
    <w:p w:rsidR="00AF45A2" w:rsidRPr="00AF45A2" w:rsidRDefault="00AF45A2" w:rsidP="00AF45A2">
      <w:pPr>
        <w:tabs>
          <w:tab w:val="left" w:pos="930"/>
        </w:tabs>
        <w:rPr>
          <w:rFonts w:ascii="Times New Roman" w:eastAsia="Times New Roman" w:hAnsi="Times New Roman" w:cs="Times New Roman"/>
          <w:b/>
          <w:bCs/>
          <w:sz w:val="24"/>
          <w:szCs w:val="24"/>
        </w:rPr>
      </w:pPr>
      <w:r w:rsidRPr="00AF45A2">
        <w:rPr>
          <w:rFonts w:ascii="Times New Roman" w:eastAsia="Times New Roman" w:hAnsi="Times New Roman" w:cs="Times New Roman"/>
          <w:b/>
          <w:bCs/>
          <w:sz w:val="24"/>
          <w:szCs w:val="24"/>
        </w:rPr>
        <w:t>Model 1: Dividend Payout Ratio (DPR)</w:t>
      </w:r>
    </w:p>
    <w:p w:rsidR="00AF45A2" w:rsidRPr="00AF45A2" w:rsidRDefault="00AF45A2" w:rsidP="00AF45A2">
      <w:pPr>
        <w:tabs>
          <w:tab w:val="left" w:pos="930"/>
        </w:tabs>
        <w:rPr>
          <w:rFonts w:ascii="Times New Roman" w:eastAsia="Times New Roman" w:hAnsi="Times New Roman" w:cs="Times New Roman"/>
          <w:sz w:val="24"/>
          <w:szCs w:val="24"/>
        </w:rPr>
      </w:pPr>
      <w:r w:rsidRPr="00AF45A2">
        <w:rPr>
          <w:rFonts w:ascii="Times New Roman" w:eastAsia="Times New Roman" w:hAnsi="Times New Roman" w:cs="Times New Roman"/>
          <w:sz w:val="24"/>
          <w:szCs w:val="24"/>
        </w:rPr>
        <w:t>DPR = β₀ + β₁BS + β₂BM + β₃BI + β₄CD + β₅FS + β₆ROA + ε</w:t>
      </w:r>
    </w:p>
    <w:p w:rsidR="00AF45A2" w:rsidRPr="00AF45A2" w:rsidRDefault="00AF45A2" w:rsidP="00AF45A2">
      <w:pPr>
        <w:tabs>
          <w:tab w:val="left" w:pos="930"/>
        </w:tabs>
        <w:rPr>
          <w:rFonts w:ascii="Times New Roman" w:eastAsia="Times New Roman" w:hAnsi="Times New Roman" w:cs="Times New Roman"/>
          <w:b/>
          <w:bCs/>
          <w:sz w:val="24"/>
          <w:szCs w:val="24"/>
        </w:rPr>
      </w:pPr>
      <w:r w:rsidRPr="00AF45A2">
        <w:rPr>
          <w:rFonts w:ascii="Times New Roman" w:eastAsia="Times New Roman" w:hAnsi="Times New Roman" w:cs="Times New Roman"/>
          <w:b/>
          <w:bCs/>
          <w:sz w:val="24"/>
          <w:szCs w:val="24"/>
        </w:rPr>
        <w:t>Model 2: Earnings per Share (EPS)</w:t>
      </w:r>
    </w:p>
    <w:p w:rsidR="00AF45A2" w:rsidRDefault="00AF45A2" w:rsidP="00AF45A2">
      <w:pPr>
        <w:tabs>
          <w:tab w:val="left" w:pos="930"/>
        </w:tabs>
        <w:rPr>
          <w:rFonts w:ascii="Times New Roman" w:eastAsia="Times New Roman" w:hAnsi="Times New Roman" w:cs="Times New Roman"/>
          <w:sz w:val="24"/>
          <w:szCs w:val="24"/>
        </w:rPr>
      </w:pPr>
      <w:r w:rsidRPr="00AF45A2">
        <w:rPr>
          <w:rFonts w:ascii="Times New Roman" w:eastAsia="Times New Roman" w:hAnsi="Times New Roman" w:cs="Times New Roman"/>
          <w:sz w:val="24"/>
          <w:szCs w:val="24"/>
        </w:rPr>
        <w:t>EPS = β₀ + β₁BS + β₂BM + β₃BI + β₄CD + β₅FS + β₆ROA + ε</w:t>
      </w:r>
    </w:p>
    <w:p w:rsidR="00AF45A2" w:rsidRPr="00AF45A2" w:rsidRDefault="00AF45A2" w:rsidP="00AF45A2">
      <w:pPr>
        <w:tabs>
          <w:tab w:val="left" w:pos="93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DPR</w:t>
      </w:r>
      <w:r w:rsidRPr="00AF45A2">
        <w:rPr>
          <w:rFonts w:ascii="Times New Roman" w:eastAsia="Times New Roman" w:hAnsi="Times New Roman" w:cs="Times New Roman"/>
          <w:sz w:val="24"/>
          <w:szCs w:val="24"/>
        </w:rPr>
        <w:t> = Dividend Payout Ratio</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EPS</w:t>
      </w:r>
      <w:r w:rsidRPr="00AF45A2">
        <w:rPr>
          <w:rFonts w:ascii="Times New Roman" w:eastAsia="Times New Roman" w:hAnsi="Times New Roman" w:cs="Times New Roman"/>
          <w:sz w:val="24"/>
          <w:szCs w:val="24"/>
        </w:rPr>
        <w:t xml:space="preserve"> = Earnings </w:t>
      </w:r>
      <w:proofErr w:type="gramStart"/>
      <w:r w:rsidRPr="00AF45A2">
        <w:rPr>
          <w:rFonts w:ascii="Times New Roman" w:eastAsia="Times New Roman" w:hAnsi="Times New Roman" w:cs="Times New Roman"/>
          <w:sz w:val="24"/>
          <w:szCs w:val="24"/>
        </w:rPr>
        <w:t>Per</w:t>
      </w:r>
      <w:proofErr w:type="gramEnd"/>
      <w:r w:rsidRPr="00AF45A2">
        <w:rPr>
          <w:rFonts w:ascii="Times New Roman" w:eastAsia="Times New Roman" w:hAnsi="Times New Roman" w:cs="Times New Roman"/>
          <w:sz w:val="24"/>
          <w:szCs w:val="24"/>
        </w:rPr>
        <w:t xml:space="preserve"> Share</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BS</w:t>
      </w:r>
      <w:r w:rsidRPr="00AF45A2">
        <w:rPr>
          <w:rFonts w:ascii="Times New Roman" w:eastAsia="Times New Roman" w:hAnsi="Times New Roman" w:cs="Times New Roman"/>
          <w:sz w:val="24"/>
          <w:szCs w:val="24"/>
        </w:rPr>
        <w:t> = Board Size</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BM</w:t>
      </w:r>
      <w:r w:rsidRPr="00AF45A2">
        <w:rPr>
          <w:rFonts w:ascii="Times New Roman" w:eastAsia="Times New Roman" w:hAnsi="Times New Roman" w:cs="Times New Roman"/>
          <w:sz w:val="24"/>
          <w:szCs w:val="24"/>
        </w:rPr>
        <w:t> = Board Meetings</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BI</w:t>
      </w:r>
      <w:r w:rsidRPr="00AF45A2">
        <w:rPr>
          <w:rFonts w:ascii="Times New Roman" w:eastAsia="Times New Roman" w:hAnsi="Times New Roman" w:cs="Times New Roman"/>
          <w:sz w:val="24"/>
          <w:szCs w:val="24"/>
        </w:rPr>
        <w:t> = Board Independence</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CD</w:t>
      </w:r>
      <w:r w:rsidRPr="00AF45A2">
        <w:rPr>
          <w:rFonts w:ascii="Times New Roman" w:eastAsia="Times New Roman" w:hAnsi="Times New Roman" w:cs="Times New Roman"/>
          <w:sz w:val="24"/>
          <w:szCs w:val="24"/>
        </w:rPr>
        <w:t> = CEO Duality</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FS</w:t>
      </w:r>
      <w:r w:rsidRPr="00AF45A2">
        <w:rPr>
          <w:rFonts w:ascii="Times New Roman" w:eastAsia="Times New Roman" w:hAnsi="Times New Roman" w:cs="Times New Roman"/>
          <w:sz w:val="24"/>
          <w:szCs w:val="24"/>
        </w:rPr>
        <w:t> = Firm Size</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ROA</w:t>
      </w:r>
      <w:r w:rsidRPr="00AF45A2">
        <w:rPr>
          <w:rFonts w:ascii="Times New Roman" w:eastAsia="Times New Roman" w:hAnsi="Times New Roman" w:cs="Times New Roman"/>
          <w:sz w:val="24"/>
          <w:szCs w:val="24"/>
        </w:rPr>
        <w:t> = Return on Assets</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t>β₀</w:t>
      </w:r>
      <w:r w:rsidRPr="00AF45A2">
        <w:rPr>
          <w:rFonts w:ascii="Times New Roman" w:eastAsia="Times New Roman" w:hAnsi="Times New Roman" w:cs="Times New Roman"/>
          <w:sz w:val="24"/>
          <w:szCs w:val="24"/>
        </w:rPr>
        <w:t> = Constant term</w:t>
      </w:r>
    </w:p>
    <w:p w:rsidR="00AF45A2" w:rsidRPr="00AF45A2" w:rsidRDefault="00AF45A2" w:rsidP="00AF45A2">
      <w:pPr>
        <w:tabs>
          <w:tab w:val="left" w:pos="930"/>
        </w:tabs>
        <w:ind w:left="360"/>
        <w:rPr>
          <w:rFonts w:ascii="Times New Roman" w:eastAsia="Times New Roman" w:hAnsi="Times New Roman" w:cs="Times New Roman"/>
          <w:sz w:val="24"/>
          <w:szCs w:val="24"/>
        </w:rPr>
      </w:pPr>
      <w:proofErr w:type="gramStart"/>
      <w:r w:rsidRPr="00AF45A2">
        <w:rPr>
          <w:rFonts w:ascii="Times New Roman" w:eastAsia="Times New Roman" w:hAnsi="Times New Roman" w:cs="Times New Roman"/>
          <w:b/>
          <w:bCs/>
          <w:sz w:val="24"/>
          <w:szCs w:val="24"/>
        </w:rPr>
        <w:t>β₁–β₆</w:t>
      </w:r>
      <w:proofErr w:type="gramEnd"/>
      <w:r w:rsidRPr="00AF45A2">
        <w:rPr>
          <w:rFonts w:ascii="Times New Roman" w:eastAsia="Times New Roman" w:hAnsi="Times New Roman" w:cs="Times New Roman"/>
          <w:sz w:val="24"/>
          <w:szCs w:val="24"/>
        </w:rPr>
        <w:t> = Coefficients of independent variables</w:t>
      </w:r>
    </w:p>
    <w:p w:rsidR="00AF45A2" w:rsidRPr="00AF45A2" w:rsidRDefault="00AF45A2" w:rsidP="00AF45A2">
      <w:pPr>
        <w:tabs>
          <w:tab w:val="left" w:pos="930"/>
        </w:tabs>
        <w:ind w:left="360"/>
        <w:rPr>
          <w:rFonts w:ascii="Times New Roman" w:eastAsia="Times New Roman" w:hAnsi="Times New Roman" w:cs="Times New Roman"/>
          <w:sz w:val="24"/>
          <w:szCs w:val="24"/>
        </w:rPr>
      </w:pPr>
      <w:r w:rsidRPr="00AF45A2">
        <w:rPr>
          <w:rFonts w:ascii="Times New Roman" w:eastAsia="Times New Roman" w:hAnsi="Times New Roman" w:cs="Times New Roman"/>
          <w:b/>
          <w:bCs/>
          <w:sz w:val="24"/>
          <w:szCs w:val="24"/>
        </w:rPr>
        <w:lastRenderedPageBreak/>
        <w:t>ε</w:t>
      </w:r>
      <w:r w:rsidRPr="00AF45A2">
        <w:rPr>
          <w:rFonts w:ascii="Times New Roman" w:eastAsia="Times New Roman" w:hAnsi="Times New Roman" w:cs="Times New Roman"/>
          <w:sz w:val="24"/>
          <w:szCs w:val="24"/>
        </w:rPr>
        <w:t> = Error term</w:t>
      </w:r>
    </w:p>
    <w:p w:rsidR="00D212BF" w:rsidRDefault="00D212BF" w:rsidP="00D212BF">
      <w:pPr>
        <w:pStyle w:val="NormalWeb"/>
      </w:pPr>
      <w:r>
        <w:rPr>
          <w:rStyle w:val="Strong"/>
        </w:rPr>
        <w:t>3.9 Data Analysis Method</w:t>
      </w:r>
    </w:p>
    <w:p w:rsidR="00D212BF" w:rsidRDefault="00D212BF" w:rsidP="00D212BF">
      <w:pPr>
        <w:pStyle w:val="NormalWeb"/>
      </w:pPr>
      <w:r>
        <w:t xml:space="preserve">The collected data are analyzed using statistical techniques to find out the impact of corporate governance on dividend policy. For this analysis, </w:t>
      </w:r>
      <w:r>
        <w:rPr>
          <w:rStyle w:val="Strong"/>
        </w:rPr>
        <w:t>Stata</w:t>
      </w:r>
      <w:r>
        <w:t xml:space="preserve"> software will be used, which is suitable for panel data analysis.</w:t>
      </w:r>
    </w:p>
    <w:p w:rsidR="00D212BF" w:rsidRDefault="00D212BF" w:rsidP="00D212BF">
      <w:pPr>
        <w:pStyle w:val="NormalWeb"/>
      </w:pPr>
      <w:r>
        <w:t>Descriptive statistics are used to summarize the data, including mean, minimum, maximum, and standard deviation. This provides the overall understanding of the study.</w:t>
      </w:r>
    </w:p>
    <w:p w:rsidR="00D212BF" w:rsidRDefault="00D212BF" w:rsidP="00D212BF">
      <w:pPr>
        <w:pStyle w:val="NormalWeb"/>
      </w:pPr>
      <w:r>
        <w:t>Correlation analysis is conducted to examine the relationship between independent and dependent variables and find out any multicollinearity issues.</w:t>
      </w:r>
    </w:p>
    <w:p w:rsidR="00D212BF" w:rsidRDefault="00D212BF" w:rsidP="00D212BF">
      <w:pPr>
        <w:pStyle w:val="NormalWeb"/>
      </w:pPr>
      <w:r>
        <w:t>Multiple regression analysis is used as the main analytical technique to test the hypothesis and determine the impact of the corporate governance variable on dividend policy. Two regression models are applied using dividend payout ratio (DPR) and earnings per share (EPS) as dependent variables.</w:t>
      </w:r>
    </w:p>
    <w:p w:rsidR="00D212BF" w:rsidRDefault="00D212BF" w:rsidP="00D212BF">
      <w:pPr>
        <w:pStyle w:val="NormalWeb"/>
      </w:pPr>
    </w:p>
    <w:p w:rsidR="00D212BF" w:rsidRPr="00D212BF" w:rsidRDefault="00D212BF" w:rsidP="00D212BF">
      <w:pPr>
        <w:pStyle w:val="NormalWeb"/>
        <w:rPr>
          <w:b/>
        </w:rPr>
      </w:pPr>
      <w:r w:rsidRPr="00D212BF">
        <w:rPr>
          <w:b/>
        </w:rPr>
        <w:t>3.10 Chapter Summary</w:t>
      </w:r>
    </w:p>
    <w:p w:rsidR="00D212BF" w:rsidRPr="00D212BF" w:rsidRDefault="00D212BF" w:rsidP="00D212BF">
      <w:pPr>
        <w:tabs>
          <w:tab w:val="left" w:pos="930"/>
        </w:tabs>
        <w:rPr>
          <w:rFonts w:ascii="Times New Roman" w:eastAsia="Times New Roman" w:hAnsi="Times New Roman" w:cs="Times New Roman"/>
          <w:sz w:val="24"/>
          <w:szCs w:val="24"/>
        </w:rPr>
      </w:pPr>
      <w:r w:rsidRPr="00D212BF">
        <w:rPr>
          <w:rFonts w:ascii="Times New Roman" w:eastAsia="Times New Roman" w:hAnsi="Times New Roman" w:cs="Times New Roman"/>
          <w:sz w:val="24"/>
          <w:szCs w:val="24"/>
        </w:rPr>
        <w:t>This chapter presented the research methodology adopted in the study. It discussed the research design, population and sample, and data collection methods used to obtain the required information. The chapter also explained the conceptualization and operationalization of variables, along with the development of hypotheses and model specification.</w:t>
      </w:r>
    </w:p>
    <w:p w:rsidR="00D212BF" w:rsidRDefault="00D212BF" w:rsidP="000C1941">
      <w:pPr>
        <w:tabs>
          <w:tab w:val="left" w:pos="930"/>
        </w:tabs>
        <w:rPr>
          <w:rFonts w:ascii="Times New Roman" w:eastAsia="Times New Roman" w:hAnsi="Times New Roman" w:cs="Times New Roman"/>
          <w:sz w:val="24"/>
          <w:szCs w:val="24"/>
        </w:rPr>
      </w:pPr>
      <w:r w:rsidRPr="00D212BF">
        <w:rPr>
          <w:rFonts w:ascii="Times New Roman" w:eastAsia="Times New Roman" w:hAnsi="Times New Roman" w:cs="Times New Roman"/>
          <w:sz w:val="24"/>
          <w:szCs w:val="24"/>
        </w:rPr>
        <w:t>In addition, the statistical techniques used for data analysis, including descriptive statistics, correlation analysis, and regression analysis, were described. These methods are used to examine the relationship between corporate governance and dividend policy among selected non-financial listed companies in Sri Lanka.</w:t>
      </w:r>
      <w:bookmarkStart w:id="0" w:name="_GoBack"/>
      <w:bookmarkEnd w:id="0"/>
    </w:p>
    <w:sdt>
      <w:sdtPr>
        <w:rPr>
          <w:rFonts w:asciiTheme="minorHAnsi" w:eastAsiaTheme="minorHAnsi" w:hAnsiTheme="minorHAnsi" w:cstheme="minorBidi"/>
          <w:color w:val="auto"/>
          <w:sz w:val="22"/>
          <w:szCs w:val="22"/>
        </w:rPr>
        <w:id w:val="-94560015"/>
        <w:docPartObj>
          <w:docPartGallery w:val="Bibliographies"/>
          <w:docPartUnique/>
        </w:docPartObj>
      </w:sdtPr>
      <w:sdtEndPr/>
      <w:sdtContent>
        <w:p w:rsidR="001505D1" w:rsidRDefault="001505D1">
          <w:pPr>
            <w:pStyle w:val="Heading1"/>
          </w:pPr>
        </w:p>
        <w:sdt>
          <w:sdtPr>
            <w:id w:val="-573587230"/>
            <w:bibliography/>
          </w:sdtPr>
          <w:sdtEndPr/>
          <w:sdtContent>
            <w:p w:rsidR="00770AC1" w:rsidRDefault="00770AC1" w:rsidP="00770AC1">
              <w:pPr>
                <w:pStyle w:val="Bibliography"/>
              </w:pPr>
            </w:p>
            <w:p w:rsidR="001505D1" w:rsidRPr="00770AC1" w:rsidRDefault="00770AC1" w:rsidP="00770AC1"/>
          </w:sdtContent>
        </w:sdt>
      </w:sdtContent>
    </w:sdt>
    <w:sectPr w:rsidR="001505D1" w:rsidRPr="00770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F47360"/>
    <w:multiLevelType w:val="hybridMultilevel"/>
    <w:tmpl w:val="EFE02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203E81"/>
    <w:multiLevelType w:val="multilevel"/>
    <w:tmpl w:val="1400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E1454"/>
    <w:multiLevelType w:val="hybridMultilevel"/>
    <w:tmpl w:val="2E4A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D21536"/>
    <w:multiLevelType w:val="hybridMultilevel"/>
    <w:tmpl w:val="C262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AB5"/>
    <w:rsid w:val="000C1941"/>
    <w:rsid w:val="000E2A5E"/>
    <w:rsid w:val="000F5490"/>
    <w:rsid w:val="001505D1"/>
    <w:rsid w:val="00376658"/>
    <w:rsid w:val="003C767D"/>
    <w:rsid w:val="00421AB5"/>
    <w:rsid w:val="004579EC"/>
    <w:rsid w:val="00503384"/>
    <w:rsid w:val="005728A8"/>
    <w:rsid w:val="00591EBE"/>
    <w:rsid w:val="00610D58"/>
    <w:rsid w:val="00642EA9"/>
    <w:rsid w:val="006511E8"/>
    <w:rsid w:val="00770AC1"/>
    <w:rsid w:val="00864310"/>
    <w:rsid w:val="008958A1"/>
    <w:rsid w:val="008F5F66"/>
    <w:rsid w:val="00945C64"/>
    <w:rsid w:val="0096431C"/>
    <w:rsid w:val="00A1004F"/>
    <w:rsid w:val="00AF45A2"/>
    <w:rsid w:val="00BE63C4"/>
    <w:rsid w:val="00C46AB1"/>
    <w:rsid w:val="00C81681"/>
    <w:rsid w:val="00CD4FAD"/>
    <w:rsid w:val="00D15410"/>
    <w:rsid w:val="00D212BF"/>
    <w:rsid w:val="00D23BFC"/>
    <w:rsid w:val="00D53826"/>
    <w:rsid w:val="00D975E6"/>
    <w:rsid w:val="00E84BD5"/>
    <w:rsid w:val="00EC6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E66D32-7C63-4C0B-A328-5C09474A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05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3B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F5F66"/>
    <w:pPr>
      <w:ind w:left="720"/>
      <w:contextualSpacing/>
    </w:pPr>
  </w:style>
  <w:style w:type="table" w:styleId="TableGrid">
    <w:name w:val="Table Grid"/>
    <w:basedOn w:val="TableNormal"/>
    <w:uiPriority w:val="39"/>
    <w:rsid w:val="00964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12BF"/>
    <w:rPr>
      <w:b/>
      <w:bCs/>
    </w:rPr>
  </w:style>
  <w:style w:type="character" w:customStyle="1" w:styleId="Heading1Char">
    <w:name w:val="Heading 1 Char"/>
    <w:basedOn w:val="DefaultParagraphFont"/>
    <w:link w:val="Heading1"/>
    <w:uiPriority w:val="9"/>
    <w:rsid w:val="001505D1"/>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1505D1"/>
  </w:style>
  <w:style w:type="paragraph" w:styleId="BalloonText">
    <w:name w:val="Balloon Text"/>
    <w:basedOn w:val="Normal"/>
    <w:link w:val="BalloonTextChar"/>
    <w:uiPriority w:val="99"/>
    <w:semiHidden/>
    <w:unhideWhenUsed/>
    <w:rsid w:val="00770A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0A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4302">
      <w:bodyDiv w:val="1"/>
      <w:marLeft w:val="0"/>
      <w:marRight w:val="0"/>
      <w:marTop w:val="0"/>
      <w:marBottom w:val="0"/>
      <w:divBdr>
        <w:top w:val="none" w:sz="0" w:space="0" w:color="auto"/>
        <w:left w:val="none" w:sz="0" w:space="0" w:color="auto"/>
        <w:bottom w:val="none" w:sz="0" w:space="0" w:color="auto"/>
        <w:right w:val="none" w:sz="0" w:space="0" w:color="auto"/>
      </w:divBdr>
    </w:div>
    <w:div w:id="46993732">
      <w:bodyDiv w:val="1"/>
      <w:marLeft w:val="0"/>
      <w:marRight w:val="0"/>
      <w:marTop w:val="0"/>
      <w:marBottom w:val="0"/>
      <w:divBdr>
        <w:top w:val="none" w:sz="0" w:space="0" w:color="auto"/>
        <w:left w:val="none" w:sz="0" w:space="0" w:color="auto"/>
        <w:bottom w:val="none" w:sz="0" w:space="0" w:color="auto"/>
        <w:right w:val="none" w:sz="0" w:space="0" w:color="auto"/>
      </w:divBdr>
    </w:div>
    <w:div w:id="90203695">
      <w:bodyDiv w:val="1"/>
      <w:marLeft w:val="0"/>
      <w:marRight w:val="0"/>
      <w:marTop w:val="0"/>
      <w:marBottom w:val="0"/>
      <w:divBdr>
        <w:top w:val="none" w:sz="0" w:space="0" w:color="auto"/>
        <w:left w:val="none" w:sz="0" w:space="0" w:color="auto"/>
        <w:bottom w:val="none" w:sz="0" w:space="0" w:color="auto"/>
        <w:right w:val="none" w:sz="0" w:space="0" w:color="auto"/>
      </w:divBdr>
    </w:div>
    <w:div w:id="106431900">
      <w:bodyDiv w:val="1"/>
      <w:marLeft w:val="0"/>
      <w:marRight w:val="0"/>
      <w:marTop w:val="0"/>
      <w:marBottom w:val="0"/>
      <w:divBdr>
        <w:top w:val="none" w:sz="0" w:space="0" w:color="auto"/>
        <w:left w:val="none" w:sz="0" w:space="0" w:color="auto"/>
        <w:bottom w:val="none" w:sz="0" w:space="0" w:color="auto"/>
        <w:right w:val="none" w:sz="0" w:space="0" w:color="auto"/>
      </w:divBdr>
    </w:div>
    <w:div w:id="121701339">
      <w:bodyDiv w:val="1"/>
      <w:marLeft w:val="0"/>
      <w:marRight w:val="0"/>
      <w:marTop w:val="0"/>
      <w:marBottom w:val="0"/>
      <w:divBdr>
        <w:top w:val="none" w:sz="0" w:space="0" w:color="auto"/>
        <w:left w:val="none" w:sz="0" w:space="0" w:color="auto"/>
        <w:bottom w:val="none" w:sz="0" w:space="0" w:color="auto"/>
        <w:right w:val="none" w:sz="0" w:space="0" w:color="auto"/>
      </w:divBdr>
    </w:div>
    <w:div w:id="297539536">
      <w:bodyDiv w:val="1"/>
      <w:marLeft w:val="0"/>
      <w:marRight w:val="0"/>
      <w:marTop w:val="0"/>
      <w:marBottom w:val="0"/>
      <w:divBdr>
        <w:top w:val="none" w:sz="0" w:space="0" w:color="auto"/>
        <w:left w:val="none" w:sz="0" w:space="0" w:color="auto"/>
        <w:bottom w:val="none" w:sz="0" w:space="0" w:color="auto"/>
        <w:right w:val="none" w:sz="0" w:space="0" w:color="auto"/>
      </w:divBdr>
    </w:div>
    <w:div w:id="397091039">
      <w:bodyDiv w:val="1"/>
      <w:marLeft w:val="0"/>
      <w:marRight w:val="0"/>
      <w:marTop w:val="0"/>
      <w:marBottom w:val="0"/>
      <w:divBdr>
        <w:top w:val="none" w:sz="0" w:space="0" w:color="auto"/>
        <w:left w:val="none" w:sz="0" w:space="0" w:color="auto"/>
        <w:bottom w:val="none" w:sz="0" w:space="0" w:color="auto"/>
        <w:right w:val="none" w:sz="0" w:space="0" w:color="auto"/>
      </w:divBdr>
    </w:div>
    <w:div w:id="431899002">
      <w:bodyDiv w:val="1"/>
      <w:marLeft w:val="0"/>
      <w:marRight w:val="0"/>
      <w:marTop w:val="0"/>
      <w:marBottom w:val="0"/>
      <w:divBdr>
        <w:top w:val="none" w:sz="0" w:space="0" w:color="auto"/>
        <w:left w:val="none" w:sz="0" w:space="0" w:color="auto"/>
        <w:bottom w:val="none" w:sz="0" w:space="0" w:color="auto"/>
        <w:right w:val="none" w:sz="0" w:space="0" w:color="auto"/>
      </w:divBdr>
    </w:div>
    <w:div w:id="449054756">
      <w:bodyDiv w:val="1"/>
      <w:marLeft w:val="0"/>
      <w:marRight w:val="0"/>
      <w:marTop w:val="0"/>
      <w:marBottom w:val="0"/>
      <w:divBdr>
        <w:top w:val="none" w:sz="0" w:space="0" w:color="auto"/>
        <w:left w:val="none" w:sz="0" w:space="0" w:color="auto"/>
        <w:bottom w:val="none" w:sz="0" w:space="0" w:color="auto"/>
        <w:right w:val="none" w:sz="0" w:space="0" w:color="auto"/>
      </w:divBdr>
    </w:div>
    <w:div w:id="463616865">
      <w:bodyDiv w:val="1"/>
      <w:marLeft w:val="0"/>
      <w:marRight w:val="0"/>
      <w:marTop w:val="0"/>
      <w:marBottom w:val="0"/>
      <w:divBdr>
        <w:top w:val="none" w:sz="0" w:space="0" w:color="auto"/>
        <w:left w:val="none" w:sz="0" w:space="0" w:color="auto"/>
        <w:bottom w:val="none" w:sz="0" w:space="0" w:color="auto"/>
        <w:right w:val="none" w:sz="0" w:space="0" w:color="auto"/>
      </w:divBdr>
    </w:div>
    <w:div w:id="705299936">
      <w:bodyDiv w:val="1"/>
      <w:marLeft w:val="0"/>
      <w:marRight w:val="0"/>
      <w:marTop w:val="0"/>
      <w:marBottom w:val="0"/>
      <w:divBdr>
        <w:top w:val="none" w:sz="0" w:space="0" w:color="auto"/>
        <w:left w:val="none" w:sz="0" w:space="0" w:color="auto"/>
        <w:bottom w:val="none" w:sz="0" w:space="0" w:color="auto"/>
        <w:right w:val="none" w:sz="0" w:space="0" w:color="auto"/>
      </w:divBdr>
    </w:div>
    <w:div w:id="771708129">
      <w:bodyDiv w:val="1"/>
      <w:marLeft w:val="0"/>
      <w:marRight w:val="0"/>
      <w:marTop w:val="0"/>
      <w:marBottom w:val="0"/>
      <w:divBdr>
        <w:top w:val="none" w:sz="0" w:space="0" w:color="auto"/>
        <w:left w:val="none" w:sz="0" w:space="0" w:color="auto"/>
        <w:bottom w:val="none" w:sz="0" w:space="0" w:color="auto"/>
        <w:right w:val="none" w:sz="0" w:space="0" w:color="auto"/>
      </w:divBdr>
    </w:div>
    <w:div w:id="775902449">
      <w:bodyDiv w:val="1"/>
      <w:marLeft w:val="0"/>
      <w:marRight w:val="0"/>
      <w:marTop w:val="0"/>
      <w:marBottom w:val="0"/>
      <w:divBdr>
        <w:top w:val="none" w:sz="0" w:space="0" w:color="auto"/>
        <w:left w:val="none" w:sz="0" w:space="0" w:color="auto"/>
        <w:bottom w:val="none" w:sz="0" w:space="0" w:color="auto"/>
        <w:right w:val="none" w:sz="0" w:space="0" w:color="auto"/>
      </w:divBdr>
    </w:div>
    <w:div w:id="837844917">
      <w:bodyDiv w:val="1"/>
      <w:marLeft w:val="0"/>
      <w:marRight w:val="0"/>
      <w:marTop w:val="0"/>
      <w:marBottom w:val="0"/>
      <w:divBdr>
        <w:top w:val="none" w:sz="0" w:space="0" w:color="auto"/>
        <w:left w:val="none" w:sz="0" w:space="0" w:color="auto"/>
        <w:bottom w:val="none" w:sz="0" w:space="0" w:color="auto"/>
        <w:right w:val="none" w:sz="0" w:space="0" w:color="auto"/>
      </w:divBdr>
    </w:div>
    <w:div w:id="860245922">
      <w:bodyDiv w:val="1"/>
      <w:marLeft w:val="0"/>
      <w:marRight w:val="0"/>
      <w:marTop w:val="0"/>
      <w:marBottom w:val="0"/>
      <w:divBdr>
        <w:top w:val="none" w:sz="0" w:space="0" w:color="auto"/>
        <w:left w:val="none" w:sz="0" w:space="0" w:color="auto"/>
        <w:bottom w:val="none" w:sz="0" w:space="0" w:color="auto"/>
        <w:right w:val="none" w:sz="0" w:space="0" w:color="auto"/>
      </w:divBdr>
    </w:div>
    <w:div w:id="873154490">
      <w:bodyDiv w:val="1"/>
      <w:marLeft w:val="0"/>
      <w:marRight w:val="0"/>
      <w:marTop w:val="0"/>
      <w:marBottom w:val="0"/>
      <w:divBdr>
        <w:top w:val="none" w:sz="0" w:space="0" w:color="auto"/>
        <w:left w:val="none" w:sz="0" w:space="0" w:color="auto"/>
        <w:bottom w:val="none" w:sz="0" w:space="0" w:color="auto"/>
        <w:right w:val="none" w:sz="0" w:space="0" w:color="auto"/>
      </w:divBdr>
    </w:div>
    <w:div w:id="889465631">
      <w:bodyDiv w:val="1"/>
      <w:marLeft w:val="0"/>
      <w:marRight w:val="0"/>
      <w:marTop w:val="0"/>
      <w:marBottom w:val="0"/>
      <w:divBdr>
        <w:top w:val="none" w:sz="0" w:space="0" w:color="auto"/>
        <w:left w:val="none" w:sz="0" w:space="0" w:color="auto"/>
        <w:bottom w:val="none" w:sz="0" w:space="0" w:color="auto"/>
        <w:right w:val="none" w:sz="0" w:space="0" w:color="auto"/>
      </w:divBdr>
    </w:div>
    <w:div w:id="951206983">
      <w:bodyDiv w:val="1"/>
      <w:marLeft w:val="0"/>
      <w:marRight w:val="0"/>
      <w:marTop w:val="0"/>
      <w:marBottom w:val="0"/>
      <w:divBdr>
        <w:top w:val="none" w:sz="0" w:space="0" w:color="auto"/>
        <w:left w:val="none" w:sz="0" w:space="0" w:color="auto"/>
        <w:bottom w:val="none" w:sz="0" w:space="0" w:color="auto"/>
        <w:right w:val="none" w:sz="0" w:space="0" w:color="auto"/>
      </w:divBdr>
    </w:div>
    <w:div w:id="975062383">
      <w:bodyDiv w:val="1"/>
      <w:marLeft w:val="0"/>
      <w:marRight w:val="0"/>
      <w:marTop w:val="0"/>
      <w:marBottom w:val="0"/>
      <w:divBdr>
        <w:top w:val="none" w:sz="0" w:space="0" w:color="auto"/>
        <w:left w:val="none" w:sz="0" w:space="0" w:color="auto"/>
        <w:bottom w:val="none" w:sz="0" w:space="0" w:color="auto"/>
        <w:right w:val="none" w:sz="0" w:space="0" w:color="auto"/>
      </w:divBdr>
    </w:div>
    <w:div w:id="1001589426">
      <w:bodyDiv w:val="1"/>
      <w:marLeft w:val="0"/>
      <w:marRight w:val="0"/>
      <w:marTop w:val="0"/>
      <w:marBottom w:val="0"/>
      <w:divBdr>
        <w:top w:val="none" w:sz="0" w:space="0" w:color="auto"/>
        <w:left w:val="none" w:sz="0" w:space="0" w:color="auto"/>
        <w:bottom w:val="none" w:sz="0" w:space="0" w:color="auto"/>
        <w:right w:val="none" w:sz="0" w:space="0" w:color="auto"/>
      </w:divBdr>
    </w:div>
    <w:div w:id="1034768614">
      <w:bodyDiv w:val="1"/>
      <w:marLeft w:val="0"/>
      <w:marRight w:val="0"/>
      <w:marTop w:val="0"/>
      <w:marBottom w:val="0"/>
      <w:divBdr>
        <w:top w:val="none" w:sz="0" w:space="0" w:color="auto"/>
        <w:left w:val="none" w:sz="0" w:space="0" w:color="auto"/>
        <w:bottom w:val="none" w:sz="0" w:space="0" w:color="auto"/>
        <w:right w:val="none" w:sz="0" w:space="0" w:color="auto"/>
      </w:divBdr>
    </w:div>
    <w:div w:id="1050956058">
      <w:bodyDiv w:val="1"/>
      <w:marLeft w:val="0"/>
      <w:marRight w:val="0"/>
      <w:marTop w:val="0"/>
      <w:marBottom w:val="0"/>
      <w:divBdr>
        <w:top w:val="none" w:sz="0" w:space="0" w:color="auto"/>
        <w:left w:val="none" w:sz="0" w:space="0" w:color="auto"/>
        <w:bottom w:val="none" w:sz="0" w:space="0" w:color="auto"/>
        <w:right w:val="none" w:sz="0" w:space="0" w:color="auto"/>
      </w:divBdr>
    </w:div>
    <w:div w:id="1091586816">
      <w:bodyDiv w:val="1"/>
      <w:marLeft w:val="0"/>
      <w:marRight w:val="0"/>
      <w:marTop w:val="0"/>
      <w:marBottom w:val="0"/>
      <w:divBdr>
        <w:top w:val="none" w:sz="0" w:space="0" w:color="auto"/>
        <w:left w:val="none" w:sz="0" w:space="0" w:color="auto"/>
        <w:bottom w:val="none" w:sz="0" w:space="0" w:color="auto"/>
        <w:right w:val="none" w:sz="0" w:space="0" w:color="auto"/>
      </w:divBdr>
    </w:div>
    <w:div w:id="1175724539">
      <w:bodyDiv w:val="1"/>
      <w:marLeft w:val="0"/>
      <w:marRight w:val="0"/>
      <w:marTop w:val="0"/>
      <w:marBottom w:val="0"/>
      <w:divBdr>
        <w:top w:val="none" w:sz="0" w:space="0" w:color="auto"/>
        <w:left w:val="none" w:sz="0" w:space="0" w:color="auto"/>
        <w:bottom w:val="none" w:sz="0" w:space="0" w:color="auto"/>
        <w:right w:val="none" w:sz="0" w:space="0" w:color="auto"/>
      </w:divBdr>
    </w:div>
    <w:div w:id="1180659761">
      <w:bodyDiv w:val="1"/>
      <w:marLeft w:val="0"/>
      <w:marRight w:val="0"/>
      <w:marTop w:val="0"/>
      <w:marBottom w:val="0"/>
      <w:divBdr>
        <w:top w:val="none" w:sz="0" w:space="0" w:color="auto"/>
        <w:left w:val="none" w:sz="0" w:space="0" w:color="auto"/>
        <w:bottom w:val="none" w:sz="0" w:space="0" w:color="auto"/>
        <w:right w:val="none" w:sz="0" w:space="0" w:color="auto"/>
      </w:divBdr>
    </w:div>
    <w:div w:id="1277831764">
      <w:bodyDiv w:val="1"/>
      <w:marLeft w:val="0"/>
      <w:marRight w:val="0"/>
      <w:marTop w:val="0"/>
      <w:marBottom w:val="0"/>
      <w:divBdr>
        <w:top w:val="none" w:sz="0" w:space="0" w:color="auto"/>
        <w:left w:val="none" w:sz="0" w:space="0" w:color="auto"/>
        <w:bottom w:val="none" w:sz="0" w:space="0" w:color="auto"/>
        <w:right w:val="none" w:sz="0" w:space="0" w:color="auto"/>
      </w:divBdr>
    </w:div>
    <w:div w:id="1524901558">
      <w:bodyDiv w:val="1"/>
      <w:marLeft w:val="0"/>
      <w:marRight w:val="0"/>
      <w:marTop w:val="0"/>
      <w:marBottom w:val="0"/>
      <w:divBdr>
        <w:top w:val="none" w:sz="0" w:space="0" w:color="auto"/>
        <w:left w:val="none" w:sz="0" w:space="0" w:color="auto"/>
        <w:bottom w:val="none" w:sz="0" w:space="0" w:color="auto"/>
        <w:right w:val="none" w:sz="0" w:space="0" w:color="auto"/>
      </w:divBdr>
    </w:div>
    <w:div w:id="1608388680">
      <w:bodyDiv w:val="1"/>
      <w:marLeft w:val="0"/>
      <w:marRight w:val="0"/>
      <w:marTop w:val="0"/>
      <w:marBottom w:val="0"/>
      <w:divBdr>
        <w:top w:val="none" w:sz="0" w:space="0" w:color="auto"/>
        <w:left w:val="none" w:sz="0" w:space="0" w:color="auto"/>
        <w:bottom w:val="none" w:sz="0" w:space="0" w:color="auto"/>
        <w:right w:val="none" w:sz="0" w:space="0" w:color="auto"/>
      </w:divBdr>
    </w:div>
    <w:div w:id="1668485442">
      <w:bodyDiv w:val="1"/>
      <w:marLeft w:val="0"/>
      <w:marRight w:val="0"/>
      <w:marTop w:val="0"/>
      <w:marBottom w:val="0"/>
      <w:divBdr>
        <w:top w:val="none" w:sz="0" w:space="0" w:color="auto"/>
        <w:left w:val="none" w:sz="0" w:space="0" w:color="auto"/>
        <w:bottom w:val="none" w:sz="0" w:space="0" w:color="auto"/>
        <w:right w:val="none" w:sz="0" w:space="0" w:color="auto"/>
      </w:divBdr>
    </w:div>
    <w:div w:id="1684238607">
      <w:bodyDiv w:val="1"/>
      <w:marLeft w:val="0"/>
      <w:marRight w:val="0"/>
      <w:marTop w:val="0"/>
      <w:marBottom w:val="0"/>
      <w:divBdr>
        <w:top w:val="none" w:sz="0" w:space="0" w:color="auto"/>
        <w:left w:val="none" w:sz="0" w:space="0" w:color="auto"/>
        <w:bottom w:val="none" w:sz="0" w:space="0" w:color="auto"/>
        <w:right w:val="none" w:sz="0" w:space="0" w:color="auto"/>
      </w:divBdr>
    </w:div>
    <w:div w:id="1698964122">
      <w:bodyDiv w:val="1"/>
      <w:marLeft w:val="0"/>
      <w:marRight w:val="0"/>
      <w:marTop w:val="0"/>
      <w:marBottom w:val="0"/>
      <w:divBdr>
        <w:top w:val="none" w:sz="0" w:space="0" w:color="auto"/>
        <w:left w:val="none" w:sz="0" w:space="0" w:color="auto"/>
        <w:bottom w:val="none" w:sz="0" w:space="0" w:color="auto"/>
        <w:right w:val="none" w:sz="0" w:space="0" w:color="auto"/>
      </w:divBdr>
    </w:div>
    <w:div w:id="1816990355">
      <w:bodyDiv w:val="1"/>
      <w:marLeft w:val="0"/>
      <w:marRight w:val="0"/>
      <w:marTop w:val="0"/>
      <w:marBottom w:val="0"/>
      <w:divBdr>
        <w:top w:val="none" w:sz="0" w:space="0" w:color="auto"/>
        <w:left w:val="none" w:sz="0" w:space="0" w:color="auto"/>
        <w:bottom w:val="none" w:sz="0" w:space="0" w:color="auto"/>
        <w:right w:val="none" w:sz="0" w:space="0" w:color="auto"/>
      </w:divBdr>
    </w:div>
    <w:div w:id="1826428750">
      <w:bodyDiv w:val="1"/>
      <w:marLeft w:val="0"/>
      <w:marRight w:val="0"/>
      <w:marTop w:val="0"/>
      <w:marBottom w:val="0"/>
      <w:divBdr>
        <w:top w:val="none" w:sz="0" w:space="0" w:color="auto"/>
        <w:left w:val="none" w:sz="0" w:space="0" w:color="auto"/>
        <w:bottom w:val="none" w:sz="0" w:space="0" w:color="auto"/>
        <w:right w:val="none" w:sz="0" w:space="0" w:color="auto"/>
      </w:divBdr>
    </w:div>
    <w:div w:id="1918590492">
      <w:bodyDiv w:val="1"/>
      <w:marLeft w:val="0"/>
      <w:marRight w:val="0"/>
      <w:marTop w:val="0"/>
      <w:marBottom w:val="0"/>
      <w:divBdr>
        <w:top w:val="none" w:sz="0" w:space="0" w:color="auto"/>
        <w:left w:val="none" w:sz="0" w:space="0" w:color="auto"/>
        <w:bottom w:val="none" w:sz="0" w:space="0" w:color="auto"/>
        <w:right w:val="none" w:sz="0" w:space="0" w:color="auto"/>
      </w:divBdr>
    </w:div>
    <w:div w:id="1955163979">
      <w:bodyDiv w:val="1"/>
      <w:marLeft w:val="0"/>
      <w:marRight w:val="0"/>
      <w:marTop w:val="0"/>
      <w:marBottom w:val="0"/>
      <w:divBdr>
        <w:top w:val="none" w:sz="0" w:space="0" w:color="auto"/>
        <w:left w:val="none" w:sz="0" w:space="0" w:color="auto"/>
        <w:bottom w:val="none" w:sz="0" w:space="0" w:color="auto"/>
        <w:right w:val="none" w:sz="0" w:space="0" w:color="auto"/>
      </w:divBdr>
    </w:div>
    <w:div w:id="1979843651">
      <w:bodyDiv w:val="1"/>
      <w:marLeft w:val="0"/>
      <w:marRight w:val="0"/>
      <w:marTop w:val="0"/>
      <w:marBottom w:val="0"/>
      <w:divBdr>
        <w:top w:val="none" w:sz="0" w:space="0" w:color="auto"/>
        <w:left w:val="none" w:sz="0" w:space="0" w:color="auto"/>
        <w:bottom w:val="none" w:sz="0" w:space="0" w:color="auto"/>
        <w:right w:val="none" w:sz="0" w:space="0" w:color="auto"/>
      </w:divBdr>
    </w:div>
    <w:div w:id="1991328760">
      <w:bodyDiv w:val="1"/>
      <w:marLeft w:val="0"/>
      <w:marRight w:val="0"/>
      <w:marTop w:val="0"/>
      <w:marBottom w:val="0"/>
      <w:divBdr>
        <w:top w:val="none" w:sz="0" w:space="0" w:color="auto"/>
        <w:left w:val="none" w:sz="0" w:space="0" w:color="auto"/>
        <w:bottom w:val="none" w:sz="0" w:space="0" w:color="auto"/>
        <w:right w:val="none" w:sz="0" w:space="0" w:color="auto"/>
      </w:divBdr>
    </w:div>
    <w:div w:id="2008899968">
      <w:bodyDiv w:val="1"/>
      <w:marLeft w:val="0"/>
      <w:marRight w:val="0"/>
      <w:marTop w:val="0"/>
      <w:marBottom w:val="0"/>
      <w:divBdr>
        <w:top w:val="none" w:sz="0" w:space="0" w:color="auto"/>
        <w:left w:val="none" w:sz="0" w:space="0" w:color="auto"/>
        <w:bottom w:val="none" w:sz="0" w:space="0" w:color="auto"/>
        <w:right w:val="none" w:sz="0" w:space="0" w:color="auto"/>
      </w:divBdr>
    </w:div>
    <w:div w:id="2032681811">
      <w:bodyDiv w:val="1"/>
      <w:marLeft w:val="0"/>
      <w:marRight w:val="0"/>
      <w:marTop w:val="0"/>
      <w:marBottom w:val="0"/>
      <w:divBdr>
        <w:top w:val="none" w:sz="0" w:space="0" w:color="auto"/>
        <w:left w:val="none" w:sz="0" w:space="0" w:color="auto"/>
        <w:bottom w:val="none" w:sz="0" w:space="0" w:color="auto"/>
        <w:right w:val="none" w:sz="0" w:space="0" w:color="auto"/>
      </w:divBdr>
    </w:div>
    <w:div w:id="2044789874">
      <w:bodyDiv w:val="1"/>
      <w:marLeft w:val="0"/>
      <w:marRight w:val="0"/>
      <w:marTop w:val="0"/>
      <w:marBottom w:val="0"/>
      <w:divBdr>
        <w:top w:val="none" w:sz="0" w:space="0" w:color="auto"/>
        <w:left w:val="none" w:sz="0" w:space="0" w:color="auto"/>
        <w:bottom w:val="none" w:sz="0" w:space="0" w:color="auto"/>
        <w:right w:val="none" w:sz="0" w:space="0" w:color="auto"/>
      </w:divBdr>
    </w:div>
    <w:div w:id="2045016014">
      <w:bodyDiv w:val="1"/>
      <w:marLeft w:val="0"/>
      <w:marRight w:val="0"/>
      <w:marTop w:val="0"/>
      <w:marBottom w:val="0"/>
      <w:divBdr>
        <w:top w:val="none" w:sz="0" w:space="0" w:color="auto"/>
        <w:left w:val="none" w:sz="0" w:space="0" w:color="auto"/>
        <w:bottom w:val="none" w:sz="0" w:space="0" w:color="auto"/>
        <w:right w:val="none" w:sz="0" w:space="0" w:color="auto"/>
      </w:divBdr>
    </w:div>
    <w:div w:id="2051875771">
      <w:bodyDiv w:val="1"/>
      <w:marLeft w:val="0"/>
      <w:marRight w:val="0"/>
      <w:marTop w:val="0"/>
      <w:marBottom w:val="0"/>
      <w:divBdr>
        <w:top w:val="none" w:sz="0" w:space="0" w:color="auto"/>
        <w:left w:val="none" w:sz="0" w:space="0" w:color="auto"/>
        <w:bottom w:val="none" w:sz="0" w:space="0" w:color="auto"/>
        <w:right w:val="none" w:sz="0" w:space="0" w:color="auto"/>
      </w:divBdr>
    </w:div>
    <w:div w:id="2095397413">
      <w:bodyDiv w:val="1"/>
      <w:marLeft w:val="0"/>
      <w:marRight w:val="0"/>
      <w:marTop w:val="0"/>
      <w:marBottom w:val="0"/>
      <w:divBdr>
        <w:top w:val="none" w:sz="0" w:space="0" w:color="auto"/>
        <w:left w:val="none" w:sz="0" w:space="0" w:color="auto"/>
        <w:bottom w:val="none" w:sz="0" w:space="0" w:color="auto"/>
        <w:right w:val="none" w:sz="0" w:space="0" w:color="auto"/>
      </w:divBdr>
    </w:div>
    <w:div w:id="211689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Ama22</b:Tag>
    <b:SourceType>JournalArticle</b:SourceType>
    <b:Guid>{17F19C33-A624-48E3-BED2-4BA010F0704E}</b:Guid>
    <b:Title>Does corporate governance impact on financial reporting quality? Evidence from listed entites in Sri Lanka</b:Title>
    <b:Year>2022</b:Year>
    <b:JournalName>Journal of Risk and Financial Studies</b:JournalName>
    <b:Author>
      <b:Author>
        <b:NameList>
          <b:Person>
            <b:Last>Amarasekara</b:Last>
            <b:First>N.T.</b:First>
          </b:Person>
          <b:Person>
            <b:Last>Hewage</b:Last>
            <b:First>Y.M.</b:First>
          </b:Person>
        </b:NameList>
      </b:Author>
    </b:Author>
    <b:RefOrder>1</b:RefOrder>
  </b:Source>
</b:Sources>
</file>

<file path=customXml/itemProps1.xml><?xml version="1.0" encoding="utf-8"?>
<ds:datastoreItem xmlns:ds="http://schemas.openxmlformats.org/officeDocument/2006/customXml" ds:itemID="{97B6A2A9-B9CA-428E-9076-2740EB1B8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6</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Dilshika Senarathna</dc:creator>
  <cp:keywords/>
  <dc:description/>
  <cp:lastModifiedBy>Dilshika Senarathna</cp:lastModifiedBy>
  <cp:revision>17</cp:revision>
  <dcterms:created xsi:type="dcterms:W3CDTF">2026-04-01T12:41:00Z</dcterms:created>
  <dcterms:modified xsi:type="dcterms:W3CDTF">2026-04-15T05:31:00Z</dcterms:modified>
</cp:coreProperties>
</file>