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70B0" w14:textId="77777777" w:rsidR="00727FE4" w:rsidRDefault="00000000">
      <w:pPr>
        <w:spacing w:after="80"/>
        <w:jc w:val="center"/>
      </w:pPr>
      <w:r>
        <w:rPr>
          <w:rFonts w:eastAsia="Times New Roman" w:cs="Times New Roman"/>
          <w:b/>
          <w:bCs/>
          <w:sz w:val="24"/>
          <w:szCs w:val="24"/>
        </w:rPr>
        <w:t>Brain Tumor Detection from MRI Images: A Comparative Study of Supervised, Unsupervised, and Transfer Learning Approaches</w:t>
      </w:r>
    </w:p>
    <w:p w14:paraId="0ADFBC60" w14:textId="77777777" w:rsidR="00727FE4" w:rsidRDefault="00000000">
      <w:pPr>
        <w:spacing w:after="40"/>
        <w:jc w:val="center"/>
      </w:pPr>
      <w:r>
        <w:rPr>
          <w:rFonts w:eastAsia="Times New Roman" w:cs="Times New Roman"/>
        </w:rPr>
        <w:t>Davi Zevallos, Erwin Julian, Tian Li, Michael Asfeha, Arseni Buriak, Anmol Shrestha</w:t>
      </w:r>
    </w:p>
    <w:p w14:paraId="444A5756" w14:textId="77777777" w:rsidR="00727FE4" w:rsidRDefault="00000000">
      <w:pPr>
        <w:spacing w:after="40"/>
        <w:jc w:val="center"/>
        <w:rPr>
          <w:rFonts w:eastAsia="Times New Roman" w:cs="Times New Roman"/>
          <w:i/>
          <w:iCs/>
        </w:rPr>
      </w:pPr>
      <w:r>
        <w:rPr>
          <w:rFonts w:eastAsia="Times New Roman" w:cs="Times New Roman"/>
          <w:i/>
          <w:iCs/>
        </w:rPr>
        <w:t>Centennial College</w:t>
      </w:r>
    </w:p>
    <w:p w14:paraId="73055B60" w14:textId="77777777" w:rsidR="00727FE4" w:rsidRDefault="00000000">
      <w:pPr>
        <w:spacing w:before="80" w:after="40"/>
        <w:jc w:val="center"/>
      </w:pPr>
      <w:r>
        <w:rPr>
          <w:rFonts w:eastAsia="Times New Roman" w:cs="Times New Roman"/>
          <w:b/>
          <w:bCs/>
          <w:i/>
          <w:iCs/>
        </w:rPr>
        <w:t>Abstract</w:t>
      </w:r>
    </w:p>
    <w:p w14:paraId="2F8F699D" w14:textId="0DC28AC5" w:rsidR="00727FE4" w:rsidRDefault="00000000">
      <w:pPr>
        <w:spacing w:after="60" w:line="228" w:lineRule="auto"/>
        <w:jc w:val="both"/>
      </w:pPr>
      <w:r>
        <w:rPr>
          <w:rFonts w:eastAsia="Times New Roman" w:cs="Times New Roman"/>
          <w:i/>
          <w:iCs/>
          <w:sz w:val="18"/>
          <w:szCs w:val="18"/>
        </w:rPr>
        <w:t xml:space="preserve">Automated brain tumor detection from MRI scans is critical for early diagnosis, yet small labeled datasets remain a significant challenge in medical imaging. This study compares three deep learning approaches on a 253-image Kaggle Brain MRI dataset: a supervised convolutional neural network (CNN), an unsupervised convolutional autoencoder with a downstream classifier, and transfer learning using EfficientNet-B0 with ImageNet-pretrained weights. The supervised CNN achieved </w:t>
      </w:r>
      <w:r w:rsidR="005F797E">
        <w:rPr>
          <w:rFonts w:eastAsia="Times New Roman" w:cs="Times New Roman"/>
          <w:i/>
          <w:iCs/>
          <w:sz w:val="18"/>
          <w:szCs w:val="18"/>
        </w:rPr>
        <w:t>84</w:t>
      </w:r>
      <w:r>
        <w:rPr>
          <w:rFonts w:eastAsia="Times New Roman" w:cs="Times New Roman"/>
          <w:i/>
          <w:iCs/>
          <w:sz w:val="18"/>
          <w:szCs w:val="18"/>
        </w:rPr>
        <w:t>% validation accuracy, the autoencoder-based pipeline failed to exceed majority-class baseline (6</w:t>
      </w:r>
      <w:r w:rsidR="005F797E">
        <w:rPr>
          <w:rFonts w:eastAsia="Times New Roman" w:cs="Times New Roman"/>
          <w:i/>
          <w:iCs/>
          <w:sz w:val="18"/>
          <w:szCs w:val="18"/>
        </w:rPr>
        <w:t>3</w:t>
      </w:r>
      <w:r>
        <w:rPr>
          <w:rFonts w:eastAsia="Times New Roman" w:cs="Times New Roman"/>
          <w:i/>
          <w:iCs/>
          <w:sz w:val="18"/>
          <w:szCs w:val="18"/>
        </w:rPr>
        <w:t>%), and the transfer learning model reached 90% validation accuracy with 91% tumor recall after threshold tuning. Results confirm that pretrained feature representations are essential for reliable classification on small medical imaging datasets.</w:t>
      </w:r>
    </w:p>
    <w:p w14:paraId="2BD369B4" w14:textId="77777777" w:rsidR="00727FE4" w:rsidRDefault="00727FE4">
      <w:pPr>
        <w:sectPr w:rsidR="00727FE4">
          <w:pgSz w:w="12240" w:h="15840"/>
          <w:pgMar w:top="1008" w:right="907" w:bottom="1008" w:left="907" w:header="0" w:footer="0" w:gutter="0"/>
          <w:cols w:space="720"/>
          <w:formProt w:val="0"/>
          <w:docGrid w:linePitch="360"/>
        </w:sectPr>
      </w:pPr>
    </w:p>
    <w:p w14:paraId="688AE4AC" w14:textId="77777777" w:rsidR="00727FE4" w:rsidRDefault="00000000">
      <w:pPr>
        <w:spacing w:before="120" w:after="60"/>
        <w:jc w:val="center"/>
      </w:pPr>
      <w:r>
        <w:rPr>
          <w:rFonts w:eastAsia="Times New Roman" w:cs="Times New Roman"/>
          <w:b/>
          <w:bCs/>
        </w:rPr>
        <w:t>I. INTRODUCTION</w:t>
      </w:r>
    </w:p>
    <w:p w14:paraId="337382DC" w14:textId="77777777" w:rsidR="00727FE4" w:rsidRDefault="00000000">
      <w:pPr>
        <w:spacing w:after="60" w:line="228" w:lineRule="auto"/>
        <w:jc w:val="both"/>
      </w:pPr>
      <w:r>
        <w:rPr>
          <w:rFonts w:eastAsia="Times New Roman" w:cs="Times New Roman"/>
        </w:rPr>
        <w:t>Brain tumors are among the most life-threatening conditions, and early, accurate detection from magnetic resonance imaging (MRI) is essential for timely treatment planning. Manual inspection of MRI scans is time-consuming and subject to inter-observer variability, motivating the development of automated classification systems. However, medical imaging datasets are often severely limited in size due to privacy constraints and annotation costs, posing a fundamental challenge for data-hungry deep learning models.</w:t>
      </w:r>
    </w:p>
    <w:p w14:paraId="71700CBB" w14:textId="77777777" w:rsidR="00727FE4" w:rsidRDefault="00000000">
      <w:pPr>
        <w:spacing w:after="60" w:line="228" w:lineRule="auto"/>
        <w:jc w:val="both"/>
      </w:pPr>
      <w:r>
        <w:rPr>
          <w:rFonts w:eastAsia="Times New Roman" w:cs="Times New Roman"/>
        </w:rPr>
        <w:t>This study evaluates three distinct learning paradigms on the Kaggle Brain MRI Images for Brain Tumor Detection dataset [1], which contains only 253 images (155 tumor, 98 healthy). We compare: (1) a supervised CNN trained from scratch, (2) an unsupervised convolutional autoencoder whose encoder is repurposed as a feature extractor for downstream classification, and (3) transfer learning with EfficientNet-B0 [2] using ImageNet-pretrained weights. The objective is to determine which paradigm generalizes best under extreme data scarcity.</w:t>
      </w:r>
    </w:p>
    <w:p w14:paraId="72A567D4" w14:textId="77777777" w:rsidR="00727FE4" w:rsidRDefault="00000000">
      <w:pPr>
        <w:spacing w:before="120" w:after="60"/>
        <w:jc w:val="center"/>
      </w:pPr>
      <w:r>
        <w:rPr>
          <w:rFonts w:eastAsia="Times New Roman" w:cs="Times New Roman"/>
          <w:b/>
          <w:bCs/>
        </w:rPr>
        <w:t>II. METHODOLOGY</w:t>
      </w:r>
    </w:p>
    <w:p w14:paraId="4E8D20A2" w14:textId="77777777" w:rsidR="00727FE4" w:rsidRDefault="00000000">
      <w:pPr>
        <w:spacing w:before="80" w:after="40"/>
      </w:pPr>
      <w:r>
        <w:rPr>
          <w:rFonts w:eastAsia="Times New Roman" w:cs="Times New Roman"/>
          <w:b/>
          <w:bCs/>
          <w:i/>
          <w:iCs/>
        </w:rPr>
        <w:t>A. Supervised CNN</w:t>
      </w:r>
    </w:p>
    <w:p w14:paraId="1729C0FE" w14:textId="77777777" w:rsidR="00727FE4" w:rsidRDefault="00000000">
      <w:pPr>
        <w:spacing w:after="60" w:line="228" w:lineRule="auto"/>
        <w:jc w:val="both"/>
      </w:pPr>
      <w:r>
        <w:rPr>
          <w:rFonts w:eastAsia="Times New Roman" w:cs="Times New Roman"/>
        </w:rPr>
        <w:t>A three-layer CNN was designed with convolutional blocks of 32, 64, and 128 filters (3×3 kernels), each followed by batch normalization, ReLU activation, and 2×2 max-pooling. The resulting feature maps were flattened and passed through a fully connected classifier (128×28×28 → 256 → 2) with dropout regularization. Training used the Adam optimizer with cross-entropy loss and weight decay of 1×10⁻⁴ for 10 epochs. A grid search evaluated learning rates {0.001, 0.0005, 0.0001} and dropout rates {0.3, 0.5}.</w:t>
      </w:r>
    </w:p>
    <w:p w14:paraId="37DD9775" w14:textId="77777777" w:rsidR="00727FE4" w:rsidRDefault="00000000">
      <w:pPr>
        <w:spacing w:before="80" w:after="40"/>
      </w:pPr>
      <w:r>
        <w:rPr>
          <w:rFonts w:eastAsia="Times New Roman" w:cs="Times New Roman"/>
          <w:b/>
          <w:bCs/>
          <w:i/>
          <w:iCs/>
        </w:rPr>
        <w:t>B. Unsupervised Autoencoder + Classifier</w:t>
      </w:r>
    </w:p>
    <w:p w14:paraId="780D7425" w14:textId="77777777" w:rsidR="00847B3A" w:rsidRDefault="00847B3A" w:rsidP="00847B3A">
      <w:pPr>
        <w:spacing w:before="80" w:after="40"/>
        <w:jc w:val="both"/>
        <w:rPr>
          <w:rFonts w:eastAsia="Times New Roman" w:cs="Times New Roman"/>
        </w:rPr>
      </w:pPr>
      <w:r w:rsidRPr="00847B3A">
        <w:rPr>
          <w:rFonts w:eastAsia="Times New Roman" w:cs="Times New Roman" w:hint="eastAsia"/>
        </w:rPr>
        <w:t>A convolutional autoencoder was first trained on reconstruction loss (MSE) without labels. The encoder comprised three stride-2 convolutional layers (3→32→64→128), with a symmetric decoder using transposed convolutions. After convergence, the encoder weights were extracted and a classification head with Global Average Pooling (reducing 128×28×28 to 128 features) followed by dense layers (128→64→1, sigmoid) was attached. Two variants were evaluated: frozen encoder (feature extraction only) and fine-tuned enc</w:t>
      </w:r>
      <w:r w:rsidRPr="00847B3A">
        <w:rPr>
          <w:rFonts w:eastAsia="Times New Roman" w:cs="Times New Roman"/>
        </w:rPr>
        <w:t>oder (all parameters trainable). This tests whether unsupervised representation learning can substitute for labeled supervision.</w:t>
      </w:r>
    </w:p>
    <w:p w14:paraId="139C87DF" w14:textId="53DA481D" w:rsidR="00727FE4" w:rsidRDefault="00000000">
      <w:pPr>
        <w:spacing w:before="80" w:after="40"/>
      </w:pPr>
      <w:r>
        <w:rPr>
          <w:rFonts w:eastAsia="Times New Roman" w:cs="Times New Roman"/>
          <w:b/>
          <w:bCs/>
          <w:i/>
          <w:iCs/>
        </w:rPr>
        <w:t>C. Transfer Learning — EfficientNet-B0</w:t>
      </w:r>
    </w:p>
    <w:p w14:paraId="771533AD" w14:textId="77777777" w:rsidR="00727FE4" w:rsidRDefault="00000000">
      <w:pPr>
        <w:spacing w:after="60" w:line="228" w:lineRule="auto"/>
        <w:jc w:val="both"/>
      </w:pPr>
      <w:r>
        <w:rPr>
          <w:rFonts w:eastAsia="Times New Roman" w:cs="Times New Roman"/>
        </w:rPr>
        <w:t xml:space="preserve">EfficientNet-B0 [2] was evaluated in two configurations: (a) trained from scratch with random initialization, and (b) initialized with ImageNet weights with the backbone frozen. </w:t>
      </w:r>
      <w:r>
        <w:rPr>
          <w:rFonts w:eastAsia="Times New Roman" w:cs="Times New Roman"/>
        </w:rPr>
        <w:t>Both used a classification head of GlobalAveragePooling2D, Dropout(0.2), and Dense(1, sigmoid). Data augmentation (random flips, rotations, zoom) was applied. Training used Adam with binary cross-entropy loss, batch size 16, for 20 epochs. To prioritize recall—since false negatives carry greater clinical risk than false positives—the decision threshold was lowered from 0.5 to 0.3.</w:t>
      </w:r>
    </w:p>
    <w:p w14:paraId="036C607F" w14:textId="77777777" w:rsidR="00727FE4" w:rsidRDefault="00000000">
      <w:pPr>
        <w:spacing w:before="120" w:after="60"/>
        <w:jc w:val="center"/>
      </w:pPr>
      <w:r>
        <w:rPr>
          <w:rFonts w:eastAsia="Times New Roman" w:cs="Times New Roman"/>
          <w:b/>
          <w:bCs/>
        </w:rPr>
        <w:t>III. RESULTS</w:t>
      </w:r>
    </w:p>
    <w:p w14:paraId="6FBEAA4C" w14:textId="5E168F92" w:rsidR="00727FE4" w:rsidRDefault="00000000">
      <w:pPr>
        <w:spacing w:after="60" w:line="228" w:lineRule="auto"/>
        <w:jc w:val="both"/>
      </w:pPr>
      <w:r>
        <w:rPr>
          <w:rFonts w:eastAsia="Times New Roman" w:cs="Times New Roman"/>
        </w:rPr>
        <w:t xml:space="preserve">The supervised CNN achieved its best validation accuracy of </w:t>
      </w:r>
      <w:r w:rsidR="005F797E">
        <w:rPr>
          <w:rFonts w:eastAsia="Times New Roman" w:cs="Times New Roman"/>
        </w:rPr>
        <w:t>84</w:t>
      </w:r>
      <w:r>
        <w:rPr>
          <w:rFonts w:eastAsia="Times New Roman" w:cs="Times New Roman"/>
        </w:rPr>
        <w:t>.</w:t>
      </w:r>
      <w:r w:rsidR="005F797E">
        <w:rPr>
          <w:rFonts w:eastAsia="Times New Roman" w:cs="Times New Roman"/>
        </w:rPr>
        <w:t>21</w:t>
      </w:r>
      <w:r>
        <w:rPr>
          <w:rFonts w:eastAsia="Times New Roman" w:cs="Times New Roman"/>
        </w:rPr>
        <w:t>% (loss 0.</w:t>
      </w:r>
      <w:r w:rsidR="005F797E">
        <w:rPr>
          <w:rFonts w:eastAsia="Times New Roman" w:cs="Times New Roman"/>
        </w:rPr>
        <w:t>7470</w:t>
      </w:r>
      <w:r>
        <w:rPr>
          <w:rFonts w:eastAsia="Times New Roman" w:cs="Times New Roman"/>
        </w:rPr>
        <w:t>) with lr=0.001 and dropout=0.</w:t>
      </w:r>
      <w:r w:rsidR="005F797E">
        <w:rPr>
          <w:rFonts w:eastAsia="Times New Roman" w:cs="Times New Roman"/>
        </w:rPr>
        <w:t>3</w:t>
      </w:r>
      <w:r>
        <w:rPr>
          <w:rFonts w:eastAsia="Times New Roman" w:cs="Times New Roman"/>
        </w:rPr>
        <w:t>. Higher learning rates yielded similar accuracy but with substantially higher validation loss (up to 4.15), indicating unstable convergence.</w:t>
      </w:r>
    </w:p>
    <w:p w14:paraId="00980E5D" w14:textId="589CEC4B" w:rsidR="00727FE4" w:rsidRDefault="00000000">
      <w:pPr>
        <w:spacing w:after="60" w:line="228" w:lineRule="auto"/>
        <w:jc w:val="both"/>
      </w:pPr>
      <w:r>
        <w:rPr>
          <w:rFonts w:eastAsia="Times New Roman" w:cs="Times New Roman"/>
        </w:rPr>
        <w:t>The autoencoder-based classifier failed to learn a meaningful decision boundary. Both the frozen-encoder and fine-tuned variants achieved only 6</w:t>
      </w:r>
      <w:r w:rsidR="005F797E">
        <w:rPr>
          <w:rFonts w:eastAsia="Times New Roman" w:cs="Times New Roman"/>
        </w:rPr>
        <w:t>3</w:t>
      </w:r>
      <w:r>
        <w:rPr>
          <w:rFonts w:eastAsia="Times New Roman" w:cs="Times New Roman"/>
        </w:rPr>
        <w:t>% accuracy—equivalent to predicting the majority class (tumor) for all inputs. Precision and recall for the healthy class were 0.00 in both cases. With only 253 images, the autoencoder could not learn sufficiently discriminative features during unsupervised pretraining, rendering the downstream classifier ineffective regardless of fine-tuning.</w:t>
      </w:r>
    </w:p>
    <w:p w14:paraId="646BB6DC" w14:textId="77777777" w:rsidR="00727FE4" w:rsidRDefault="00000000">
      <w:pPr>
        <w:spacing w:after="60" w:line="228" w:lineRule="auto"/>
        <w:jc w:val="both"/>
      </w:pPr>
      <w:r>
        <w:rPr>
          <w:rFonts w:eastAsia="Times New Roman" w:cs="Times New Roman"/>
        </w:rPr>
        <w:t>EfficientNet-B0 trained from scratch exhibited severe overfitting: high training accuracy paired with approximately 64% validation accuracy, confirming that the model memorized training samples rather than learning generalizable features. In contrast, the transfer learning variant achieved 90% validation accuracy. After adjusting the decision threshold from 0.5 to 0.3, tumor recall reached 91%. The pretrained ImageNet weights provided robust low-level and mid-level feature representations that the small dataset could not generate independently. Table I summarizes results across all experiments.</w:t>
      </w:r>
    </w:p>
    <w:p w14:paraId="13531528" w14:textId="77777777" w:rsidR="00727FE4" w:rsidRDefault="00000000">
      <w:pPr>
        <w:spacing w:before="40" w:after="60"/>
        <w:jc w:val="center"/>
      </w:pPr>
      <w:r>
        <w:rPr>
          <w:rFonts w:eastAsia="Times New Roman" w:cs="Times New Roman"/>
          <w:b/>
          <w:bCs/>
          <w:sz w:val="16"/>
          <w:szCs w:val="16"/>
        </w:rPr>
        <w:t xml:space="preserve">TABLE I. </w:t>
      </w:r>
      <w:r>
        <w:rPr>
          <w:rFonts w:eastAsia="Times New Roman" w:cs="Times New Roman"/>
          <w:sz w:val="16"/>
          <w:szCs w:val="16"/>
        </w:rPr>
        <w:t>Comparison of validation performance across all models.</w:t>
      </w:r>
    </w:p>
    <w:tbl>
      <w:tblPr>
        <w:tblW w:w="4300" w:type="dxa"/>
        <w:tblLayout w:type="fixed"/>
        <w:tblCellMar>
          <w:top w:w="20" w:type="dxa"/>
          <w:left w:w="60" w:type="dxa"/>
          <w:bottom w:w="20" w:type="dxa"/>
          <w:right w:w="60" w:type="dxa"/>
        </w:tblCellMar>
        <w:tblLook w:val="0000" w:firstRow="0" w:lastRow="0" w:firstColumn="0" w:lastColumn="0" w:noHBand="0" w:noVBand="0"/>
      </w:tblPr>
      <w:tblGrid>
        <w:gridCol w:w="1699"/>
        <w:gridCol w:w="901"/>
        <w:gridCol w:w="1700"/>
      </w:tblGrid>
      <w:tr w:rsidR="00727FE4" w14:paraId="4B841DEB" w14:textId="77777777">
        <w:tc>
          <w:tcPr>
            <w:tcW w:w="1699" w:type="dxa"/>
            <w:tcBorders>
              <w:top w:val="single" w:sz="2" w:space="0" w:color="000000"/>
              <w:left w:val="single" w:sz="2" w:space="0" w:color="000000"/>
              <w:bottom w:val="single" w:sz="2" w:space="0" w:color="000000"/>
              <w:right w:val="single" w:sz="2" w:space="0" w:color="000000"/>
            </w:tcBorders>
            <w:shd w:val="clear" w:color="auto" w:fill="D9E2F3"/>
          </w:tcPr>
          <w:p w14:paraId="755F4870" w14:textId="77777777" w:rsidR="00727FE4" w:rsidRDefault="00000000">
            <w:pPr>
              <w:spacing w:line="228" w:lineRule="auto"/>
            </w:pPr>
            <w:r>
              <w:rPr>
                <w:rFonts w:eastAsia="Times New Roman" w:cs="Times New Roman"/>
                <w:b/>
                <w:bCs/>
                <w:sz w:val="16"/>
                <w:szCs w:val="16"/>
              </w:rPr>
              <w:t>Model</w:t>
            </w:r>
          </w:p>
        </w:tc>
        <w:tc>
          <w:tcPr>
            <w:tcW w:w="901" w:type="dxa"/>
            <w:tcBorders>
              <w:top w:val="single" w:sz="2" w:space="0" w:color="000000"/>
              <w:left w:val="single" w:sz="2" w:space="0" w:color="000000"/>
              <w:bottom w:val="single" w:sz="2" w:space="0" w:color="000000"/>
              <w:right w:val="single" w:sz="2" w:space="0" w:color="000000"/>
            </w:tcBorders>
            <w:shd w:val="clear" w:color="auto" w:fill="D9E2F3"/>
          </w:tcPr>
          <w:p w14:paraId="636AF7A2" w14:textId="77777777" w:rsidR="00727FE4" w:rsidRDefault="00000000">
            <w:pPr>
              <w:spacing w:line="228" w:lineRule="auto"/>
              <w:jc w:val="center"/>
            </w:pPr>
            <w:r>
              <w:rPr>
                <w:rFonts w:eastAsia="Times New Roman" w:cs="Times New Roman"/>
                <w:b/>
                <w:bCs/>
                <w:sz w:val="16"/>
                <w:szCs w:val="16"/>
              </w:rPr>
              <w:t>Val. Acc.</w:t>
            </w:r>
          </w:p>
        </w:tc>
        <w:tc>
          <w:tcPr>
            <w:tcW w:w="1700" w:type="dxa"/>
            <w:tcBorders>
              <w:top w:val="single" w:sz="2" w:space="0" w:color="000000"/>
              <w:left w:val="single" w:sz="2" w:space="0" w:color="000000"/>
              <w:bottom w:val="single" w:sz="2" w:space="0" w:color="000000"/>
              <w:right w:val="single" w:sz="2" w:space="0" w:color="000000"/>
            </w:tcBorders>
            <w:shd w:val="clear" w:color="auto" w:fill="D9E2F3"/>
          </w:tcPr>
          <w:p w14:paraId="19AAE0F0" w14:textId="77777777" w:rsidR="00727FE4" w:rsidRDefault="00000000">
            <w:pPr>
              <w:spacing w:line="228" w:lineRule="auto"/>
            </w:pPr>
            <w:r>
              <w:rPr>
                <w:rFonts w:eastAsia="Times New Roman" w:cs="Times New Roman"/>
                <w:b/>
                <w:bCs/>
                <w:sz w:val="16"/>
                <w:szCs w:val="16"/>
              </w:rPr>
              <w:t>Notes</w:t>
            </w:r>
          </w:p>
        </w:tc>
      </w:tr>
      <w:tr w:rsidR="00727FE4" w14:paraId="29239F52" w14:textId="77777777">
        <w:tc>
          <w:tcPr>
            <w:tcW w:w="1699" w:type="dxa"/>
            <w:tcBorders>
              <w:top w:val="single" w:sz="2" w:space="0" w:color="000000"/>
              <w:left w:val="single" w:sz="2" w:space="0" w:color="000000"/>
              <w:bottom w:val="single" w:sz="2" w:space="0" w:color="000000"/>
              <w:right w:val="single" w:sz="2" w:space="0" w:color="000000"/>
            </w:tcBorders>
          </w:tcPr>
          <w:p w14:paraId="267CAC32" w14:textId="77777777" w:rsidR="00727FE4" w:rsidRDefault="00000000">
            <w:pPr>
              <w:spacing w:line="228" w:lineRule="auto"/>
            </w:pPr>
            <w:r>
              <w:rPr>
                <w:rFonts w:eastAsia="Times New Roman" w:cs="Times New Roman"/>
                <w:sz w:val="16"/>
                <w:szCs w:val="16"/>
              </w:rPr>
              <w:t>Supervised CNN</w:t>
            </w:r>
          </w:p>
        </w:tc>
        <w:tc>
          <w:tcPr>
            <w:tcW w:w="901" w:type="dxa"/>
            <w:tcBorders>
              <w:top w:val="single" w:sz="2" w:space="0" w:color="000000"/>
              <w:left w:val="single" w:sz="2" w:space="0" w:color="000000"/>
              <w:bottom w:val="single" w:sz="2" w:space="0" w:color="000000"/>
              <w:right w:val="single" w:sz="2" w:space="0" w:color="000000"/>
            </w:tcBorders>
          </w:tcPr>
          <w:p w14:paraId="17E6BC41" w14:textId="4F60DB4E" w:rsidR="00727FE4" w:rsidRDefault="005F797E">
            <w:pPr>
              <w:spacing w:line="228" w:lineRule="auto"/>
              <w:jc w:val="center"/>
            </w:pPr>
            <w:r>
              <w:rPr>
                <w:rFonts w:eastAsia="Times New Roman" w:cs="Times New Roman"/>
                <w:sz w:val="16"/>
                <w:szCs w:val="16"/>
              </w:rPr>
              <w:t>84%</w:t>
            </w:r>
          </w:p>
        </w:tc>
        <w:tc>
          <w:tcPr>
            <w:tcW w:w="1700" w:type="dxa"/>
            <w:tcBorders>
              <w:top w:val="single" w:sz="2" w:space="0" w:color="000000"/>
              <w:left w:val="single" w:sz="2" w:space="0" w:color="000000"/>
              <w:bottom w:val="single" w:sz="2" w:space="0" w:color="000000"/>
              <w:right w:val="single" w:sz="2" w:space="0" w:color="000000"/>
            </w:tcBorders>
          </w:tcPr>
          <w:p w14:paraId="09D0C509" w14:textId="77777777" w:rsidR="00727FE4" w:rsidRDefault="00000000">
            <w:pPr>
              <w:spacing w:line="228" w:lineRule="auto"/>
            </w:pPr>
            <w:r>
              <w:rPr>
                <w:rFonts w:eastAsia="Times New Roman" w:cs="Times New Roman"/>
                <w:sz w:val="16"/>
                <w:szCs w:val="16"/>
              </w:rPr>
              <w:t>Best of grid search</w:t>
            </w:r>
          </w:p>
        </w:tc>
      </w:tr>
      <w:tr w:rsidR="00727FE4" w14:paraId="15719B62" w14:textId="77777777">
        <w:tc>
          <w:tcPr>
            <w:tcW w:w="1699" w:type="dxa"/>
            <w:tcBorders>
              <w:top w:val="single" w:sz="2" w:space="0" w:color="000000"/>
              <w:left w:val="single" w:sz="2" w:space="0" w:color="000000"/>
              <w:bottom w:val="single" w:sz="2" w:space="0" w:color="000000"/>
              <w:right w:val="single" w:sz="2" w:space="0" w:color="000000"/>
            </w:tcBorders>
          </w:tcPr>
          <w:p w14:paraId="56A3D757" w14:textId="77777777" w:rsidR="00727FE4" w:rsidRDefault="00000000">
            <w:pPr>
              <w:spacing w:line="228" w:lineRule="auto"/>
            </w:pPr>
            <w:r>
              <w:rPr>
                <w:rFonts w:eastAsia="Times New Roman" w:cs="Times New Roman"/>
                <w:sz w:val="16"/>
                <w:szCs w:val="16"/>
              </w:rPr>
              <w:t>Autoencoder + Clf.</w:t>
            </w:r>
          </w:p>
        </w:tc>
        <w:tc>
          <w:tcPr>
            <w:tcW w:w="901" w:type="dxa"/>
            <w:tcBorders>
              <w:top w:val="single" w:sz="2" w:space="0" w:color="000000"/>
              <w:left w:val="single" w:sz="2" w:space="0" w:color="000000"/>
              <w:bottom w:val="single" w:sz="2" w:space="0" w:color="000000"/>
              <w:right w:val="single" w:sz="2" w:space="0" w:color="000000"/>
            </w:tcBorders>
          </w:tcPr>
          <w:p w14:paraId="66891A8A" w14:textId="54484195" w:rsidR="00727FE4" w:rsidRDefault="00000000">
            <w:pPr>
              <w:spacing w:line="228" w:lineRule="auto"/>
              <w:jc w:val="center"/>
            </w:pPr>
            <w:r>
              <w:rPr>
                <w:rFonts w:eastAsia="Times New Roman" w:cs="Times New Roman"/>
                <w:sz w:val="16"/>
                <w:szCs w:val="16"/>
              </w:rPr>
              <w:t>6</w:t>
            </w:r>
            <w:r w:rsidR="005F797E">
              <w:rPr>
                <w:rFonts w:eastAsia="Times New Roman" w:cs="Times New Roman"/>
                <w:sz w:val="16"/>
                <w:szCs w:val="16"/>
              </w:rPr>
              <w:t>3</w:t>
            </w:r>
            <w:r>
              <w:rPr>
                <w:rFonts w:eastAsia="Times New Roman" w:cs="Times New Roman"/>
                <w:sz w:val="16"/>
                <w:szCs w:val="16"/>
              </w:rPr>
              <w:t>%</w:t>
            </w:r>
          </w:p>
        </w:tc>
        <w:tc>
          <w:tcPr>
            <w:tcW w:w="1700" w:type="dxa"/>
            <w:tcBorders>
              <w:top w:val="single" w:sz="2" w:space="0" w:color="000000"/>
              <w:left w:val="single" w:sz="2" w:space="0" w:color="000000"/>
              <w:bottom w:val="single" w:sz="2" w:space="0" w:color="000000"/>
              <w:right w:val="single" w:sz="2" w:space="0" w:color="000000"/>
            </w:tcBorders>
          </w:tcPr>
          <w:p w14:paraId="34CC1C97" w14:textId="77777777" w:rsidR="00727FE4" w:rsidRDefault="00000000">
            <w:pPr>
              <w:spacing w:line="228" w:lineRule="auto"/>
            </w:pPr>
            <w:r>
              <w:rPr>
                <w:rFonts w:eastAsia="Times New Roman" w:cs="Times New Roman"/>
                <w:sz w:val="16"/>
                <w:szCs w:val="16"/>
              </w:rPr>
              <w:t>Majority-class baseline</w:t>
            </w:r>
          </w:p>
        </w:tc>
      </w:tr>
      <w:tr w:rsidR="00727FE4" w14:paraId="528FFB4D" w14:textId="77777777">
        <w:tc>
          <w:tcPr>
            <w:tcW w:w="1699" w:type="dxa"/>
            <w:tcBorders>
              <w:top w:val="single" w:sz="2" w:space="0" w:color="000000"/>
              <w:left w:val="single" w:sz="2" w:space="0" w:color="000000"/>
              <w:bottom w:val="single" w:sz="2" w:space="0" w:color="000000"/>
              <w:right w:val="single" w:sz="2" w:space="0" w:color="000000"/>
            </w:tcBorders>
          </w:tcPr>
          <w:p w14:paraId="4262BFDD" w14:textId="77777777" w:rsidR="00727FE4" w:rsidRDefault="00000000">
            <w:pPr>
              <w:spacing w:line="228" w:lineRule="auto"/>
            </w:pPr>
            <w:r>
              <w:rPr>
                <w:rFonts w:eastAsia="Times New Roman" w:cs="Times New Roman"/>
                <w:sz w:val="16"/>
                <w:szCs w:val="16"/>
              </w:rPr>
              <w:t>EffNet-B0 (scratch)</w:t>
            </w:r>
          </w:p>
        </w:tc>
        <w:tc>
          <w:tcPr>
            <w:tcW w:w="901" w:type="dxa"/>
            <w:tcBorders>
              <w:top w:val="single" w:sz="2" w:space="0" w:color="000000"/>
              <w:left w:val="single" w:sz="2" w:space="0" w:color="000000"/>
              <w:bottom w:val="single" w:sz="2" w:space="0" w:color="000000"/>
              <w:right w:val="single" w:sz="2" w:space="0" w:color="000000"/>
            </w:tcBorders>
          </w:tcPr>
          <w:p w14:paraId="61676324" w14:textId="77777777" w:rsidR="00727FE4" w:rsidRDefault="00000000">
            <w:pPr>
              <w:spacing w:line="228" w:lineRule="auto"/>
              <w:jc w:val="center"/>
            </w:pPr>
            <w:r>
              <w:rPr>
                <w:rFonts w:eastAsia="Times New Roman" w:cs="Times New Roman"/>
                <w:sz w:val="16"/>
                <w:szCs w:val="16"/>
              </w:rPr>
              <w:t>64%</w:t>
            </w:r>
          </w:p>
        </w:tc>
        <w:tc>
          <w:tcPr>
            <w:tcW w:w="1700" w:type="dxa"/>
            <w:tcBorders>
              <w:top w:val="single" w:sz="2" w:space="0" w:color="000000"/>
              <w:left w:val="single" w:sz="2" w:space="0" w:color="000000"/>
              <w:bottom w:val="single" w:sz="2" w:space="0" w:color="000000"/>
              <w:right w:val="single" w:sz="2" w:space="0" w:color="000000"/>
            </w:tcBorders>
          </w:tcPr>
          <w:p w14:paraId="56533E75" w14:textId="77777777" w:rsidR="00727FE4" w:rsidRDefault="00000000">
            <w:pPr>
              <w:spacing w:line="228" w:lineRule="auto"/>
            </w:pPr>
            <w:r>
              <w:rPr>
                <w:rFonts w:eastAsia="Times New Roman" w:cs="Times New Roman"/>
                <w:sz w:val="16"/>
                <w:szCs w:val="16"/>
              </w:rPr>
              <w:t>Severe overfitting</w:t>
            </w:r>
          </w:p>
        </w:tc>
      </w:tr>
      <w:tr w:rsidR="00727FE4" w14:paraId="7246FEB6" w14:textId="77777777">
        <w:tc>
          <w:tcPr>
            <w:tcW w:w="1699" w:type="dxa"/>
            <w:tcBorders>
              <w:top w:val="single" w:sz="2" w:space="0" w:color="000000"/>
              <w:left w:val="single" w:sz="2" w:space="0" w:color="000000"/>
              <w:bottom w:val="single" w:sz="2" w:space="0" w:color="000000"/>
              <w:right w:val="single" w:sz="2" w:space="0" w:color="000000"/>
            </w:tcBorders>
          </w:tcPr>
          <w:p w14:paraId="78A888EB" w14:textId="77777777" w:rsidR="00727FE4" w:rsidRDefault="00000000">
            <w:pPr>
              <w:spacing w:line="228" w:lineRule="auto"/>
            </w:pPr>
            <w:r>
              <w:rPr>
                <w:rFonts w:eastAsia="Times New Roman" w:cs="Times New Roman"/>
                <w:sz w:val="16"/>
                <w:szCs w:val="16"/>
              </w:rPr>
              <w:t>EffNet-B0 (transfer)</w:t>
            </w:r>
          </w:p>
        </w:tc>
        <w:tc>
          <w:tcPr>
            <w:tcW w:w="901" w:type="dxa"/>
            <w:tcBorders>
              <w:top w:val="single" w:sz="2" w:space="0" w:color="000000"/>
              <w:left w:val="single" w:sz="2" w:space="0" w:color="000000"/>
              <w:bottom w:val="single" w:sz="2" w:space="0" w:color="000000"/>
              <w:right w:val="single" w:sz="2" w:space="0" w:color="000000"/>
            </w:tcBorders>
          </w:tcPr>
          <w:p w14:paraId="7499984D" w14:textId="77777777" w:rsidR="00727FE4" w:rsidRDefault="00000000">
            <w:pPr>
              <w:spacing w:line="228" w:lineRule="auto"/>
              <w:jc w:val="center"/>
            </w:pPr>
            <w:r>
              <w:rPr>
                <w:rFonts w:eastAsia="Times New Roman" w:cs="Times New Roman"/>
                <w:sz w:val="16"/>
                <w:szCs w:val="16"/>
              </w:rPr>
              <w:t>90%</w:t>
            </w:r>
          </w:p>
        </w:tc>
        <w:tc>
          <w:tcPr>
            <w:tcW w:w="1700" w:type="dxa"/>
            <w:tcBorders>
              <w:top w:val="single" w:sz="2" w:space="0" w:color="000000"/>
              <w:left w:val="single" w:sz="2" w:space="0" w:color="000000"/>
              <w:bottom w:val="single" w:sz="2" w:space="0" w:color="000000"/>
              <w:right w:val="single" w:sz="2" w:space="0" w:color="000000"/>
            </w:tcBorders>
          </w:tcPr>
          <w:p w14:paraId="4374C8C5" w14:textId="77777777" w:rsidR="00727FE4" w:rsidRDefault="00000000">
            <w:pPr>
              <w:spacing w:line="228" w:lineRule="auto"/>
            </w:pPr>
            <w:r>
              <w:rPr>
                <w:rFonts w:eastAsia="Times New Roman" w:cs="Times New Roman"/>
                <w:sz w:val="16"/>
                <w:szCs w:val="16"/>
              </w:rPr>
              <w:t>91% tumor recall</w:t>
            </w:r>
          </w:p>
        </w:tc>
      </w:tr>
    </w:tbl>
    <w:p w14:paraId="28A68175" w14:textId="77777777" w:rsidR="00727FE4" w:rsidRDefault="00000000">
      <w:pPr>
        <w:spacing w:before="120" w:after="60"/>
        <w:jc w:val="center"/>
      </w:pPr>
      <w:r>
        <w:rPr>
          <w:rFonts w:eastAsia="Times New Roman" w:cs="Times New Roman"/>
          <w:b/>
          <w:bCs/>
        </w:rPr>
        <w:t>IV. DISCUSSION</w:t>
      </w:r>
    </w:p>
    <w:p w14:paraId="16C12A5E" w14:textId="77777777" w:rsidR="00727FE4" w:rsidRDefault="00000000">
      <w:pPr>
        <w:spacing w:after="60" w:line="228" w:lineRule="auto"/>
        <w:jc w:val="both"/>
      </w:pPr>
      <w:r>
        <w:rPr>
          <w:rFonts w:eastAsia="Times New Roman" w:cs="Times New Roman"/>
        </w:rPr>
        <w:t>The results demonstrate a clear hierarchy among the three paradigms under data scarcity. The supervised CNN, while simple, benefited from end-to-end optimization on labeled data and achieved moderate performance. Its sensitivity to learning rate, however, suggests fragile convergence on small datasets—three of four hyperparameter configurations produced validation losses between 1.44 and 4.15, despite achieving similar accuracy. This indicates that the model found qualitatively different local minima depending on the learning rate, a common pathology when training on limited data.</w:t>
      </w:r>
    </w:p>
    <w:p w14:paraId="0B8308DB" w14:textId="77777777" w:rsidR="00727FE4" w:rsidRDefault="00000000">
      <w:pPr>
        <w:spacing w:after="60" w:line="228" w:lineRule="auto"/>
        <w:jc w:val="both"/>
      </w:pPr>
      <w:r>
        <w:rPr>
          <w:rFonts w:eastAsia="Times New Roman" w:cs="Times New Roman"/>
        </w:rPr>
        <w:lastRenderedPageBreak/>
        <w:t>The autoencoder-based approach, despite its theoretical appeal of leveraging unlabeled data, failed entirely—the reconstruction objective did not produce features relevant to the classification task. The identical failure of both frozen and fine-tuned encoder variants suggests the issue lies upstream: the encoder never learned discriminative features in the first place, so no amount of downstream tuning could compensate. With only 253 images, the autoencoder likely learned trivial identity-like mappings rather than semantically meaningful compressed representations. This aligns with prior findings that unsupervised pretraining requires substantially larger datasets to yield transferable features [5].</w:t>
      </w:r>
    </w:p>
    <w:p w14:paraId="3CF76F95" w14:textId="77777777" w:rsidR="00727FE4" w:rsidRDefault="00000000">
      <w:pPr>
        <w:spacing w:after="60" w:line="228" w:lineRule="auto"/>
        <w:jc w:val="both"/>
      </w:pPr>
      <w:r>
        <w:rPr>
          <w:rFonts w:eastAsia="Times New Roman" w:cs="Times New Roman"/>
        </w:rPr>
        <w:t>The transfer learning results are particularly instructive. The identical architecture (EfficientNet-B0 with GlobalAveragePooling2D, Dropout, and sigmoid output) achieved 64% accuracy from scratch versus 90% with pretrained weights, isolating the pretrained features as the sole variable responsible for the 26-percentage-point improvement. The from-scratch variant exhibited classic overfitting: high training accuracy coupled with poor validation performance, confirming that ~4 million trainable parameters cannot be reliably estimated from 253 samples. The pretrained variant, by contrast, froze the backbone and trained only the classification head, drastically reducing the effective parameter count and enabling stable generalization [2], [3].</w:t>
      </w:r>
    </w:p>
    <w:p w14:paraId="7B807F8A" w14:textId="77777777" w:rsidR="00727FE4" w:rsidRDefault="00000000">
      <w:pPr>
        <w:spacing w:after="60" w:line="228" w:lineRule="auto"/>
        <w:jc w:val="both"/>
      </w:pPr>
      <w:r>
        <w:rPr>
          <w:rFonts w:eastAsia="Times New Roman" w:cs="Times New Roman"/>
        </w:rPr>
        <w:t>The threshold adjustment from 0.5 to 0.3 reflects domain-specific requirements: in clinical screening, a missed tumor (false negative) carries far greater risk than a false alarm (false positive). Lowering the threshold increased tumor recall from approximately 85% to 91% at the cost of slightly reduced precision—an acceptable trade-off in medical screening where downstream confirmatory tests (e.g., biopsy) can resolve false positives. This principle generalizes beyond tumor detection to any diagnostic classifier where asymmetric misclassification costs exist [4].</w:t>
      </w:r>
    </w:p>
    <w:p w14:paraId="0BA9DE3A" w14:textId="77777777" w:rsidR="00727FE4" w:rsidRDefault="00000000">
      <w:pPr>
        <w:spacing w:before="120" w:after="60"/>
        <w:jc w:val="center"/>
      </w:pPr>
      <w:r>
        <w:rPr>
          <w:rFonts w:eastAsia="Times New Roman" w:cs="Times New Roman"/>
          <w:b/>
          <w:bCs/>
        </w:rPr>
        <w:t>V. CONCLUSION</w:t>
      </w:r>
    </w:p>
    <w:p w14:paraId="0EBF0BC0" w14:textId="72F3130C" w:rsidR="00727FE4" w:rsidRDefault="00000000">
      <w:pPr>
        <w:spacing w:after="60" w:line="228" w:lineRule="auto"/>
        <w:jc w:val="both"/>
      </w:pPr>
      <w:r>
        <w:rPr>
          <w:rFonts w:eastAsia="Times New Roman" w:cs="Times New Roman"/>
        </w:rPr>
        <w:t>This study compared supervised, unsupervised, and transfer learning approaches for brain tumor detection on a 253-image MRI dataset. Transfer learning with EfficientNet-B0 achieved 90% validation accuracy and 91% tumor recall, substantially outperforming both the supervised CNN (</w:t>
      </w:r>
      <w:r w:rsidR="005F797E">
        <w:rPr>
          <w:rFonts w:eastAsia="Times New Roman" w:cs="Times New Roman"/>
        </w:rPr>
        <w:t>84</w:t>
      </w:r>
      <w:r>
        <w:rPr>
          <w:rFonts w:eastAsia="Times New Roman" w:cs="Times New Roman"/>
        </w:rPr>
        <w:t>%) and the autoencoder-based pipeline (6</w:t>
      </w:r>
      <w:r w:rsidR="005F797E">
        <w:rPr>
          <w:rFonts w:eastAsia="Times New Roman" w:cs="Times New Roman"/>
        </w:rPr>
        <w:t>3</w:t>
      </w:r>
      <w:r>
        <w:rPr>
          <w:rFonts w:eastAsia="Times New Roman" w:cs="Times New Roman"/>
        </w:rPr>
        <w:t>%). The stark performance gap between the from-scratch and transfer learning variants of the same architecture confirms that pretrained feature representations are the dominant factor in classification performance under data scarcity, rather than architectural design choices.</w:t>
      </w:r>
    </w:p>
    <w:p w14:paraId="52326C76" w14:textId="77777777" w:rsidR="00727FE4" w:rsidRDefault="00000000">
      <w:pPr>
        <w:spacing w:after="60" w:line="228" w:lineRule="auto"/>
        <w:jc w:val="both"/>
      </w:pPr>
      <w:r>
        <w:rPr>
          <w:rFonts w:eastAsia="Times New Roman" w:cs="Times New Roman"/>
        </w:rPr>
        <w:t>Several limitations warrant acknowledgment. The dataset is small (253 images) and sourced from a single repository, which limits generalizability. No cross-validation was performed, and test set sizes were small enough that individual misclassifications substantially affect reported metrics. Additionally, only binary classification (tumor vs. healthy) was evaluated; real-world clinical applications typically require multi-class or localization capabilities.</w:t>
      </w:r>
    </w:p>
    <w:p w14:paraId="7377CF0B" w14:textId="77777777" w:rsidR="00727FE4" w:rsidRDefault="00000000">
      <w:pPr>
        <w:spacing w:after="60" w:line="228" w:lineRule="auto"/>
        <w:jc w:val="both"/>
      </w:pPr>
      <w:r>
        <w:rPr>
          <w:rFonts w:eastAsia="Times New Roman" w:cs="Times New Roman"/>
        </w:rPr>
        <w:t xml:space="preserve">Future work should evaluate these approaches on larger, multi-institutional datasets with cross-validation. Semi-supervised methods that combine small labeled sets with larger unlabeled collections may bridge the gap between the supervised and unsupervised paradigms. Integration of explainability </w:t>
      </w:r>
      <w:r>
        <w:rPr>
          <w:rFonts w:eastAsia="Times New Roman" w:cs="Times New Roman"/>
        </w:rPr>
        <w:t>techniques such as Grad-CAM would further support clinical adoption by providing visual evidence for model predictions.</w:t>
      </w:r>
    </w:p>
    <w:p w14:paraId="564ED394" w14:textId="77777777" w:rsidR="00727FE4" w:rsidRDefault="00000000">
      <w:pPr>
        <w:spacing w:before="120" w:after="60"/>
        <w:jc w:val="center"/>
      </w:pPr>
      <w:r>
        <w:rPr>
          <w:rFonts w:eastAsia="Times New Roman" w:cs="Times New Roman"/>
          <w:b/>
          <w:bCs/>
        </w:rPr>
        <w:t>VI. CONTRIBUTION</w:t>
      </w:r>
    </w:p>
    <w:p w14:paraId="2917B4E6" w14:textId="77777777" w:rsidR="00727FE4" w:rsidRDefault="00000000">
      <w:pPr>
        <w:spacing w:after="60" w:line="228" w:lineRule="auto"/>
        <w:jc w:val="both"/>
      </w:pPr>
      <w:r>
        <w:rPr>
          <w:rFonts w:eastAsia="Times New Roman" w:cs="Times New Roman"/>
        </w:rPr>
        <w:t xml:space="preserve">Davi Zevallos: Overall Analysis &amp; Report </w:t>
      </w:r>
    </w:p>
    <w:p w14:paraId="0D83B71F" w14:textId="77777777" w:rsidR="00727FE4" w:rsidRDefault="00000000">
      <w:pPr>
        <w:spacing w:after="60" w:line="228" w:lineRule="auto"/>
        <w:jc w:val="both"/>
        <w:rPr>
          <w:rFonts w:eastAsia="Times New Roman" w:cs="Times New Roman"/>
        </w:rPr>
      </w:pPr>
      <w:r>
        <w:rPr>
          <w:rFonts w:eastAsia="Times New Roman" w:cs="Times New Roman"/>
        </w:rPr>
        <w:t>Erwin Julian: Data Preparation &amp; Pipeline</w:t>
      </w:r>
    </w:p>
    <w:p w14:paraId="1114D264" w14:textId="77777777" w:rsidR="00727FE4" w:rsidRDefault="00000000">
      <w:pPr>
        <w:spacing w:after="60" w:line="228" w:lineRule="auto"/>
        <w:jc w:val="both"/>
        <w:rPr>
          <w:rFonts w:eastAsia="Times New Roman" w:cs="Times New Roman"/>
        </w:rPr>
      </w:pPr>
      <w:r>
        <w:rPr>
          <w:rFonts w:eastAsia="Times New Roman" w:cs="Times New Roman"/>
        </w:rPr>
        <w:t>Tian Li: Experiment 1 (Supervised CNN)</w:t>
      </w:r>
    </w:p>
    <w:p w14:paraId="66D80DA8" w14:textId="46097C9F" w:rsidR="00727FE4" w:rsidRDefault="00000000">
      <w:pPr>
        <w:spacing w:after="60" w:line="228" w:lineRule="auto"/>
        <w:jc w:val="both"/>
        <w:rPr>
          <w:rFonts w:eastAsia="Times New Roman" w:cs="Times New Roman"/>
        </w:rPr>
      </w:pPr>
      <w:r>
        <w:rPr>
          <w:rFonts w:eastAsia="Times New Roman" w:cs="Times New Roman"/>
        </w:rPr>
        <w:t>Michael Asfeha: Experiment 2 (Autoencode</w:t>
      </w:r>
      <w:r w:rsidR="001D62C4">
        <w:rPr>
          <w:rFonts w:eastAsia="Times New Roman" w:cs="Times New Roman"/>
        </w:rPr>
        <w:t>r</w:t>
      </w:r>
      <w:r>
        <w:rPr>
          <w:rFonts w:eastAsia="Times New Roman" w:cs="Times New Roman"/>
        </w:rPr>
        <w:t>)</w:t>
      </w:r>
    </w:p>
    <w:p w14:paraId="0990E33D" w14:textId="7C550A9A" w:rsidR="00727FE4" w:rsidRDefault="00000000">
      <w:pPr>
        <w:spacing w:after="60" w:line="228" w:lineRule="auto"/>
        <w:jc w:val="both"/>
      </w:pPr>
      <w:r>
        <w:rPr>
          <w:rFonts w:eastAsia="Times New Roman" w:cs="Times New Roman"/>
        </w:rPr>
        <w:t xml:space="preserve">Arseni Buriak: Experiment </w:t>
      </w:r>
      <w:r w:rsidR="001D62C4">
        <w:rPr>
          <w:rFonts w:eastAsia="Times New Roman" w:cs="Times New Roman"/>
        </w:rPr>
        <w:t>2</w:t>
      </w:r>
      <w:r>
        <w:rPr>
          <w:rFonts w:eastAsia="Times New Roman" w:cs="Times New Roman"/>
        </w:rPr>
        <w:t xml:space="preserve"> (</w:t>
      </w:r>
      <w:r w:rsidR="001D62C4">
        <w:rPr>
          <w:rFonts w:eastAsia="Times New Roman" w:cs="Times New Roman"/>
        </w:rPr>
        <w:t>Classifier)</w:t>
      </w:r>
    </w:p>
    <w:p w14:paraId="166A62A5" w14:textId="77777777" w:rsidR="00727FE4" w:rsidRDefault="00000000">
      <w:pPr>
        <w:spacing w:after="60" w:line="228" w:lineRule="auto"/>
        <w:jc w:val="both"/>
      </w:pPr>
      <w:r>
        <w:rPr>
          <w:rFonts w:eastAsia="Times New Roman" w:cs="Times New Roman"/>
        </w:rPr>
        <w:t>Anmol Shrestha: Experiment 3 (Transfer Learning</w:t>
      </w:r>
      <w:r>
        <w:rPr>
          <w:rFonts w:eastAsia="Times New Roman" w:cs="Times New Roman"/>
          <w:b/>
          <w:bCs/>
          <w:i/>
          <w:iCs/>
        </w:rPr>
        <w:t xml:space="preserve"> </w:t>
      </w:r>
      <w:r>
        <w:rPr>
          <w:rFonts w:eastAsia="Times New Roman" w:cs="Times New Roman"/>
        </w:rPr>
        <w:t>—</w:t>
      </w:r>
      <w:r>
        <w:rPr>
          <w:rFonts w:eastAsia="Times New Roman" w:cs="Times New Roman"/>
          <w:b/>
          <w:bCs/>
          <w:i/>
          <w:iCs/>
        </w:rPr>
        <w:t xml:space="preserve"> </w:t>
      </w:r>
      <w:r>
        <w:rPr>
          <w:rFonts w:eastAsia="Times New Roman" w:cs="Times New Roman"/>
        </w:rPr>
        <w:t>EfficientNet-B0)</w:t>
      </w:r>
    </w:p>
    <w:p w14:paraId="0A57125C" w14:textId="77777777" w:rsidR="00727FE4" w:rsidRDefault="00000000">
      <w:pPr>
        <w:spacing w:before="120" w:after="60"/>
        <w:jc w:val="center"/>
      </w:pPr>
      <w:r>
        <w:rPr>
          <w:rFonts w:eastAsia="Times New Roman" w:cs="Times New Roman"/>
          <w:b/>
          <w:bCs/>
        </w:rPr>
        <w:t>REFERENCES</w:t>
      </w:r>
    </w:p>
    <w:p w14:paraId="496812A9" w14:textId="77777777" w:rsidR="00727FE4" w:rsidRDefault="00000000">
      <w:pPr>
        <w:spacing w:after="20" w:line="228" w:lineRule="auto"/>
      </w:pPr>
      <w:r>
        <w:rPr>
          <w:rFonts w:eastAsia="Times New Roman" w:cs="Times New Roman"/>
          <w:sz w:val="16"/>
          <w:szCs w:val="16"/>
        </w:rPr>
        <w:t>[1] N. Chakrabarty, "Brain MRI Images for Brain Tumor Detection," Kaggle, 2019. [Online]. Available: https://www.kaggle.com/datasets/navoneel/brain-mri-images-for-brain-tumor-detection</w:t>
      </w:r>
    </w:p>
    <w:p w14:paraId="38A0C2EC" w14:textId="77777777" w:rsidR="00727FE4" w:rsidRDefault="00000000">
      <w:pPr>
        <w:spacing w:after="20" w:line="228" w:lineRule="auto"/>
      </w:pPr>
      <w:r>
        <w:rPr>
          <w:rFonts w:eastAsia="Times New Roman" w:cs="Times New Roman"/>
          <w:sz w:val="16"/>
          <w:szCs w:val="16"/>
        </w:rPr>
        <w:t>[2] M. Tan and Q. V. Le, "EfficientNet: Rethinking Model Scaling for Convolutional Neural Networks," in Proc. ICML, 2019, pp. 6105–6114.</w:t>
      </w:r>
    </w:p>
    <w:p w14:paraId="0A62B64C" w14:textId="77777777" w:rsidR="00727FE4" w:rsidRDefault="00000000">
      <w:pPr>
        <w:spacing w:after="20" w:line="228" w:lineRule="auto"/>
      </w:pPr>
      <w:r>
        <w:rPr>
          <w:rFonts w:eastAsia="Times New Roman" w:cs="Times New Roman"/>
          <w:sz w:val="16"/>
          <w:szCs w:val="16"/>
        </w:rPr>
        <w:t>[3] A. Krizhevsky, I. Sutskever, and G. E. Hinton, "ImageNet Classification with Deep Convolutional Neural Networks," in Proc. NeurIPS, 2012, pp. 1097–1105.</w:t>
      </w:r>
    </w:p>
    <w:p w14:paraId="07F83DEE" w14:textId="77777777" w:rsidR="00727FE4" w:rsidRDefault="00000000">
      <w:pPr>
        <w:spacing w:after="20" w:line="228" w:lineRule="auto"/>
      </w:pPr>
      <w:r>
        <w:rPr>
          <w:rFonts w:eastAsia="Times New Roman" w:cs="Times New Roman"/>
          <w:sz w:val="16"/>
          <w:szCs w:val="16"/>
        </w:rPr>
        <w:t>[4] H. H. Sultan, N. M. Salem, and W. Al-Atabany, "Multi-Classification of Brain Tumor Images Using Deep Neural Network," IEEE Access, vol. 7, pp. 69215–69225, 2019.</w:t>
      </w:r>
    </w:p>
    <w:p w14:paraId="596C8F67" w14:textId="77777777" w:rsidR="00727FE4" w:rsidRDefault="00000000">
      <w:pPr>
        <w:spacing w:after="20" w:line="228" w:lineRule="auto"/>
      </w:pPr>
      <w:r>
        <w:rPr>
          <w:rFonts w:eastAsia="Times New Roman" w:cs="Times New Roman"/>
          <w:sz w:val="16"/>
          <w:szCs w:val="16"/>
        </w:rPr>
        <w:t>[5] S. J. Pan and Q. Yang, "A Survey on Transfer Learning," IEEE Trans. Knowl. Data Eng., vol. 22, no. 10, pp. 1345–1359, 2010.</w:t>
      </w:r>
    </w:p>
    <w:sectPr w:rsidR="00727FE4">
      <w:type w:val="continuous"/>
      <w:pgSz w:w="12240" w:h="15840"/>
      <w:pgMar w:top="1008" w:right="907" w:bottom="1008" w:left="907" w:header="0" w:footer="0" w:gutter="0"/>
      <w:cols w:num="2" w:space="36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FE4"/>
    <w:rsid w:val="001D62C4"/>
    <w:rsid w:val="00221F30"/>
    <w:rsid w:val="005F797E"/>
    <w:rsid w:val="00617E53"/>
    <w:rsid w:val="00727FE4"/>
    <w:rsid w:val="00847B3A"/>
    <w:rsid w:val="00962B9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1956"/>
  <w15:docId w15:val="{65905A9D-009F-4580-8E2F-88546409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1609</Words>
  <Characters>9172</Characters>
  <Application>Microsoft Office Word</Application>
  <DocSecurity>0</DocSecurity>
  <Lines>76</Lines>
  <Paragraphs>21</Paragraphs>
  <ScaleCrop>false</ScaleCrop>
  <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Arsenii Buriak</cp:lastModifiedBy>
  <cp:revision>3</cp:revision>
  <dcterms:created xsi:type="dcterms:W3CDTF">2026-04-17T00:07:00Z</dcterms:created>
  <dcterms:modified xsi:type="dcterms:W3CDTF">2026-04-18T03:28:00Z</dcterms:modified>
  <dc:language>en-CA</dc:language>
</cp:coreProperties>
</file>