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Задание №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Самостоятельно придумать требования для формы регистрации на сайте продажи автозапчастей. Какие поля должны быть и какие между ними могут быть зависимости? Распишите так, чтобы специалист по тестированию мог составить тест-кейсы по этим требованиям.</w:t>
      </w:r>
    </w:p>
    <w:p>
      <w:pPr>
        <w:pStyle w:val="3"/>
        <w:keepNext w:val="0"/>
        <w:keepLines w:val="0"/>
        <w:widowControl/>
        <w:suppressLineNumbers w:val="0"/>
        <w:bidi w:val="0"/>
        <w:spacing w:before="320" w:beforeAutospacing="0" w:after="8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6"/>
          <w:szCs w:val="26"/>
          <w:u w:val="none"/>
          <w:vertAlign w:val="baseline"/>
        </w:rPr>
        <w:t>Основные критерии:</w:t>
      </w:r>
      <w:r>
        <w:rPr>
          <w:rFonts w:hint="default" w:ascii="Arial" w:hAnsi="Arial" w:cs="Arial"/>
          <w:i w:val="0"/>
          <w:iCs w:val="0"/>
          <w:color w:val="434343"/>
          <w:sz w:val="26"/>
          <w:szCs w:val="26"/>
          <w:u w:val="none"/>
          <w:vertAlign w:val="baseline"/>
        </w:rPr>
        <w:t> 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требования должны быть расписаны по пунктам с нумерацией и соответствовать свойствам качественных требований.</w:t>
      </w:r>
    </w:p>
    <w:p/>
    <w:p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Форма регистрации. </w:t>
      </w:r>
    </w:p>
    <w:p>
      <w:pPr>
        <w:numPr>
          <w:ilvl w:val="1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Фамилия и Имя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- Минимальное количество символов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5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 - Максимальное количество символов</w:t>
      </w:r>
      <w:r>
        <w:rPr>
          <w:rFonts w:hint="default"/>
          <w:lang w:val="en-US"/>
        </w:rPr>
        <w:t xml:space="preserve">: 40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- Допускается использовать кириллицу.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- Допускается использовать латиницу.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- Форма обязательна для введения.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- Если в форму не введены значения, то она отображается красным с требованием введения информации.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Номер телефона.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- Форма автоматически подставляет код</w:t>
      </w:r>
      <w:r>
        <w:rPr>
          <w:rFonts w:hint="default"/>
          <w:lang w:val="en-US"/>
        </w:rPr>
        <w:t>: +375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>Допускается введение 9 цифр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Не допускается введение букв.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Форма обязательна для введения.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Если в форму не введены значения, то она отображается красным с требованием введения информации.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Email 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Минимальное количество символов 5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- Допускается к использование латиница и символы.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- Обязательно наличие символа </w:t>
      </w:r>
      <w:r>
        <w:rPr>
          <w:rFonts w:hint="default"/>
          <w:lang w:val="en-US"/>
        </w:rPr>
        <w:t xml:space="preserve">@.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После символа </w:t>
      </w:r>
      <w:r>
        <w:rPr>
          <w:rFonts w:hint="default"/>
          <w:lang w:val="en-US"/>
        </w:rPr>
        <w:t>@</w:t>
      </w:r>
      <w:r>
        <w:rPr>
          <w:rFonts w:hint="default"/>
          <w:lang w:val="ru-RU"/>
        </w:rPr>
        <w:t xml:space="preserve"> необходимо наличие домена. 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Форма обязательна для введения.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- Если в форму не введены значения, то она отображается красным с требованием введения информации. 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Пароль. 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- Допускается латиница. 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Допускаются цифры. 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Допускаются спецсимволы.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Минимальное количество символов</w:t>
      </w:r>
      <w:r>
        <w:rPr>
          <w:rFonts w:hint="default"/>
          <w:lang w:val="en-US"/>
        </w:rPr>
        <w:t xml:space="preserve">: 5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>Максимальное количество символов</w:t>
      </w:r>
      <w:r>
        <w:rPr>
          <w:rFonts w:hint="default"/>
          <w:lang w:val="en-US"/>
        </w:rPr>
        <w:t>: 24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Не допускается использование кириллицы.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- Форма обязательна для введения.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- Если в форму не введены значения, то она отображается красным с требованием введения информации. 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Подтверждение пароля.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 Пароль подтверждён верно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поле 1.4 и 1.5 имеют зелёную обводку поля.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 Пароль подтверждён неверно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поле 1.4 и 1.5 имеют красную обводку с нотификацией о том, что пароли не совпадают. 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Форма обязательна для введения.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- Если в форму не введены значения, то она отображается красным с требованием введения информации.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Форма с вопросом, является ли регистрант Юридическим лицом. 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Checkbox </w:t>
      </w:r>
      <w:r>
        <w:rPr>
          <w:rFonts w:hint="default"/>
          <w:lang w:val="ru-RU"/>
        </w:rPr>
        <w:t xml:space="preserve">с вопросом «Юридическое лицо (Да/Нет)».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2.1.1 Регистрант не установил галочку на </w:t>
      </w:r>
      <w:r>
        <w:rPr>
          <w:rFonts w:hint="default"/>
          <w:lang w:val="en-US"/>
        </w:rPr>
        <w:t>Checkbox</w:t>
      </w:r>
      <w:r>
        <w:rPr>
          <w:rFonts w:hint="default"/>
          <w:lang w:val="ru-RU"/>
        </w:rPr>
        <w:t xml:space="preserve">, то переходит к пункту 3.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2.1.2 Если галочка на </w:t>
      </w:r>
      <w:r>
        <w:rPr>
          <w:rFonts w:hint="default"/>
          <w:lang w:val="en-US"/>
        </w:rPr>
        <w:t xml:space="preserve">Checkbox </w:t>
      </w:r>
      <w:r>
        <w:rPr>
          <w:rFonts w:hint="default"/>
          <w:lang w:val="ru-RU"/>
        </w:rPr>
        <w:t xml:space="preserve">установлена, то появляются дополнительные поля.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2.1.2.1 Поле названия организации</w:t>
      </w:r>
      <w:r>
        <w:rPr>
          <w:rFonts w:hint="default"/>
          <w:lang w:val="en-US"/>
        </w:rPr>
        <w:t xml:space="preserve">: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Допускается кириллица.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Не допускаются латинские символы.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 Не допускается использование спецсимволов, за исключением тире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-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Поле обязательно к заполнению.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2.1.2.2 Поле введения УНП.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 Количество символов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9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Допускается использование только цифр.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Поле обязательно к заполнению.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Выбор пункта выдачи заказов. 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- Имеет раскрывающийся список, с возможностью выбора одного из пунктов выдачи заказов. 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- В списке указан город, улица, номер дома, номер офиса.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Не обязателен для регистрации.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Поле согласия.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- Первое поле </w:t>
      </w:r>
      <w:r>
        <w:rPr>
          <w:rFonts w:hint="default"/>
          <w:lang w:val="en-US"/>
        </w:rPr>
        <w:t xml:space="preserve">Checkbox </w:t>
      </w:r>
      <w:r>
        <w:rPr>
          <w:rFonts w:hint="default"/>
          <w:lang w:val="ru-RU"/>
        </w:rPr>
        <w:t xml:space="preserve">говорит о том, что пользователь согласен с правилами пользования сайта.  Выполнено в виде гиперссылки. При нажатии на текст, открывается новое окно с нормативным документом.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Второе поле </w:t>
      </w:r>
      <w:r>
        <w:rPr>
          <w:rFonts w:hint="default"/>
          <w:lang w:val="en-US"/>
        </w:rPr>
        <w:t xml:space="preserve">Checkbox </w:t>
      </w:r>
      <w:r>
        <w:rPr>
          <w:rFonts w:hint="default"/>
          <w:lang w:val="ru-RU"/>
        </w:rPr>
        <w:t xml:space="preserve">говорит о том, что пользователь согласен на обработку персональных данных. Выполнено в виде гиперссылки. При нажатии на текст, открывается новое окно с нормативным документом.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Поля обязательны для регистрации и пользователь обязан проставить галочки.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В случай не установки необходимых галочек, появляется текст о том, что данные поля обязательны к применению.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Поле </w:t>
      </w:r>
      <w:r>
        <w:rPr>
          <w:rFonts w:hint="default"/>
          <w:lang w:val="en-US"/>
        </w:rPr>
        <w:t>reCaptcha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>Пользователь обязан выполнить необходимые действия в recaptcha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- Если действия не выполнены, то регистрация невозможна. 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Поле создания аккаунта.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Находится кнопка Регистрации.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- Кнопка имеет размер 170</w:t>
      </w:r>
      <w:r>
        <w:rPr>
          <w:rFonts w:hint="default"/>
          <w:lang w:val="en-US"/>
        </w:rPr>
        <w:t>px</w:t>
      </w:r>
      <w:r>
        <w:rPr>
          <w:rFonts w:hint="default"/>
          <w:lang w:val="ru-RU"/>
        </w:rPr>
        <w:t>*50</w:t>
      </w:r>
      <w:r>
        <w:rPr>
          <w:rFonts w:hint="default"/>
          <w:lang w:val="en-US"/>
        </w:rPr>
        <w:t>px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Цвет </w:t>
      </w: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#96A9C3</w:t>
      </w:r>
      <w:r>
        <w:rPr>
          <w:rFonts w:hint="default"/>
          <w:lang w:val="ru-RU"/>
        </w:rPr>
        <w:t xml:space="preserve">.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- При нажатии кнопки происходит проверка на то, что все обязательные поля заполнены</w:t>
      </w:r>
      <w:r>
        <w:rPr>
          <w:rFonts w:hint="default"/>
          <w:lang w:val="en-US"/>
        </w:rPr>
        <w:t xml:space="preserve">: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 * </w:t>
      </w:r>
      <w:r>
        <w:rPr>
          <w:rFonts w:hint="default"/>
          <w:lang w:val="ru-RU"/>
        </w:rPr>
        <w:t xml:space="preserve">Если некоторые поля не заполнены, то регистрация аккаунта не происходит. Регистранту отображается нотификация красным цветом, о необходимости проверить обязательные поля.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* Если все поля заполнены верно, происходит создание аккаунта.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  <w:lang w:val="ru-RU"/>
        </w:rPr>
        <w:t>Задание</w:t>
      </w: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  <w:lang w:val="ru-RU"/>
        </w:rPr>
        <w:t xml:space="preserve"> №2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Зайти на 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"https://qa-ep-bva-practice-assignment.vercel.app/"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сайт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и прочитать описание (при необходимости воспользоваться переводчиком 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"https://translate.google.com/?hl=ru"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https://translate.google.com/?hl=ru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или 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"https://www.deepl.com/en/translator"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https://www.deepl.com/en/translator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</w:p>
    <w:p>
      <w:pPr>
        <w:numPr>
          <w:numId w:val="0"/>
        </w:numPr>
        <w:ind w:lef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Составить список значений для проверки описанных условий </w:t>
      </w:r>
      <w:r>
        <w:rPr>
          <w:rFonts w:hint="default" w:ascii="Arial" w:hAnsi="Arial" w:cs="Arial"/>
          <w:i w:val="0"/>
          <w:iCs w:val="0"/>
          <w:color w:val="E69138"/>
          <w:sz w:val="22"/>
          <w:szCs w:val="22"/>
          <w:u w:val="none"/>
          <w:vertAlign w:val="baseline"/>
        </w:rPr>
        <w:t>используя техники тест-дизайна.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Оформить в виде таблицы в один столбец, можно не ограничиваться 12ю значениями.</w:t>
      </w:r>
    </w:p>
    <w:p>
      <w:pPr>
        <w:numPr>
          <w:numId w:val="0"/>
        </w:numPr>
        <w:ind w:lef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1"/>
        <w:gridCol w:w="2668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461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</w:p>
        </w:tc>
        <w:tc>
          <w:tcPr>
            <w:tcW w:w="2668" w:type="dxa"/>
            <w:shd w:val="clear" w:color="auto" w:fill="FFE599" w:themeFill="accent4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ascii="Arial"/>
                <w:b/>
                <w:bCs/>
                <w:lang w:val="ru-RU"/>
              </w:rPr>
              <w:t>Значение</w:t>
            </w:r>
          </w:p>
        </w:tc>
        <w:tc>
          <w:tcPr>
            <w:tcW w:w="2692" w:type="dxa"/>
            <w:shd w:val="clear" w:color="auto" w:fill="FFE599" w:themeFill="accent4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</w:rPr>
              <w:t>Техника тестового дизайна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1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1</w:t>
            </w:r>
          </w:p>
        </w:tc>
        <w:tc>
          <w:tcPr>
            <w:tcW w:w="2668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5544</w:t>
            </w:r>
          </w:p>
        </w:tc>
        <w:tc>
          <w:tcPr>
            <w:tcW w:w="2692" w:type="dxa"/>
            <w:vAlign w:val="top"/>
          </w:tcPr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lang w:val="ru-RU" w:eastAsia="zh-CN" w:bidi="ar-SA"/>
              </w:rPr>
            </w:pPr>
            <w:r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461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2</w:t>
            </w:r>
          </w:p>
        </w:tc>
        <w:tc>
          <w:tcPr>
            <w:tcW w:w="2668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-5544</w:t>
            </w:r>
          </w:p>
        </w:tc>
        <w:tc>
          <w:tcPr>
            <w:tcW w:w="2692" w:type="dxa"/>
            <w:vAlign w:val="top"/>
          </w:tcPr>
          <w:p>
            <w:pPr>
              <w:spacing w:line="240" w:lineRule="auto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1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3</w:t>
            </w:r>
          </w:p>
        </w:tc>
        <w:tc>
          <w:tcPr>
            <w:tcW w:w="2668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10001</w:t>
            </w:r>
          </w:p>
        </w:tc>
        <w:tc>
          <w:tcPr>
            <w:tcW w:w="2692" w:type="dxa"/>
            <w:vAlign w:val="top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bCs/>
                <w:color w:val="333333"/>
                <w:sz w:val="18"/>
                <w:szCs w:val="18"/>
              </w:rPr>
              <w:t>boundary value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1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4</w:t>
            </w:r>
          </w:p>
        </w:tc>
        <w:tc>
          <w:tcPr>
            <w:tcW w:w="2668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-10000</w:t>
            </w:r>
          </w:p>
        </w:tc>
        <w:tc>
          <w:tcPr>
            <w:tcW w:w="2692" w:type="dxa"/>
            <w:vAlign w:val="top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bCs/>
                <w:color w:val="333333"/>
                <w:sz w:val="18"/>
                <w:szCs w:val="18"/>
              </w:rPr>
              <w:t>boundary value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1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5</w:t>
            </w:r>
          </w:p>
        </w:tc>
        <w:tc>
          <w:tcPr>
            <w:tcW w:w="2668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10000</w:t>
            </w:r>
          </w:p>
        </w:tc>
        <w:tc>
          <w:tcPr>
            <w:tcW w:w="2692" w:type="dxa"/>
            <w:vAlign w:val="top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bCs/>
                <w:color w:val="333333"/>
                <w:sz w:val="18"/>
                <w:szCs w:val="18"/>
              </w:rPr>
              <w:t>boundary value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1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6</w:t>
            </w:r>
          </w:p>
        </w:tc>
        <w:tc>
          <w:tcPr>
            <w:tcW w:w="2668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-10001</w:t>
            </w:r>
          </w:p>
        </w:tc>
        <w:tc>
          <w:tcPr>
            <w:tcW w:w="2692" w:type="dxa"/>
            <w:vAlign w:val="top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bCs/>
                <w:color w:val="333333"/>
                <w:sz w:val="18"/>
                <w:szCs w:val="18"/>
              </w:rPr>
              <w:t>boundary value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1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7</w:t>
            </w:r>
          </w:p>
        </w:tc>
        <w:tc>
          <w:tcPr>
            <w:tcW w:w="2668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-9999</w:t>
            </w:r>
          </w:p>
        </w:tc>
        <w:tc>
          <w:tcPr>
            <w:tcW w:w="2692" w:type="dxa"/>
            <w:vAlign w:val="top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bCs/>
                <w:color w:val="333333"/>
                <w:sz w:val="18"/>
                <w:szCs w:val="18"/>
              </w:rPr>
              <w:t>boundary value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2" w:hRule="atLeast"/>
        </w:trPr>
        <w:tc>
          <w:tcPr>
            <w:tcW w:w="461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8</w:t>
            </w:r>
          </w:p>
        </w:tc>
        <w:tc>
          <w:tcPr>
            <w:tcW w:w="2668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9999</w:t>
            </w:r>
          </w:p>
        </w:tc>
        <w:tc>
          <w:tcPr>
            <w:tcW w:w="2692" w:type="dxa"/>
            <w:vAlign w:val="top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bCs/>
                <w:color w:val="333333"/>
                <w:sz w:val="18"/>
                <w:szCs w:val="18"/>
              </w:rPr>
              <w:t>boundary value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1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9</w:t>
            </w:r>
          </w:p>
        </w:tc>
        <w:tc>
          <w:tcPr>
            <w:tcW w:w="26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 w:eastAsia="zh-CN" w:bidi="ar-SA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 w:eastAsia="zh-CN" w:bidi="ar-SA"/>
              </w:rPr>
              <w:t>%%%</w:t>
            </w:r>
          </w:p>
        </w:tc>
        <w:tc>
          <w:tcPr>
            <w:tcW w:w="2692" w:type="dxa"/>
            <w:vAlign w:val="top"/>
          </w:tcPr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sz w:val="18"/>
                <w:szCs w:val="18"/>
                <w:lang w:val="ru-RU" w:eastAsia="zh-CN" w:bidi="ar-SA"/>
              </w:rPr>
            </w:pPr>
            <w:r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1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10</w:t>
            </w:r>
          </w:p>
        </w:tc>
        <w:tc>
          <w:tcPr>
            <w:tcW w:w="26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 w:eastAsia="zh-CN" w:bidi="ar-SA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 w:eastAsia="zh-CN" w:bidi="ar-SA"/>
              </w:rPr>
              <w:t>-3000</w:t>
            </w:r>
          </w:p>
        </w:tc>
        <w:tc>
          <w:tcPr>
            <w:tcW w:w="2692" w:type="dxa"/>
            <w:vAlign w:val="top"/>
          </w:tcPr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sz w:val="18"/>
                <w:szCs w:val="18"/>
                <w:lang w:val="ru-RU" w:eastAsia="zh-CN" w:bidi="ar-SA"/>
              </w:rPr>
            </w:pPr>
            <w:r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1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11</w:t>
            </w:r>
          </w:p>
        </w:tc>
        <w:tc>
          <w:tcPr>
            <w:tcW w:w="26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 w:eastAsia="zh-CN" w:bidi="ar-SA"/>
              </w:rPr>
              <w:t>9G</w:t>
            </w:r>
          </w:p>
        </w:tc>
        <w:tc>
          <w:tcPr>
            <w:tcW w:w="2692" w:type="dxa"/>
            <w:vAlign w:val="top"/>
          </w:tcPr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sz w:val="18"/>
                <w:szCs w:val="18"/>
                <w:lang w:val="ru-RU" w:eastAsia="zh-CN" w:bidi="ar-SA"/>
              </w:rPr>
            </w:pPr>
            <w:r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1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/>
              </w:rPr>
              <w:t>12</w:t>
            </w:r>
          </w:p>
        </w:tc>
        <w:tc>
          <w:tcPr>
            <w:tcW w:w="26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692" w:type="dxa"/>
            <w:vAlign w:val="top"/>
          </w:tcPr>
          <w:p>
            <w:pPr>
              <w:spacing w:line="240" w:lineRule="auto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u-RU" w:eastAsia="zh-CN" w:bidi="ar-SA"/>
              </w:rPr>
            </w:pPr>
            <w:r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</w:tr>
    </w:tbl>
    <w:p>
      <w:pPr>
        <w:numPr>
          <w:numId w:val="0"/>
        </w:numPr>
        <w:ind w:lef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  <w:lang w:val="ru-RU"/>
        </w:rPr>
        <w:t>Задание</w:t>
      </w: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  <w:lang w:val="ru-RU"/>
        </w:rPr>
        <w:t xml:space="preserve"> №3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2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Зайти на 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"https://www.globalsqa.com/angularJs-protractor/BankingProject/" \l "/login"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сайт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проанализировать, изучить функционал и цели приложения.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2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Написать Тест-кейсы на функционал “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"https://www.globalsqa.com/angularJs-protractor/BankingProject/" \l "/customer"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Customer Login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”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2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“Bank Manager Login” можно не трогать</w:t>
      </w:r>
    </w:p>
    <w:p>
      <w:pPr>
        <w:pStyle w:val="3"/>
        <w:keepNext w:val="0"/>
        <w:keepLines w:val="0"/>
        <w:widowControl/>
        <w:suppressLineNumbers w:val="0"/>
        <w:bidi w:val="0"/>
        <w:spacing w:before="320" w:beforeAutospacing="0" w:after="80" w:afterAutospacing="0" w:line="15" w:lineRule="atLeast"/>
      </w:pPr>
      <w:r>
        <w:rPr>
          <w:rFonts w:hint="default" w:ascii="Arial" w:hAnsi="Arial" w:cs="Arial"/>
          <w:i w:val="0"/>
          <w:iCs w:val="0"/>
          <w:color w:val="434343"/>
          <w:sz w:val="26"/>
          <w:szCs w:val="26"/>
          <w:u w:val="none"/>
          <w:vertAlign w:val="baseline"/>
        </w:rPr>
        <w:t>Файл с примером оформления тест-кейсов: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"https://docs.google.com/spreadsheets/d/1j9Hzkkpv36FxQnQV__GEd7ZC6C-gBrUVu-musQUm5jM/edit?usp=sharing" </w:instrText>
      </w:r>
      <w:r>
        <w:rPr>
          <w:b w:val="0"/>
          <w:bCs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https://docs.google.com/spreadsheets/d/1j9Hzkkpv36FxQnQV__GEd7ZC6C-gBrUVu-musQUm5jM/edit?usp=sharing</w:t>
      </w:r>
      <w:r>
        <w:rPr>
          <w:b w:val="0"/>
          <w:bCs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bidi w:val="0"/>
        <w:spacing w:before="320" w:beforeAutospacing="0" w:after="8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6"/>
          <w:szCs w:val="26"/>
          <w:u w:val="none"/>
          <w:vertAlign w:val="baseline"/>
        </w:rPr>
        <w:t>Основные критерии: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Тест-кейсы оформить в виде таблицы, шаблон можно использовать любой какой понравится. </w:t>
      </w: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vertAlign w:val="baseline"/>
        </w:rPr>
        <w:t>Обязательные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поля тест-кейсов: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Название, Приоритет, Роль(кем выполняется), Шаги, Ожидаемый результат, Используемая техника ТД.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При написании тест-кейсов использовать техники тест-дизайна и записывать в графу “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Используемая техника ТД”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</w:p>
    <w:p>
      <w:pPr>
        <w:numPr>
          <w:numId w:val="0"/>
        </w:numPr>
        <w:ind w:lef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ru-RU"/>
        </w:rPr>
      </w:pPr>
    </w:p>
    <w:tbl>
      <w:tblPr>
        <w:tblStyle w:val="8"/>
        <w:tblpPr w:leftFromText="180" w:rightFromText="180" w:vertAnchor="text" w:horzAnchor="page" w:tblpX="951" w:tblpY="256"/>
        <w:tblOverlap w:val="never"/>
        <w:tblW w:w="11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93"/>
        <w:gridCol w:w="1397"/>
        <w:gridCol w:w="796"/>
        <w:gridCol w:w="2559"/>
        <w:gridCol w:w="1892"/>
        <w:gridCol w:w="1854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1" w:hRule="atLeast"/>
        </w:trPr>
        <w:tc>
          <w:tcPr>
            <w:tcW w:w="1093" w:type="dxa"/>
            <w:shd w:val="clear" w:color="auto" w:fill="BDD6EE" w:themeFill="accent1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Название</w:t>
            </w:r>
          </w:p>
        </w:tc>
        <w:tc>
          <w:tcPr>
            <w:tcW w:w="1397" w:type="dxa"/>
            <w:shd w:val="clear" w:color="auto" w:fill="BDD6EE" w:themeFill="accent1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Приоритет</w:t>
            </w:r>
          </w:p>
        </w:tc>
        <w:tc>
          <w:tcPr>
            <w:tcW w:w="796" w:type="dxa"/>
            <w:shd w:val="clear" w:color="auto" w:fill="BDD6EE" w:themeFill="accent1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Роль</w:t>
            </w:r>
          </w:p>
        </w:tc>
        <w:tc>
          <w:tcPr>
            <w:tcW w:w="2559" w:type="dxa"/>
            <w:shd w:val="clear" w:color="auto" w:fill="BDD6EE" w:themeFill="accent1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Функиця</w:t>
            </w:r>
          </w:p>
        </w:tc>
        <w:tc>
          <w:tcPr>
            <w:tcW w:w="1892" w:type="dxa"/>
            <w:shd w:val="clear" w:color="auto" w:fill="BDD6EE" w:themeFill="accent1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 w:eastAsia="zh-CN" w:bidi="ar-SA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Шаги</w:t>
            </w:r>
          </w:p>
        </w:tc>
        <w:tc>
          <w:tcPr>
            <w:tcW w:w="1854" w:type="dxa"/>
            <w:shd w:val="clear" w:color="auto" w:fill="BDD6EE" w:themeFill="accent1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 w:eastAsia="zh-CN" w:bidi="ar-SA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2190" w:type="dxa"/>
            <w:shd w:val="clear" w:color="auto" w:fill="BDD6EE" w:themeFill="accent1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 w:eastAsia="zh-CN" w:bidi="ar-SA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Используемая техника ТД.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67" w:hRule="atLeast"/>
        </w:trPr>
        <w:tc>
          <w:tcPr>
            <w:tcW w:w="1093" w:type="dxa"/>
            <w:shd w:val="clear" w:color="auto" w:fill="8496B0" w:themeFill="tex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QAM1</w:t>
            </w:r>
          </w:p>
        </w:tc>
        <w:tc>
          <w:tcPr>
            <w:tcW w:w="1397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High</w:t>
            </w:r>
          </w:p>
        </w:tc>
        <w:tc>
          <w:tcPr>
            <w:tcW w:w="796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User</w:t>
            </w:r>
          </w:p>
        </w:tc>
        <w:tc>
          <w:tcPr>
            <w:tcW w:w="2559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Авторизацияв личный кабинет</w:t>
            </w:r>
          </w:p>
        </w:tc>
        <w:tc>
          <w:tcPr>
            <w:tcW w:w="1892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Перейти на сайт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XYZ Bank → выбрать кнопку  «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Customer Login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»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 xml:space="preserve"> →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выбрать пользователя и нажать на кнопку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 xml:space="preserve">Login. </w:t>
            </w:r>
          </w:p>
        </w:tc>
        <w:tc>
          <w:tcPr>
            <w:tcW w:w="1854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Произойдёт авторизация в личный кабинет выбранного пользователя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Исследовательское тестирование.</w:t>
            </w:r>
          </w:p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1" w:hRule="atLeast"/>
        </w:trPr>
        <w:tc>
          <w:tcPr>
            <w:tcW w:w="1093" w:type="dxa"/>
            <w:shd w:val="clear" w:color="auto" w:fill="8496B0" w:themeFill="tex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QAM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2</w:t>
            </w:r>
          </w:p>
        </w:tc>
        <w:tc>
          <w:tcPr>
            <w:tcW w:w="1397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High</w:t>
            </w:r>
          </w:p>
        </w:tc>
        <w:tc>
          <w:tcPr>
            <w:tcW w:w="796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User</w:t>
            </w:r>
          </w:p>
        </w:tc>
        <w:tc>
          <w:tcPr>
            <w:tcW w:w="2559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Переход во вкладку Депозит</w:t>
            </w:r>
          </w:p>
        </w:tc>
        <w:tc>
          <w:tcPr>
            <w:tcW w:w="1892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Выбрать вкладку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 xml:space="preserve">Deposit →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произвести её нажатие</w:t>
            </w:r>
          </w:p>
        </w:tc>
        <w:tc>
          <w:tcPr>
            <w:tcW w:w="1854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При нажатии на вкладку, должно произойти её открытие и появление поля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Amount to be Deposited. 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Исследовательское тестирование.</w:t>
            </w:r>
          </w:p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1" w:hRule="atLeast"/>
        </w:trPr>
        <w:tc>
          <w:tcPr>
            <w:tcW w:w="1093" w:type="dxa"/>
            <w:shd w:val="clear" w:color="auto" w:fill="8496B0" w:themeFill="tex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QAM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3</w:t>
            </w:r>
          </w:p>
        </w:tc>
        <w:tc>
          <w:tcPr>
            <w:tcW w:w="1397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High</w:t>
            </w:r>
          </w:p>
        </w:tc>
        <w:tc>
          <w:tcPr>
            <w:tcW w:w="796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User</w:t>
            </w:r>
          </w:p>
        </w:tc>
        <w:tc>
          <w:tcPr>
            <w:tcW w:w="2559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Пополнение баланса пользователя</w:t>
            </w:r>
          </w:p>
        </w:tc>
        <w:tc>
          <w:tcPr>
            <w:tcW w:w="1892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Во вкладке Депозит выбрать пунт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 xml:space="preserve">Amount be Deposited →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ввести число 1000 → нажать на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 xml:space="preserve">Deposit </w:t>
            </w:r>
          </w:p>
        </w:tc>
        <w:tc>
          <w:tcPr>
            <w:tcW w:w="1854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После выполнения шагов, происходит пополнение Баланса. 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Исследовательское тестирование.</w:t>
            </w:r>
          </w:p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1" w:hRule="atLeast"/>
        </w:trPr>
        <w:tc>
          <w:tcPr>
            <w:tcW w:w="1093" w:type="dxa"/>
            <w:shd w:val="clear" w:color="auto" w:fill="8496B0" w:themeFill="tex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QAM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4</w:t>
            </w:r>
          </w:p>
        </w:tc>
        <w:tc>
          <w:tcPr>
            <w:tcW w:w="1397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High</w:t>
            </w:r>
          </w:p>
        </w:tc>
        <w:tc>
          <w:tcPr>
            <w:tcW w:w="796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User</w:t>
            </w:r>
          </w:p>
        </w:tc>
        <w:tc>
          <w:tcPr>
            <w:tcW w:w="2559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Снятие денег с баланса и проверка остатка.</w:t>
            </w:r>
          </w:p>
        </w:tc>
        <w:tc>
          <w:tcPr>
            <w:tcW w:w="1892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Выбрать вкладку Списание → в поле произвести списание 500 единиц → проверить остаток баланса. </w:t>
            </w:r>
          </w:p>
        </w:tc>
        <w:tc>
          <w:tcPr>
            <w:tcW w:w="1854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После выполнения данных действий, на счету должно остаться 500 валюты. 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Исследовательское тестирование.</w:t>
            </w:r>
          </w:p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1" w:hRule="atLeast"/>
        </w:trPr>
        <w:tc>
          <w:tcPr>
            <w:tcW w:w="1093" w:type="dxa"/>
            <w:shd w:val="clear" w:color="auto" w:fill="8496B0" w:themeFill="tex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QAM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5</w:t>
            </w:r>
          </w:p>
        </w:tc>
        <w:tc>
          <w:tcPr>
            <w:tcW w:w="1397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High</w:t>
            </w:r>
          </w:p>
        </w:tc>
        <w:tc>
          <w:tcPr>
            <w:tcW w:w="796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User</w:t>
            </w:r>
          </w:p>
        </w:tc>
        <w:tc>
          <w:tcPr>
            <w:tcW w:w="2559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Просмотр транзакций.</w:t>
            </w:r>
          </w:p>
        </w:tc>
        <w:tc>
          <w:tcPr>
            <w:tcW w:w="1892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Выбрать вкладку Транкзация → произвести нажатие. </w:t>
            </w:r>
          </w:p>
        </w:tc>
        <w:tc>
          <w:tcPr>
            <w:tcW w:w="1854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Происходит открытие вкладки Транзакция. Отображаются данные по пополнению и списанию. 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Исследовательское тестирование.</w:t>
            </w:r>
          </w:p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1" w:hRule="atLeast"/>
        </w:trPr>
        <w:tc>
          <w:tcPr>
            <w:tcW w:w="1093" w:type="dxa"/>
            <w:shd w:val="clear" w:color="auto" w:fill="8496B0" w:themeFill="tex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QAM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6</w:t>
            </w:r>
          </w:p>
        </w:tc>
        <w:tc>
          <w:tcPr>
            <w:tcW w:w="1397" w:type="dxa"/>
            <w:shd w:val="clear" w:color="auto" w:fill="FFD965" w:themeFill="accent4" w:themeFillTint="99"/>
          </w:tcPr>
          <w:p>
            <w:pPr>
              <w:numPr>
                <w:numId w:val="0"/>
              </w:numPr>
              <w:jc w:val="both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Medium</w:t>
            </w:r>
          </w:p>
        </w:tc>
        <w:tc>
          <w:tcPr>
            <w:tcW w:w="796" w:type="dxa"/>
            <w:shd w:val="clear" w:color="auto" w:fill="FFD965" w:themeFill="accent4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User</w:t>
            </w:r>
          </w:p>
        </w:tc>
        <w:tc>
          <w:tcPr>
            <w:tcW w:w="2559" w:type="dxa"/>
            <w:shd w:val="clear" w:color="auto" w:fill="FFD965" w:themeFill="accent4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Сброс инфомрации по транкзаиям. </w:t>
            </w:r>
          </w:p>
        </w:tc>
        <w:tc>
          <w:tcPr>
            <w:tcW w:w="1892" w:type="dxa"/>
            <w:shd w:val="clear" w:color="auto" w:fill="FFD965" w:themeFill="accent4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Во вкладке Транкзация, произвести нажатие на кнопку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 xml:space="preserve">Reset. </w:t>
            </w:r>
          </w:p>
        </w:tc>
        <w:tc>
          <w:tcPr>
            <w:tcW w:w="1854" w:type="dxa"/>
            <w:shd w:val="clear" w:color="auto" w:fill="FFD965" w:themeFill="accent4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При нажатии на данную кнопку, происходит сброс данных по операциям. </w:t>
            </w:r>
          </w:p>
        </w:tc>
        <w:tc>
          <w:tcPr>
            <w:tcW w:w="2190" w:type="dxa"/>
            <w:shd w:val="clear" w:color="auto" w:fill="FFD965" w:themeFill="accent4" w:themeFillTint="99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Исследовательское тестирование.</w:t>
            </w:r>
          </w:p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1" w:hRule="atLeast"/>
        </w:trPr>
        <w:tc>
          <w:tcPr>
            <w:tcW w:w="1093" w:type="dxa"/>
            <w:shd w:val="clear" w:color="auto" w:fill="8496B0" w:themeFill="tex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QAM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7</w:t>
            </w:r>
          </w:p>
        </w:tc>
        <w:tc>
          <w:tcPr>
            <w:tcW w:w="1397" w:type="dxa"/>
            <w:shd w:val="clear" w:color="auto" w:fill="FFD965" w:themeFill="accent4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Medium</w:t>
            </w:r>
          </w:p>
        </w:tc>
        <w:tc>
          <w:tcPr>
            <w:tcW w:w="796" w:type="dxa"/>
            <w:shd w:val="clear" w:color="auto" w:fill="FFD965" w:themeFill="accent4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User</w:t>
            </w:r>
          </w:p>
        </w:tc>
        <w:tc>
          <w:tcPr>
            <w:tcW w:w="2559" w:type="dxa"/>
            <w:shd w:val="clear" w:color="auto" w:fill="FFD965" w:themeFill="accent4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Возвращение на главный экран Личного кабинета с вкладки Транзакция. </w:t>
            </w:r>
          </w:p>
        </w:tc>
        <w:tc>
          <w:tcPr>
            <w:tcW w:w="1892" w:type="dxa"/>
            <w:shd w:val="clear" w:color="auto" w:fill="FFD965" w:themeFill="accent4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Нажать на кнопку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Back.</w:t>
            </w:r>
          </w:p>
        </w:tc>
        <w:tc>
          <w:tcPr>
            <w:tcW w:w="1854" w:type="dxa"/>
            <w:shd w:val="clear" w:color="auto" w:fill="FFD965" w:themeFill="accent4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После нажатия на кнопку, пользователя переносит на главный экран ЛК. </w:t>
            </w:r>
          </w:p>
        </w:tc>
        <w:tc>
          <w:tcPr>
            <w:tcW w:w="2190" w:type="dxa"/>
            <w:shd w:val="clear" w:color="auto" w:fill="FFD965" w:themeFill="accent4" w:themeFillTint="99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Исследовательское тестирование.</w:t>
            </w:r>
          </w:p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1" w:hRule="atLeast"/>
        </w:trPr>
        <w:tc>
          <w:tcPr>
            <w:tcW w:w="1093" w:type="dxa"/>
            <w:shd w:val="clear" w:color="auto" w:fill="8496B0" w:themeFill="tex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QAM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8</w:t>
            </w:r>
          </w:p>
        </w:tc>
        <w:tc>
          <w:tcPr>
            <w:tcW w:w="1397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Low</w:t>
            </w:r>
          </w:p>
        </w:tc>
        <w:tc>
          <w:tcPr>
            <w:tcW w:w="796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User</w:t>
            </w:r>
          </w:p>
        </w:tc>
        <w:tc>
          <w:tcPr>
            <w:tcW w:w="2559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Возврат на главную страницу банка.</w:t>
            </w:r>
          </w:p>
        </w:tc>
        <w:tc>
          <w:tcPr>
            <w:tcW w:w="1892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В ЛК выбрать кнопку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 xml:space="preserve">Home →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произвести нажатие. </w:t>
            </w:r>
          </w:p>
        </w:tc>
        <w:tc>
          <w:tcPr>
            <w:tcW w:w="1854" w:type="dxa"/>
            <w:shd w:val="clear" w:color="auto" w:fill="C5E0B3" w:themeFill="accent6" w:themeFillTint="66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Пользователя отправляет на главную страницу сайта. </w:t>
            </w:r>
          </w:p>
        </w:tc>
        <w:tc>
          <w:tcPr>
            <w:tcW w:w="2190" w:type="dxa"/>
            <w:shd w:val="clear" w:color="auto" w:fill="C5E0B3" w:themeFill="accent6" w:themeFillTint="66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Исследовательское тестирование.</w:t>
            </w:r>
          </w:p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4" w:hRule="atLeast"/>
        </w:trPr>
        <w:tc>
          <w:tcPr>
            <w:tcW w:w="1093" w:type="dxa"/>
            <w:shd w:val="clear" w:color="auto" w:fill="8496B0" w:themeFill="tex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QAM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9</w:t>
            </w:r>
          </w:p>
        </w:tc>
        <w:tc>
          <w:tcPr>
            <w:tcW w:w="1397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High</w:t>
            </w:r>
          </w:p>
        </w:tc>
        <w:tc>
          <w:tcPr>
            <w:tcW w:w="796" w:type="dxa"/>
            <w:shd w:val="clear" w:color="auto" w:fill="F4B083" w:themeFill="accent2" w:themeFillTint="99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 w:eastAsia="zh-CN" w:bidi="ar-SA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User</w:t>
            </w:r>
          </w:p>
        </w:tc>
        <w:tc>
          <w:tcPr>
            <w:tcW w:w="2559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Выбор счетов пользователем. </w:t>
            </w:r>
          </w:p>
        </w:tc>
        <w:tc>
          <w:tcPr>
            <w:tcW w:w="1892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В ЛК выбрать кнопку счетов → произвести поэтапный выбор счетов</w:t>
            </w:r>
          </w:p>
        </w:tc>
        <w:tc>
          <w:tcPr>
            <w:tcW w:w="1854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Должны отобразиться все доступные счета и возможность их перехода. 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Исследовательское тестирование.</w:t>
            </w:r>
          </w:p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0" w:hRule="atLeast"/>
        </w:trPr>
        <w:tc>
          <w:tcPr>
            <w:tcW w:w="1093" w:type="dxa"/>
            <w:shd w:val="clear" w:color="auto" w:fill="8496B0" w:themeFill="tex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QAM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10</w:t>
            </w:r>
          </w:p>
        </w:tc>
        <w:tc>
          <w:tcPr>
            <w:tcW w:w="1397" w:type="dxa"/>
            <w:shd w:val="clear" w:color="auto" w:fill="FFD965" w:themeFill="accent4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Medium</w:t>
            </w:r>
          </w:p>
        </w:tc>
        <w:tc>
          <w:tcPr>
            <w:tcW w:w="796" w:type="dxa"/>
            <w:shd w:val="clear" w:color="auto" w:fill="FFD965" w:themeFill="accent4" w:themeFillTint="99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 w:eastAsia="zh-CN" w:bidi="ar-SA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User</w:t>
            </w:r>
          </w:p>
        </w:tc>
        <w:tc>
          <w:tcPr>
            <w:tcW w:w="2559" w:type="dxa"/>
            <w:shd w:val="clear" w:color="auto" w:fill="FFD965" w:themeFill="accent4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Выход с учетной записи</w:t>
            </w:r>
          </w:p>
        </w:tc>
        <w:tc>
          <w:tcPr>
            <w:tcW w:w="1892" w:type="dxa"/>
            <w:shd w:val="clear" w:color="auto" w:fill="FFD965" w:themeFill="accent4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В ЛК нажать на кнопку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 xml:space="preserve">Logout/ </w:t>
            </w:r>
          </w:p>
        </w:tc>
        <w:tc>
          <w:tcPr>
            <w:tcW w:w="1854" w:type="dxa"/>
            <w:shd w:val="clear" w:color="auto" w:fill="FFD965" w:themeFill="accent4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Пользователя перенаправит на выбор учетной записи. </w:t>
            </w:r>
          </w:p>
        </w:tc>
        <w:tc>
          <w:tcPr>
            <w:tcW w:w="2190" w:type="dxa"/>
            <w:shd w:val="clear" w:color="auto" w:fill="FFD965" w:themeFill="accent4" w:themeFillTint="99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Исследовательское тестирование.</w:t>
            </w:r>
          </w:p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5" w:hRule="atLeast"/>
        </w:trPr>
        <w:tc>
          <w:tcPr>
            <w:tcW w:w="1093" w:type="dxa"/>
            <w:shd w:val="clear" w:color="auto" w:fill="8496B0" w:themeFill="tex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</w:pPr>
          </w:p>
        </w:tc>
        <w:tc>
          <w:tcPr>
            <w:tcW w:w="1397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High</w:t>
            </w:r>
          </w:p>
        </w:tc>
        <w:tc>
          <w:tcPr>
            <w:tcW w:w="796" w:type="dxa"/>
            <w:shd w:val="clear" w:color="auto" w:fill="F4B083" w:themeFill="accent2" w:themeFillTint="99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 w:eastAsia="zh-CN" w:bidi="ar-SA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n-US"/>
              </w:rPr>
              <w:t>User</w:t>
            </w:r>
          </w:p>
        </w:tc>
        <w:tc>
          <w:tcPr>
            <w:tcW w:w="2559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>Пополнение счета отрицательным числом</w:t>
            </w:r>
          </w:p>
        </w:tc>
        <w:tc>
          <w:tcPr>
            <w:tcW w:w="1892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Во вкладке Депозит, ввести любое минусовое значение. </w:t>
            </w:r>
          </w:p>
        </w:tc>
        <w:tc>
          <w:tcPr>
            <w:tcW w:w="1854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  <w:t xml:space="preserve">Операция не будет совершена. 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Исследовательское тестирование.</w:t>
            </w:r>
          </w:p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ru-RU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A6269"/>
    <w:multiLevelType w:val="multilevel"/>
    <w:tmpl w:val="002A626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190D193"/>
    <w:multiLevelType w:val="singleLevel"/>
    <w:tmpl w:val="5190D1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C3DDA"/>
    <w:rsid w:val="1D7C3DDA"/>
    <w:rsid w:val="3E602FB4"/>
    <w:rsid w:val="477A22AF"/>
    <w:rsid w:val="54F8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Содержимое таблицы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2023-05-11T13:02:00Z</dcterms:created>
  <dc:creator>Marko “Winsent” Polo</dc:creator>
  <cp:lastModifiedBy>Marko “Winsent” Polo</cp:lastModifiedBy>
  <dcterms:modified xsi:type="dcterms:W3CDTF">2023-05-12T00:01:25Z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65A5045385A44D319CF6583E58323C11</vt:lpwstr>
  </property>
</Properties>
</file>