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Proposition – Stabilisation &amp; Industrialisation IDMC</w:t>
      </w:r>
    </w:p>
    <w:p>
      <w:pPr>
        <w:pStyle w:val="Heading1"/>
      </w:pPr>
      <w:r>
        <w:t>Objectif</w:t>
      </w:r>
    </w:p>
    <w:p>
      <w:r>
        <w:t>Sécuriser l’exploitation des référentiels IDMC et réduire le risque opérationnel, tout en industrialisant progressivement les déploiements sans bloquer les équipes.</w:t>
      </w:r>
    </w:p>
    <w:p>
      <w:pPr>
        <w:pStyle w:val="Heading1"/>
      </w:pPr>
      <w:r>
        <w:t>Constats actuels</w:t>
      </w:r>
    </w:p>
    <w:p>
      <w:r>
        <w:t>- Gestion des rejets hétérogène</w:t>
        <w:br/>
        <w:t>- Déploiements majoritairement manuels</w:t>
        <w:br/>
        <w:t>- Risque opérationnel et dépendance aux personnes clés</w:t>
      </w:r>
    </w:p>
    <w:p>
      <w:pPr>
        <w:pStyle w:val="Heading1"/>
      </w:pPr>
      <w:r>
        <w:t>Stratégie proposée</w:t>
      </w:r>
    </w:p>
    <w:p>
      <w:r>
        <w:t>Approche pragmatique et progressive reposant sur deux piliers :</w:t>
        <w:br/>
        <w:t>1. Stabilisation de l’exploitation (TMA)</w:t>
        <w:br/>
        <w:t>2. Industrialisation partielle des déploiements (CI/CD)</w:t>
      </w:r>
    </w:p>
    <w:p>
      <w:pPr>
        <w:pStyle w:val="Heading1"/>
      </w:pPr>
      <w:r>
        <w:t>Gestion des rejets – Valeur</w:t>
      </w:r>
    </w:p>
    <w:p>
      <w:r>
        <w:t>- Diagnostic plus rapide (correlationId)</w:t>
        <w:br/>
        <w:t>- Reprocessing sécurisé (DLQ, idempotence)</w:t>
        <w:br/>
        <w:t>- Pilotage par KPI</w:t>
      </w:r>
    </w:p>
    <w:p>
      <w:pPr>
        <w:pStyle w:val="Heading1"/>
      </w:pPr>
      <w:r>
        <w:t>CI/CD IDMC – Cadrage</w:t>
      </w:r>
    </w:p>
    <w:p>
      <w:r>
        <w:t>Automatisation ciblée (~30%) :</w:t>
        <w:br/>
        <w:t>- Export/import d’assets</w:t>
        <w:br/>
        <w:t>- Déploiement DEV → INT</w:t>
        <w:br/>
        <w:t>- Smoke tests</w:t>
        <w:br/>
        <w:t>Déploiement PROD sous contrôle manuel</w:t>
      </w:r>
    </w:p>
    <w:p>
      <w:pPr>
        <w:pStyle w:val="Heading1"/>
      </w:pPr>
      <w:r>
        <w:t>Bénéfices pour la CDC</w:t>
      </w:r>
    </w:p>
    <w:p>
      <w:r>
        <w:t>- Réduction du MTTR</w:t>
        <w:br/>
        <w:t>- Diminution des erreurs humaines</w:t>
        <w:br/>
        <w:t>- Traçabilité et auditabilité renforcées</w:t>
      </w:r>
    </w:p>
    <w:p>
      <w:pPr>
        <w:pStyle w:val="Heading1"/>
      </w:pPr>
      <w:r>
        <w:t>Planning 30/60/90 jours</w:t>
      </w:r>
    </w:p>
    <w:p>
      <w:r>
        <w:t>0–30j : runbook + gestion rejets</w:t>
        <w:br/>
        <w:t>30–60j : CI/CD DEV/INT</w:t>
        <w:br/>
        <w:t>60–90j : extension PREPROD/PROD</w:t>
      </w:r>
    </w:p>
    <w:p>
      <w:pPr>
        <w:pStyle w:val="Heading1"/>
      </w:pPr>
      <w:r>
        <w:t>Conclusion</w:t>
      </w:r>
    </w:p>
    <w:p>
      <w:r>
        <w:t>Une démarche sécurisée, progressive et alignée avec les enjeux de robustesse et de pérennité de la plateforme IDMC.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