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36402" w14:textId="77777777" w:rsidR="00D50021" w:rsidRDefault="00000000">
      <w:pPr>
        <w:spacing w:before="400" w:after="100"/>
        <w:jc w:val="center"/>
      </w:pPr>
      <w:proofErr w:type="spellStart"/>
      <w:r>
        <w:rPr>
          <w:b/>
          <w:bCs/>
          <w:color w:val="1F4E3D"/>
          <w:sz w:val="52"/>
          <w:szCs w:val="52"/>
        </w:rPr>
        <w:t>AdventureWorks</w:t>
      </w:r>
      <w:proofErr w:type="spellEnd"/>
      <w:r>
        <w:rPr>
          <w:b/>
          <w:bCs/>
          <w:color w:val="1F4E3D"/>
          <w:sz w:val="52"/>
          <w:szCs w:val="52"/>
        </w:rPr>
        <w:t xml:space="preserve"> Sales Analytics</w:t>
      </w:r>
    </w:p>
    <w:p w14:paraId="3B305900" w14:textId="77777777" w:rsidR="00D50021" w:rsidRDefault="00000000">
      <w:pPr>
        <w:spacing w:after="100"/>
        <w:jc w:val="center"/>
      </w:pPr>
      <w:r>
        <w:rPr>
          <w:color w:val="666666"/>
          <w:sz w:val="26"/>
          <w:szCs w:val="26"/>
        </w:rPr>
        <w:t>Comprehensive Sales Performance Report | 2011 – 2014</w:t>
      </w:r>
    </w:p>
    <w:p w14:paraId="48D31849" w14:textId="77777777" w:rsidR="00D50021" w:rsidRDefault="00000000">
      <w:pPr>
        <w:spacing w:after="400"/>
        <w:jc w:val="center"/>
      </w:pPr>
      <w:r>
        <w:rPr>
          <w:color w:val="999999"/>
        </w:rPr>
        <w:t>Prepared by: Data Analytics Team  |  Tool: Power BI + SQL Server</w:t>
      </w:r>
    </w:p>
    <w:p w14:paraId="655786B4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69D78D97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1. Executive Summary</w:t>
      </w:r>
    </w:p>
    <w:p w14:paraId="0D5FD0C5" w14:textId="77777777" w:rsidR="00D50021" w:rsidRDefault="00000000">
      <w:pPr>
        <w:spacing w:before="100" w:after="100"/>
      </w:pPr>
      <w:proofErr w:type="spellStart"/>
      <w:r>
        <w:rPr>
          <w:sz w:val="22"/>
          <w:szCs w:val="22"/>
        </w:rPr>
        <w:t>AdventureWorks</w:t>
      </w:r>
      <w:proofErr w:type="spellEnd"/>
      <w:r>
        <w:rPr>
          <w:sz w:val="22"/>
          <w:szCs w:val="22"/>
        </w:rPr>
        <w:t xml:space="preserve"> achieved a total revenue of </w:t>
      </w:r>
      <w:r>
        <w:rPr>
          <w:b/>
          <w:bCs/>
          <w:color w:val="1F4E3D"/>
          <w:sz w:val="22"/>
          <w:szCs w:val="22"/>
        </w:rPr>
        <w:t xml:space="preserve">109.85 Million USD </w:t>
      </w:r>
      <w:r>
        <w:rPr>
          <w:sz w:val="22"/>
          <w:szCs w:val="22"/>
        </w:rPr>
        <w:t xml:space="preserve">across 2011–2014, serving </w:t>
      </w:r>
      <w:r>
        <w:rPr>
          <w:b/>
          <w:bCs/>
          <w:sz w:val="22"/>
          <w:szCs w:val="22"/>
        </w:rPr>
        <w:t xml:space="preserve">19,000+ customers </w:t>
      </w:r>
      <w:r>
        <w:rPr>
          <w:sz w:val="22"/>
          <w:szCs w:val="22"/>
        </w:rPr>
        <w:t xml:space="preserve">and selling </w:t>
      </w:r>
      <w:r>
        <w:rPr>
          <w:b/>
          <w:bCs/>
          <w:sz w:val="22"/>
          <w:szCs w:val="22"/>
        </w:rPr>
        <w:t xml:space="preserve">275,000+ units. </w:t>
      </w:r>
      <w:r>
        <w:rPr>
          <w:sz w:val="22"/>
          <w:szCs w:val="22"/>
        </w:rPr>
        <w:t>The business experienced strong growth from 2011 to 2013, followed by a sharp decline in 2014, driven by structural issues in the Dealer/Wholesale channel and product category concentration.</w:t>
      </w:r>
    </w:p>
    <w:p w14:paraId="2FD8D329" w14:textId="77777777" w:rsidR="00D50021" w:rsidRDefault="00D50021">
      <w:pPr>
        <w:spacing w:before="2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50021" w14:paraId="16E57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F4E3D" w:fill="auto"/>
          </w:tcPr>
          <w:p w14:paraId="2C298B36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000" w:type="dxa"/>
            <w:shd w:val="clear" w:color="1F4E3D" w:fill="auto"/>
          </w:tcPr>
          <w:p w14:paraId="50CE5CC0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3000" w:type="dxa"/>
            <w:shd w:val="clear" w:color="1F4E3D" w:fill="auto"/>
          </w:tcPr>
          <w:p w14:paraId="17C90C31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Trend</w:t>
            </w:r>
          </w:p>
        </w:tc>
      </w:tr>
      <w:tr w:rsidR="00D50021" w14:paraId="01D2AB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7B19708E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Total Revenue</w:t>
            </w:r>
          </w:p>
        </w:tc>
        <w:tc>
          <w:tcPr>
            <w:tcW w:w="3000" w:type="dxa"/>
            <w:shd w:val="clear" w:color="FFFFFF" w:fill="auto"/>
          </w:tcPr>
          <w:p w14:paraId="19FFEF2D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$109.85M</w:t>
            </w:r>
          </w:p>
        </w:tc>
        <w:tc>
          <w:tcPr>
            <w:tcW w:w="3000" w:type="dxa"/>
            <w:shd w:val="clear" w:color="FFFFFF" w:fill="auto"/>
          </w:tcPr>
          <w:p w14:paraId="0A8740EE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📈 Peak in 2013</w:t>
            </w:r>
          </w:p>
        </w:tc>
      </w:tr>
      <w:tr w:rsidR="00D50021" w14:paraId="1C382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E8F5E9" w:fill="auto"/>
          </w:tcPr>
          <w:p w14:paraId="09F8DB3B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Total Units Sold</w:t>
            </w:r>
          </w:p>
        </w:tc>
        <w:tc>
          <w:tcPr>
            <w:tcW w:w="3000" w:type="dxa"/>
            <w:shd w:val="clear" w:color="E8F5E9" w:fill="auto"/>
          </w:tcPr>
          <w:p w14:paraId="2AFF212E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275K</w:t>
            </w:r>
          </w:p>
        </w:tc>
        <w:tc>
          <w:tcPr>
            <w:tcW w:w="3000" w:type="dxa"/>
            <w:shd w:val="clear" w:color="E8F5E9" w:fill="auto"/>
          </w:tcPr>
          <w:p w14:paraId="18A8BBC5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📈 Consistent growth</w:t>
            </w:r>
          </w:p>
        </w:tc>
      </w:tr>
      <w:tr w:rsidR="00D50021" w14:paraId="731D3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3104B400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Unique Customers</w:t>
            </w:r>
          </w:p>
        </w:tc>
        <w:tc>
          <w:tcPr>
            <w:tcW w:w="3000" w:type="dxa"/>
            <w:shd w:val="clear" w:color="FFFFFF" w:fill="auto"/>
          </w:tcPr>
          <w:p w14:paraId="1C7A412D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19K</w:t>
            </w:r>
          </w:p>
        </w:tc>
        <w:tc>
          <w:tcPr>
            <w:tcW w:w="3000" w:type="dxa"/>
            <w:shd w:val="clear" w:color="FFFFFF" w:fill="auto"/>
          </w:tcPr>
          <w:p w14:paraId="19231D06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✅ Stable base</w:t>
            </w:r>
          </w:p>
        </w:tc>
      </w:tr>
      <w:tr w:rsidR="00D50021" w14:paraId="4539C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E8F5E9" w:fill="auto"/>
          </w:tcPr>
          <w:p w14:paraId="43D959D3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Best Year</w:t>
            </w:r>
          </w:p>
        </w:tc>
        <w:tc>
          <w:tcPr>
            <w:tcW w:w="3000" w:type="dxa"/>
            <w:shd w:val="clear" w:color="E8F5E9" w:fill="auto"/>
          </w:tcPr>
          <w:p w14:paraId="0457BC43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2013 – $43.62M</w:t>
            </w:r>
          </w:p>
        </w:tc>
        <w:tc>
          <w:tcPr>
            <w:tcW w:w="3000" w:type="dxa"/>
            <w:shd w:val="clear" w:color="E8F5E9" w:fill="auto"/>
          </w:tcPr>
          <w:p w14:paraId="34DE0A31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⭐ All-time high</w:t>
            </w:r>
          </w:p>
        </w:tc>
      </w:tr>
      <w:tr w:rsidR="00D50021" w14:paraId="052DD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54B8A06D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Worst Period</w:t>
            </w:r>
          </w:p>
        </w:tc>
        <w:tc>
          <w:tcPr>
            <w:tcW w:w="3000" w:type="dxa"/>
            <w:shd w:val="clear" w:color="FFFFFF" w:fill="auto"/>
          </w:tcPr>
          <w:p w14:paraId="49EF45B2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2014 – $20.06M</w:t>
            </w:r>
          </w:p>
        </w:tc>
        <w:tc>
          <w:tcPr>
            <w:tcW w:w="3000" w:type="dxa"/>
            <w:shd w:val="clear" w:color="FFFFFF" w:fill="auto"/>
          </w:tcPr>
          <w:p w14:paraId="7B519E2B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🔴 -54% vs 2013</w:t>
            </w:r>
          </w:p>
        </w:tc>
      </w:tr>
      <w:tr w:rsidR="00D50021" w14:paraId="5CAF8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E8F5E9" w:fill="auto"/>
          </w:tcPr>
          <w:p w14:paraId="4A788E81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Top Channel</w:t>
            </w:r>
          </w:p>
        </w:tc>
        <w:tc>
          <w:tcPr>
            <w:tcW w:w="3000" w:type="dxa"/>
            <w:shd w:val="clear" w:color="E8F5E9" w:fill="auto"/>
          </w:tcPr>
          <w:p w14:paraId="0DFFBB0A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Dealer/Wholesale</w:t>
            </w:r>
          </w:p>
        </w:tc>
        <w:tc>
          <w:tcPr>
            <w:tcW w:w="3000" w:type="dxa"/>
            <w:shd w:val="clear" w:color="E8F5E9" w:fill="auto"/>
          </w:tcPr>
          <w:p w14:paraId="26B72FBF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73.3% of Revenue</w:t>
            </w:r>
          </w:p>
        </w:tc>
      </w:tr>
      <w:tr w:rsidR="00D50021" w14:paraId="75AEA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54C048F5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Top Category</w:t>
            </w:r>
          </w:p>
        </w:tc>
        <w:tc>
          <w:tcPr>
            <w:tcW w:w="3000" w:type="dxa"/>
            <w:shd w:val="clear" w:color="FFFFFF" w:fill="auto"/>
          </w:tcPr>
          <w:p w14:paraId="6FBBCB0C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Bikes</w:t>
            </w:r>
          </w:p>
        </w:tc>
        <w:tc>
          <w:tcPr>
            <w:tcW w:w="3000" w:type="dxa"/>
            <w:shd w:val="clear" w:color="FFFFFF" w:fill="auto"/>
          </w:tcPr>
          <w:p w14:paraId="126988B8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86.2% of Revenue</w:t>
            </w:r>
          </w:p>
        </w:tc>
      </w:tr>
    </w:tbl>
    <w:p w14:paraId="48BB98F6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5FE7F799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2. Revenue Trend Analysis (2011–2014)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50021" w14:paraId="1D6B2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F4E3D" w:fill="auto"/>
          </w:tcPr>
          <w:p w14:paraId="61128771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Year</w:t>
            </w:r>
          </w:p>
        </w:tc>
        <w:tc>
          <w:tcPr>
            <w:tcW w:w="3000" w:type="dxa"/>
            <w:shd w:val="clear" w:color="1F4E3D" w:fill="auto"/>
          </w:tcPr>
          <w:p w14:paraId="1EE2D23E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Revenue</w:t>
            </w:r>
          </w:p>
        </w:tc>
        <w:tc>
          <w:tcPr>
            <w:tcW w:w="3000" w:type="dxa"/>
            <w:shd w:val="clear" w:color="1F4E3D" w:fill="auto"/>
          </w:tcPr>
          <w:p w14:paraId="7EA86657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YoY Growth</w:t>
            </w:r>
          </w:p>
        </w:tc>
      </w:tr>
      <w:tr w:rsidR="00D50021" w14:paraId="311AC6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32829AAB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2011</w:t>
            </w:r>
          </w:p>
        </w:tc>
        <w:tc>
          <w:tcPr>
            <w:tcW w:w="3000" w:type="dxa"/>
            <w:shd w:val="clear" w:color="FFFFFF" w:fill="auto"/>
          </w:tcPr>
          <w:p w14:paraId="57746597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$12.64M</w:t>
            </w:r>
          </w:p>
        </w:tc>
        <w:tc>
          <w:tcPr>
            <w:tcW w:w="3000" w:type="dxa"/>
            <w:shd w:val="clear" w:color="FFFFFF" w:fill="auto"/>
          </w:tcPr>
          <w:p w14:paraId="276A3909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Baseline Year</w:t>
            </w:r>
          </w:p>
        </w:tc>
      </w:tr>
      <w:tr w:rsidR="00D50021" w14:paraId="0ED96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E8F5E9" w:fill="auto"/>
          </w:tcPr>
          <w:p w14:paraId="6B36E62B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2012</w:t>
            </w:r>
          </w:p>
        </w:tc>
        <w:tc>
          <w:tcPr>
            <w:tcW w:w="3000" w:type="dxa"/>
            <w:shd w:val="clear" w:color="E8F5E9" w:fill="auto"/>
          </w:tcPr>
          <w:p w14:paraId="3428EA2C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$33.52M</w:t>
            </w:r>
          </w:p>
        </w:tc>
        <w:tc>
          <w:tcPr>
            <w:tcW w:w="3000" w:type="dxa"/>
            <w:shd w:val="clear" w:color="E8F5E9" w:fill="auto"/>
          </w:tcPr>
          <w:p w14:paraId="20AC58DA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+165.2% 🚀</w:t>
            </w:r>
          </w:p>
        </w:tc>
      </w:tr>
      <w:tr w:rsidR="00D50021" w14:paraId="3EAE0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45265BE7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2013</w:t>
            </w:r>
          </w:p>
        </w:tc>
        <w:tc>
          <w:tcPr>
            <w:tcW w:w="3000" w:type="dxa"/>
            <w:shd w:val="clear" w:color="FFFFFF" w:fill="auto"/>
          </w:tcPr>
          <w:p w14:paraId="6BA08DB9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$43.62M</w:t>
            </w:r>
          </w:p>
        </w:tc>
        <w:tc>
          <w:tcPr>
            <w:tcW w:w="3000" w:type="dxa"/>
            <w:shd w:val="clear" w:color="FFFFFF" w:fill="auto"/>
          </w:tcPr>
          <w:p w14:paraId="0969E620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+30.1% 📈</w:t>
            </w:r>
          </w:p>
        </w:tc>
      </w:tr>
      <w:tr w:rsidR="00D50021" w14:paraId="73F27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E8F5E9" w:fill="auto"/>
          </w:tcPr>
          <w:p w14:paraId="3639701E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2014</w:t>
            </w:r>
          </w:p>
        </w:tc>
        <w:tc>
          <w:tcPr>
            <w:tcW w:w="3000" w:type="dxa"/>
            <w:shd w:val="clear" w:color="E8F5E9" w:fill="auto"/>
          </w:tcPr>
          <w:p w14:paraId="548F0849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$20.06M</w:t>
            </w:r>
          </w:p>
        </w:tc>
        <w:tc>
          <w:tcPr>
            <w:tcW w:w="3000" w:type="dxa"/>
            <w:shd w:val="clear" w:color="E8F5E9" w:fill="auto"/>
          </w:tcPr>
          <w:p w14:paraId="0E3DCD1C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-54.0% 🔴</w:t>
            </w:r>
          </w:p>
        </w:tc>
      </w:tr>
    </w:tbl>
    <w:p w14:paraId="37C92E13" w14:textId="77777777" w:rsidR="00D50021" w:rsidRDefault="00D50021">
      <w:pPr>
        <w:spacing w:before="200"/>
      </w:pPr>
    </w:p>
    <w:p w14:paraId="3BF96FEF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2.1 Growth Phase (2011–2013)</w:t>
      </w:r>
    </w:p>
    <w:p w14:paraId="6B48064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2011→2012: Explosive growth of +165.2%, indicating successful market expansion and new channel acquisition.</w:t>
      </w:r>
    </w:p>
    <w:p w14:paraId="4525C58F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2012→2013: Sustained growth of +30.1%, confirming strong market positioning and product demand.</w:t>
      </w:r>
    </w:p>
    <w:p w14:paraId="5518CADA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Peak revenue of $43.62M achieved in 2013 — the company's strongest year on record.</w:t>
      </w:r>
    </w:p>
    <w:p w14:paraId="332AE71C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2.2 Decline Phase (2014)</w:t>
      </w:r>
    </w:p>
    <w:p w14:paraId="0FF0F5D1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Revenue dropped sharply to $20.06M in 2014, a -54% decline from 2013.</w:t>
      </w:r>
    </w:p>
    <w:p w14:paraId="2A1301D5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lastRenderedPageBreak/>
        <w:t>Note: 2014 data may be partial (Jan–Jun only), which would naturally show lower annual totals.</w:t>
      </w:r>
    </w:p>
    <w:p w14:paraId="363A16FB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Even accounting for partial data, the monthly trend indicates a slowdown in demand.</w:t>
      </w:r>
    </w:p>
    <w:p w14:paraId="6D906369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5742B73E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3. Root Cause Analysis</w:t>
      </w:r>
    </w:p>
    <w:p w14:paraId="357CA85B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3.1 Over-Reliance on Single Category</w:t>
      </w:r>
    </w:p>
    <w:p w14:paraId="0A5374F1" w14:textId="77777777" w:rsidR="00D50021" w:rsidRDefault="00000000">
      <w:pPr>
        <w:spacing w:before="100" w:after="100"/>
      </w:pPr>
      <w:r>
        <w:rPr>
          <w:sz w:val="22"/>
          <w:szCs w:val="22"/>
        </w:rPr>
        <w:t>Bikes represent 86.2% ($94.65M) of total revenue, creating extreme concentration risk:</w:t>
      </w:r>
    </w:p>
    <w:p w14:paraId="3EB9F8C6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Accessories: only 1.2% ($1.27M) — massively underpenetrated.</w:t>
      </w:r>
    </w:p>
    <w:p w14:paraId="7F8998BF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Clothing: only 1.9% ($2.12M) — high margin category with untapped potential.</w:t>
      </w:r>
    </w:p>
    <w:p w14:paraId="5CB5C8E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Components: 10.7% ($11.80M) — dependent on Bike sales (complementary product).</w:t>
      </w:r>
    </w:p>
    <w:p w14:paraId="44E926F3" w14:textId="77777777" w:rsidR="00D50021" w:rsidRDefault="00000000">
      <w:pPr>
        <w:spacing w:before="100" w:after="100"/>
      </w:pPr>
      <w:r>
        <w:rPr>
          <w:b/>
          <w:bCs/>
          <w:color w:val="C62828"/>
          <w:sz w:val="22"/>
          <w:szCs w:val="22"/>
        </w:rPr>
        <w:t>Any demand shock in the Bikes category directly threatens 86% of total revenue.</w:t>
      </w:r>
    </w:p>
    <w:p w14:paraId="3F881ABC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3.2 Channel Imbalance</w:t>
      </w:r>
    </w:p>
    <w:p w14:paraId="63766BB2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Dealer/Wholesale dominates at 73.3% ($80.49M) vs Online/Direct at 26.7% ($29.36M).</w:t>
      </w:r>
    </w:p>
    <w:p w14:paraId="510E7DDB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Heavy dependence on Dealer channel creates vulnerability to distributor disruptions.</w:t>
      </w:r>
    </w:p>
    <w:p w14:paraId="33FF0D81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Online channel is underdeveloped despite lower distribution costs and higher margin potential.</w:t>
      </w:r>
    </w:p>
    <w:p w14:paraId="5AB5EAA0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3.3 Product Concentration</w:t>
      </w:r>
    </w:p>
    <w:p w14:paraId="0FF6D106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Top 5 products are all Mountain-200 variants (Black &amp; Silver, different sizes).</w:t>
      </w:r>
    </w:p>
    <w:p w14:paraId="0ABD7EF1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Mountain-200 Black 38 alone generates $4.4M — single SKU dependency.</w:t>
      </w:r>
    </w:p>
    <w:p w14:paraId="22BB9A0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Limited product diversity means a single product issue can materially impact revenue.</w:t>
      </w:r>
    </w:p>
    <w:p w14:paraId="1210B40B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3.4 2014 Revenue Decline</w:t>
      </w:r>
    </w:p>
    <w:p w14:paraId="25D7D800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Dealer/Wholesale channel showed significant volatility in monthly MoM data.</w:t>
      </w:r>
    </w:p>
    <w:p w14:paraId="64862ED8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Several months showed extreme swings (e.g., -99.94% followed by +139,300%) indicating irregular ordering patterns.</w:t>
      </w:r>
    </w:p>
    <w:p w14:paraId="0AC0132D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Possible causes: Dealer inventory buildup in 2013, seasonal demand concentration, or market saturation.</w:t>
      </w:r>
    </w:p>
    <w:p w14:paraId="05AC5EBF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40BB7E1C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4. Key Findings &amp; Insights</w:t>
      </w:r>
    </w:p>
    <w:p w14:paraId="73E1BEE7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4.1 Strengths</w:t>
      </w:r>
    </w:p>
    <w:p w14:paraId="36658FBE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Strong brand with $109.85M total revenue across 4 years.</w:t>
      </w:r>
    </w:p>
    <w:p w14:paraId="71482E2F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Loyal customer base of 19K+ unique customers.</w:t>
      </w:r>
    </w:p>
    <w:p w14:paraId="7920A9D2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Mountain-200 series is a proven bestseller with consistent demand.</w:t>
      </w:r>
    </w:p>
    <w:p w14:paraId="751FDB1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Dealer/Wholesale network provides stable bulk-order revenue.</w:t>
      </w:r>
    </w:p>
    <w:p w14:paraId="622500A8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lastRenderedPageBreak/>
        <w:t>4.2 Weaknesses</w:t>
      </w:r>
    </w:p>
    <w:p w14:paraId="40971E40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86% revenue concentration in one category (Bikes) — high risk.</w:t>
      </w:r>
    </w:p>
    <w:p w14:paraId="0070425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Online/Direct channel underutilized at only 26.7%.</w:t>
      </w:r>
    </w:p>
    <w:p w14:paraId="6DADA2D9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Accessories and Clothing segments severely underdeveloped.</w:t>
      </w:r>
    </w:p>
    <w:p w14:paraId="394D5538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Irregular Dealer ordering patterns create unpredictable cash flow.</w:t>
      </w:r>
    </w:p>
    <w:p w14:paraId="66CB2A6C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4.3 Opportunities</w:t>
      </w:r>
    </w:p>
    <w:p w14:paraId="1B274C5A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Online channel growth: e-commerce penetration in sporting goods is rising globally.</w:t>
      </w:r>
    </w:p>
    <w:p w14:paraId="4DA8C760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Cross-selling accessories with Bike purchases (helmets, racks, cleaners).</w:t>
      </w:r>
    </w:p>
    <w:p w14:paraId="5EF58DEE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Clothing line expansion — currently at 1.9%, high margin potential.</w:t>
      </w:r>
    </w:p>
    <w:p w14:paraId="0D52DE6C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Geographic expansion into new dealer territories.</w:t>
      </w:r>
    </w:p>
    <w:p w14:paraId="3F2B8B7C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4.4 Threats</w:t>
      </w:r>
    </w:p>
    <w:p w14:paraId="0492DB02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Market saturation in core Bikes segment limiting future growth.</w:t>
      </w:r>
    </w:p>
    <w:p w14:paraId="10E88FBB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Single-channel dependency on Dealers creates distribution risk.</w:t>
      </w:r>
    </w:p>
    <w:p w14:paraId="44DEAEA8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  <w:sz w:val="22"/>
          <w:szCs w:val="22"/>
        </w:rPr>
        <w:t>Competition from direct-to-consumer cycling brands online.</w:t>
      </w:r>
    </w:p>
    <w:p w14:paraId="2DDF45F0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698AD908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5. Projections &amp; Forecasts (2015–2016)</w:t>
      </w:r>
    </w:p>
    <w:p w14:paraId="0EB507BD" w14:textId="77777777" w:rsidR="00D50021" w:rsidRDefault="00000000">
      <w:pPr>
        <w:spacing w:before="100" w:after="100"/>
      </w:pPr>
      <w:r>
        <w:rPr>
          <w:sz w:val="22"/>
          <w:szCs w:val="22"/>
        </w:rPr>
        <w:t>Based on historical trend analysis and assuming stabilization of the Dealer channel: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50021" w14:paraId="08BEF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F4E3D" w:fill="auto"/>
          </w:tcPr>
          <w:p w14:paraId="51F68C7D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3000" w:type="dxa"/>
            <w:shd w:val="clear" w:color="1F4E3D" w:fill="auto"/>
          </w:tcPr>
          <w:p w14:paraId="7A788567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2015 Forecast</w:t>
            </w:r>
          </w:p>
        </w:tc>
        <w:tc>
          <w:tcPr>
            <w:tcW w:w="3000" w:type="dxa"/>
            <w:shd w:val="clear" w:color="1F4E3D" w:fill="auto"/>
          </w:tcPr>
          <w:p w14:paraId="7CA2B321" w14:textId="77777777" w:rsidR="00D5002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Assumption</w:t>
            </w:r>
          </w:p>
        </w:tc>
      </w:tr>
      <w:tr w:rsidR="00D50021" w14:paraId="32952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21F49858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Conservative</w:t>
            </w:r>
          </w:p>
        </w:tc>
        <w:tc>
          <w:tcPr>
            <w:tcW w:w="3000" w:type="dxa"/>
            <w:shd w:val="clear" w:color="FFFFFF" w:fill="auto"/>
          </w:tcPr>
          <w:p w14:paraId="3F851BF8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$28–32M</w:t>
            </w:r>
          </w:p>
        </w:tc>
        <w:tc>
          <w:tcPr>
            <w:tcW w:w="3000" w:type="dxa"/>
            <w:shd w:val="clear" w:color="FFFFFF" w:fill="auto"/>
          </w:tcPr>
          <w:p w14:paraId="708ED52E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Partial channel recovery</w:t>
            </w:r>
          </w:p>
        </w:tc>
      </w:tr>
      <w:tr w:rsidR="00D50021" w14:paraId="7DEA9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E8F5E9" w:fill="auto"/>
          </w:tcPr>
          <w:p w14:paraId="1F440640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Base Case</w:t>
            </w:r>
          </w:p>
        </w:tc>
        <w:tc>
          <w:tcPr>
            <w:tcW w:w="3000" w:type="dxa"/>
            <w:shd w:val="clear" w:color="E8F5E9" w:fill="auto"/>
          </w:tcPr>
          <w:p w14:paraId="0FB0785B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$35–40M</w:t>
            </w:r>
          </w:p>
        </w:tc>
        <w:tc>
          <w:tcPr>
            <w:tcW w:w="3000" w:type="dxa"/>
            <w:shd w:val="clear" w:color="E8F5E9" w:fill="auto"/>
          </w:tcPr>
          <w:p w14:paraId="0005E9E5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Online growth + Dealer stabilization</w:t>
            </w:r>
          </w:p>
        </w:tc>
      </w:tr>
      <w:tr w:rsidR="00D50021" w14:paraId="5042B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auto"/>
          </w:tcPr>
          <w:p w14:paraId="2BC15639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Optimistic</w:t>
            </w:r>
          </w:p>
        </w:tc>
        <w:tc>
          <w:tcPr>
            <w:tcW w:w="3000" w:type="dxa"/>
            <w:shd w:val="clear" w:color="FFFFFF" w:fill="auto"/>
          </w:tcPr>
          <w:p w14:paraId="33158D91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$45–50M</w:t>
            </w:r>
          </w:p>
        </w:tc>
        <w:tc>
          <w:tcPr>
            <w:tcW w:w="3000" w:type="dxa"/>
            <w:shd w:val="clear" w:color="FFFFFF" w:fill="auto"/>
          </w:tcPr>
          <w:p w14:paraId="5CE4CABE" w14:textId="77777777" w:rsidR="00D50021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New product lines + market expansion</w:t>
            </w:r>
          </w:p>
        </w:tc>
      </w:tr>
    </w:tbl>
    <w:p w14:paraId="2A830F90" w14:textId="77777777" w:rsidR="00D50021" w:rsidRDefault="00D50021">
      <w:pPr>
        <w:spacing w:before="200"/>
      </w:pPr>
    </w:p>
    <w:p w14:paraId="00F8C7AE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Conservative scenario assumes 2014 decline continues partially into 2015.</w:t>
      </w:r>
    </w:p>
    <w:p w14:paraId="631112CF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Base case requires Online/Direct to grow from 26.7% to 35%+ of revenue mix.</w:t>
      </w:r>
    </w:p>
    <w:p w14:paraId="210B7CAC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Optimistic scenario requires successful launch of Accessories/Clothing campaigns.</w:t>
      </w:r>
    </w:p>
    <w:p w14:paraId="50BA9FE2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Revenue recovery to 2013 levels ($43M+) realistically achievable by 2016 in base case.</w:t>
      </w:r>
    </w:p>
    <w:p w14:paraId="2294934B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38E37731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6. Strategic Recommendations</w:t>
      </w:r>
    </w:p>
    <w:p w14:paraId="09606F91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🎯 Priority 1: Diversify Revenue Streams (Immediate)</w:t>
      </w:r>
    </w:p>
    <w:p w14:paraId="53A4BC35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Launch targeted marketing campaigns for Accessories and Clothing categories.</w:t>
      </w:r>
    </w:p>
    <w:p w14:paraId="71D50F5F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Bundle Accessories with Bike purchases (e.g., 'Complete Rider Package').</w:t>
      </w:r>
    </w:p>
    <w:p w14:paraId="15BBB2B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Set category revenue targets: Accessories to 5%, Clothing to 5% within 12 months.</w:t>
      </w:r>
    </w:p>
    <w:p w14:paraId="5CC3CC0E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lastRenderedPageBreak/>
        <w:t>🌐 Priority 2: Accelerate Online Channel (3–6 Months)</w:t>
      </w:r>
    </w:p>
    <w:p w14:paraId="5E780A0E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Invest in e-commerce platform optimization and digital marketing.</w:t>
      </w:r>
    </w:p>
    <w:p w14:paraId="3E26942D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Target Online/Direct channel to reach 40% of revenue within 2 years.</w:t>
      </w:r>
    </w:p>
    <w:p w14:paraId="690F5B10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Lower customer acquisition costs vs. Dealer commissions improve margins.</w:t>
      </w:r>
    </w:p>
    <w:p w14:paraId="0D25510D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📦 Priority 3: Stabilize Dealer Channel (Immediate)</w:t>
      </w:r>
    </w:p>
    <w:p w14:paraId="6BA32A33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Implement Dealer inventory monitoring to prevent over-ordering cycles.</w:t>
      </w:r>
    </w:p>
    <w:p w14:paraId="6D96D57E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Introduce monthly ordering incentives to smooth demand volatility.</w:t>
      </w:r>
    </w:p>
    <w:p w14:paraId="4E89436D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Diversify dealer network — reduce dependency on any single distributor.</w:t>
      </w:r>
    </w:p>
    <w:p w14:paraId="02EC81CC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🚲 Priority 4: Product Portfolio Expansion (6–12 Months)</w:t>
      </w:r>
    </w:p>
    <w:p w14:paraId="463C1061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Expand beyond Mountain-200 series to reduce single-SKU concentration.</w:t>
      </w:r>
    </w:p>
    <w:p w14:paraId="094D2599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Introduce entry-level and premium Bike variants to capture new price segments.</w:t>
      </w:r>
    </w:p>
    <w:p w14:paraId="6FA80637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Develop private-label Accessories to improve margins.</w:t>
      </w:r>
    </w:p>
    <w:p w14:paraId="1C036F8F" w14:textId="77777777" w:rsidR="00D50021" w:rsidRDefault="00000000">
      <w:pPr>
        <w:pStyle w:val="Heading2"/>
        <w:spacing w:before="300" w:after="150"/>
        <w:rPr>
          <w:b/>
          <w:bCs/>
          <w:color w:val="2E7D32"/>
        </w:rPr>
      </w:pPr>
      <w:r>
        <w:t>📊 Priority 5: Implement Real-Time Analytics</w:t>
      </w:r>
    </w:p>
    <w:p w14:paraId="4ADB72ED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Use this Power BI dashboard for monthly performance reviews.</w:t>
      </w:r>
    </w:p>
    <w:p w14:paraId="5FD4CDDB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Set up automated alerts when MoM Growth % drops below -10%.</w:t>
      </w:r>
    </w:p>
    <w:p w14:paraId="01EA29A6" w14:textId="77777777" w:rsidR="00D50021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sz w:val="22"/>
          <w:szCs w:val="22"/>
        </w:rPr>
        <w:t>Track channel mix ratio monthly to measure diversification progress.</w:t>
      </w:r>
    </w:p>
    <w:p w14:paraId="0F4C65AD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00E56350" w14:textId="77777777" w:rsidR="00D50021" w:rsidRDefault="00000000">
      <w:pPr>
        <w:pStyle w:val="Heading1"/>
        <w:spacing w:before="400" w:after="200"/>
        <w:rPr>
          <w:b/>
          <w:bCs/>
          <w:color w:val="1F4E3D"/>
        </w:rPr>
      </w:pPr>
      <w:r>
        <w:t>7. Conclusion</w:t>
      </w:r>
    </w:p>
    <w:p w14:paraId="7B1FA6C9" w14:textId="77777777" w:rsidR="00D50021" w:rsidRDefault="00000000">
      <w:pPr>
        <w:spacing w:before="100" w:after="100"/>
      </w:pPr>
      <w:proofErr w:type="spellStart"/>
      <w:r>
        <w:rPr>
          <w:sz w:val="22"/>
          <w:szCs w:val="22"/>
        </w:rPr>
        <w:t>AdventureWorks</w:t>
      </w:r>
      <w:proofErr w:type="spellEnd"/>
      <w:r>
        <w:rPr>
          <w:sz w:val="22"/>
          <w:szCs w:val="22"/>
        </w:rPr>
        <w:t xml:space="preserve"> demonstrated strong revenue growth from 2011 to 2013, reaching a peak of $43.62M. However, the 2014 decline exposes critical structural vulnerabilities: </w:t>
      </w:r>
      <w:r>
        <w:rPr>
          <w:b/>
          <w:bCs/>
          <w:sz w:val="22"/>
          <w:szCs w:val="22"/>
        </w:rPr>
        <w:t>over-concentration in Bikes (86%) and Dealer channel (73%), limited online presence, and underdeveloped accessory lines.</w:t>
      </w:r>
    </w:p>
    <w:p w14:paraId="084E6C1A" w14:textId="77777777" w:rsidR="00D50021" w:rsidRDefault="00D50021">
      <w:pPr>
        <w:spacing w:before="100"/>
      </w:pPr>
    </w:p>
    <w:p w14:paraId="4395E2DC" w14:textId="77777777" w:rsidR="00D50021" w:rsidRDefault="00000000">
      <w:pPr>
        <w:spacing w:before="100" w:after="100"/>
      </w:pPr>
      <w:r>
        <w:rPr>
          <w:sz w:val="22"/>
          <w:szCs w:val="22"/>
        </w:rPr>
        <w:t>The path to sustainable growth requires deliberate diversification across both product categories and sales channels. With the right strategic actions, a return to $40M+ annual revenue by 2016 is achievable.</w:t>
      </w:r>
    </w:p>
    <w:p w14:paraId="682CDB59" w14:textId="77777777" w:rsidR="00D50021" w:rsidRDefault="00D50021">
      <w:pPr>
        <w:spacing w:before="100"/>
      </w:pPr>
    </w:p>
    <w:p w14:paraId="1BE7E5D6" w14:textId="77777777" w:rsidR="00D50021" w:rsidRDefault="00000000">
      <w:pPr>
        <w:spacing w:before="100" w:after="100"/>
      </w:pPr>
      <w:r>
        <w:rPr>
          <w:b/>
          <w:bCs/>
          <w:color w:val="1F4E3D"/>
          <w:sz w:val="22"/>
          <w:szCs w:val="22"/>
        </w:rPr>
        <w:t>This dashboard and analysis provide the foundation for data-driven decision making across sales, marketing, and operations teams.</w:t>
      </w:r>
    </w:p>
    <w:p w14:paraId="2A6909ED" w14:textId="77777777" w:rsidR="00D50021" w:rsidRDefault="00D50021">
      <w:pPr>
        <w:pBdr>
          <w:bottom w:val="single" w:sz="6" w:space="0" w:color="1F4E3D"/>
        </w:pBdr>
        <w:spacing w:before="200" w:after="200"/>
      </w:pPr>
    </w:p>
    <w:p w14:paraId="1AAE9201" w14:textId="49443D3B" w:rsidR="00D50021" w:rsidRDefault="00000000">
      <w:pPr>
        <w:spacing w:before="200"/>
        <w:jc w:val="center"/>
      </w:pPr>
      <w:r>
        <w:rPr>
          <w:color w:val="999999"/>
          <w:sz w:val="18"/>
          <w:szCs w:val="18"/>
        </w:rPr>
        <w:t>Report generated using Power BI + SQL Server (AdventureWorks2019) | 202</w:t>
      </w:r>
      <w:r w:rsidR="00452064">
        <w:rPr>
          <w:rFonts w:hint="cs"/>
          <w:color w:val="999999"/>
          <w:sz w:val="18"/>
          <w:szCs w:val="18"/>
          <w:rtl/>
        </w:rPr>
        <w:t>6</w:t>
      </w:r>
    </w:p>
    <w:sectPr w:rsidR="00D500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73B89"/>
    <w:multiLevelType w:val="hybridMultilevel"/>
    <w:tmpl w:val="5524AD6A"/>
    <w:lvl w:ilvl="0" w:tplc="59184560">
      <w:start w:val="1"/>
      <w:numFmt w:val="bullet"/>
      <w:lvlText w:val="●"/>
      <w:lvlJc w:val="left"/>
      <w:pPr>
        <w:ind w:left="720" w:hanging="360"/>
      </w:pPr>
    </w:lvl>
    <w:lvl w:ilvl="1" w:tplc="E93065FC">
      <w:start w:val="1"/>
      <w:numFmt w:val="bullet"/>
      <w:lvlText w:val="○"/>
      <w:lvlJc w:val="left"/>
      <w:pPr>
        <w:ind w:left="1440" w:hanging="360"/>
      </w:pPr>
    </w:lvl>
    <w:lvl w:ilvl="2" w:tplc="E9C0F8E8">
      <w:start w:val="1"/>
      <w:numFmt w:val="bullet"/>
      <w:lvlText w:val="■"/>
      <w:lvlJc w:val="left"/>
      <w:pPr>
        <w:ind w:left="2160" w:hanging="360"/>
      </w:pPr>
    </w:lvl>
    <w:lvl w:ilvl="3" w:tplc="99FE4E08">
      <w:start w:val="1"/>
      <w:numFmt w:val="bullet"/>
      <w:lvlText w:val="●"/>
      <w:lvlJc w:val="left"/>
      <w:pPr>
        <w:ind w:left="2880" w:hanging="360"/>
      </w:pPr>
    </w:lvl>
    <w:lvl w:ilvl="4" w:tplc="F5404FA4">
      <w:start w:val="1"/>
      <w:numFmt w:val="bullet"/>
      <w:lvlText w:val="○"/>
      <w:lvlJc w:val="left"/>
      <w:pPr>
        <w:ind w:left="3600" w:hanging="360"/>
      </w:pPr>
    </w:lvl>
    <w:lvl w:ilvl="5" w:tplc="B5BEE98E">
      <w:start w:val="1"/>
      <w:numFmt w:val="bullet"/>
      <w:lvlText w:val="■"/>
      <w:lvlJc w:val="left"/>
      <w:pPr>
        <w:ind w:left="4320" w:hanging="360"/>
      </w:pPr>
    </w:lvl>
    <w:lvl w:ilvl="6" w:tplc="92CC112C">
      <w:start w:val="1"/>
      <w:numFmt w:val="bullet"/>
      <w:lvlText w:val="●"/>
      <w:lvlJc w:val="left"/>
      <w:pPr>
        <w:ind w:left="5040" w:hanging="360"/>
      </w:pPr>
    </w:lvl>
    <w:lvl w:ilvl="7" w:tplc="07AC8A26">
      <w:start w:val="1"/>
      <w:numFmt w:val="bullet"/>
      <w:lvlText w:val="●"/>
      <w:lvlJc w:val="left"/>
      <w:pPr>
        <w:ind w:left="5760" w:hanging="360"/>
      </w:pPr>
    </w:lvl>
    <w:lvl w:ilvl="8" w:tplc="5E6CCB66">
      <w:start w:val="1"/>
      <w:numFmt w:val="bullet"/>
      <w:lvlText w:val="●"/>
      <w:lvlJc w:val="left"/>
      <w:pPr>
        <w:ind w:left="6480" w:hanging="360"/>
      </w:pPr>
    </w:lvl>
  </w:abstractNum>
  <w:num w:numId="1" w16cid:durableId="1027095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21"/>
    <w:rsid w:val="00452064"/>
    <w:rsid w:val="009F4C8A"/>
    <w:rsid w:val="00D5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1C76"/>
  <w15:docId w15:val="{937D0737-DDDE-4AC9-8B8B-5D5AC0FC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waleed</cp:lastModifiedBy>
  <cp:revision>2</cp:revision>
  <dcterms:created xsi:type="dcterms:W3CDTF">2026-07-04T21:42:00Z</dcterms:created>
  <dcterms:modified xsi:type="dcterms:W3CDTF">2026-07-04T21:43:00Z</dcterms:modified>
</cp:coreProperties>
</file>