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jc w:val="center"/>
        <w:spacing w:after="240"/>
      </w:pPr>
      <w:r>
        <w:rPr>
          <w:b/>
          <w:sz w:val="32"/>
          <w:szCs w:val="32"/>
        </w:rPr>
        <w:t xml:space="preserve">Integrated Health Sector Action Plan: Economic Stability Strategies, July 2026-December 2028</w:t>
      </w:r>
    </w:p>
    <w:p>
      <w:pPr>
        <w:pStyle w:val="Subtitle"/>
        <w:jc w:val="center"/>
        <w:spacing w:after="240"/>
      </w:pPr>
      <w:r>
        <w:rPr>
          <w:sz w:val="22"/>
          <w:szCs w:val="22"/>
        </w:rPr>
        <w:t xml:space="preserve">Prepared for Black Hawk County Public Health and Advancing Together in the Cedar Valley</w:t>
      </w:r>
    </w:p>
    <w:p>
      <w:pPr>
        <w:pStyle w:val="Heading1"/>
        <w:spacing w:after="120"/>
      </w:pPr>
      <w:r>
        <w:rPr>
          <w:b/>
          <w:sz w:val="26"/>
          <w:szCs w:val="26"/>
        </w:rPr>
        <w:t xml:space="preserve">Purpose</w:t>
      </w:r>
    </w:p>
    <w:p>
      <w:pPr>
        <w:spacing w:after="120"/>
      </w:pPr>
      <w:r>
        <w:rPr>
          <w:sz w:val="21"/>
          <w:szCs w:val="21"/>
        </w:rPr>
        <w:t xml:space="preserve">This charter-style action plan combines Health Sector Objectives 1-3 into one coordinated 2.5-year plan. For this CHIP cycle, Q1 begins July 1, 2026. The plan focuses on shared cancer prevention and screening communication, beginning with breast and prostate cancer awareness and connecting messaging to tobacco cessation, radon testing, vaccination, screening, navigation, transportation, financial assistance, and follow-up care.</w:t>
      </w:r>
    </w:p>
    <w:p>
      <w:pPr>
        <w:pStyle w:val="Heading1"/>
        <w:spacing w:after="120"/>
      </w:pPr>
      <w:r>
        <w:rPr>
          <w:b/>
          <w:sz w:val="26"/>
          <w:szCs w:val="26"/>
        </w:rPr>
        <w:t xml:space="preserve">Coalition Role</w:t>
      </w:r>
    </w:p>
    <w:p>
      <w:pPr>
        <w:spacing w:after="120"/>
      </w:pPr>
      <w:r>
        <w:rPr>
          <w:sz w:val="21"/>
          <w:szCs w:val="21"/>
        </w:rPr>
        <w:t xml:space="preserve">Advancing Together and the Health Sector partners will convene, align, support, and track this work. Direct implementation remains distributed across Black Hawk County Public Health, healthcare partners, Pathways, community health workers, care managers, and community-resource partners.</w:t>
      </w:r>
    </w:p>
    <w:p>
      <w:pPr>
        <w:pStyle w:val="Heading1"/>
        <w:spacing w:after="120"/>
      </w:pPr>
      <w:r>
        <w:rPr>
          <w:b/>
          <w:sz w:val="26"/>
          <w:szCs w:val="26"/>
        </w:rPr>
        <w:t xml:space="preserve">Objective-Level Outcomes</w:t>
      </w:r>
    </w:p>
    <w:tbl>
      <w:tblPr>
        <w:tblStyle w:val="TableGrid"/>
        <w:tblW w:w="0" w:type="auto"/>
        <w:tblLook w:firstRow="1" w:noHBand="0" w:noVBand="1"/>
      </w:tblPr>
      <w:tblGrid>
        <w:gridCol w:w="4200"/>
        <w:gridCol w:w="10200"/>
      </w:tblGrid>
      <w:tr>
        <w:tc>
          <w:tcPr>
            <w:tcW w:w="4200" w:type="dxa"/>
            <w:vAlign w:val="top"/>
            <w:shd w:fill="D9EAF7"/>
          </w:tcPr>
          <w:p>
            <w:pPr>
              <w:spacing w:after="60"/>
            </w:pPr>
            <w:r>
              <w:rPr>
                <w:b/>
                <w:sz w:val="18"/>
                <w:szCs w:val="18"/>
              </w:rPr>
              <w:t xml:space="preserve">Objective</w:t>
            </w:r>
          </w:p>
        </w:tc>
        <w:tc>
          <w:tcPr>
            <w:tcW w:w="10200" w:type="dxa"/>
            <w:vAlign w:val="top"/>
            <w:shd w:fill="D9EAF7"/>
          </w:tcPr>
          <w:p>
            <w:pPr>
              <w:spacing w:after="60"/>
            </w:pPr>
            <w:r>
              <w:rPr>
                <w:b/>
                <w:sz w:val="18"/>
                <w:szCs w:val="18"/>
              </w:rPr>
              <w:t xml:space="preserve">Outcome</w:t>
            </w:r>
          </w:p>
        </w:tc>
      </w:tr>
      <w:tr>
        <w:tc>
          <w:tcPr>
            <w:tcW w:w="4200" w:type="dxa"/>
            <w:vAlign w:val="top"/>
          </w:tcPr>
          <w:p>
            <w:pPr>
              <w:spacing w:after="60"/>
            </w:pPr>
            <w:r>
              <w:rPr>
                <w:sz w:val="18"/>
                <w:szCs w:val="18"/>
              </w:rPr>
              <w:t xml:space="preserve">Objective 1: Prevention/Risk Factor Reduction</w:t>
            </w:r>
          </w:p>
        </w:tc>
        <w:tc>
          <w:tcPr>
            <w:tcW w:w="10200" w:type="dxa"/>
            <w:vAlign w:val="top"/>
          </w:tcPr>
          <w:p>
            <w:pPr>
              <w:spacing w:after="60"/>
            </w:pPr>
            <w:r>
              <w:rPr>
                <w:sz w:val="18"/>
                <w:szCs w:val="18"/>
              </w:rPr>
              <w:t xml:space="preserve">By December 31, 2028, at least 5 community organizations partner to implement or expand prevention/risk reduction strategies in areas with higher cancer or chronic disease burden.</w:t>
            </w:r>
          </w:p>
        </w:tc>
      </w:tr>
      <w:tr>
        <w:tc>
          <w:tcPr>
            <w:tcW w:w="4200" w:type="dxa"/>
            <w:vAlign w:val="top"/>
          </w:tcPr>
          <w:p>
            <w:pPr>
              <w:spacing w:after="60"/>
            </w:pPr>
            <w:r>
              <w:rPr>
                <w:sz w:val="18"/>
                <w:szCs w:val="18"/>
              </w:rPr>
              <w:t xml:space="preserve">Objective 2: Early Detection and Screening</w:t>
            </w:r>
          </w:p>
        </w:tc>
        <w:tc>
          <w:tcPr>
            <w:tcW w:w="10200" w:type="dxa"/>
            <w:vAlign w:val="top"/>
          </w:tcPr>
          <w:p>
            <w:pPr>
              <w:spacing w:after="60"/>
            </w:pPr>
            <w:r>
              <w:rPr>
                <w:sz w:val="18"/>
                <w:szCs w:val="18"/>
              </w:rPr>
              <w:t xml:space="preserve">By December 31, 2028, at least 3 collaborative outreach and barrier-reduction strategies support participation in age- and risk-appropriate screenings.</w:t>
            </w:r>
          </w:p>
        </w:tc>
      </w:tr>
      <w:tr>
        <w:tc>
          <w:tcPr>
            <w:tcW w:w="4200" w:type="dxa"/>
            <w:vAlign w:val="top"/>
          </w:tcPr>
          <w:p>
            <w:pPr>
              <w:spacing w:after="60"/>
            </w:pPr>
            <w:r>
              <w:rPr>
                <w:sz w:val="18"/>
                <w:szCs w:val="18"/>
              </w:rPr>
              <w:t xml:space="preserve">Objective 3: Reducing Social and Economic Barriers to Care</w:t>
            </w:r>
          </w:p>
        </w:tc>
        <w:tc>
          <w:tcPr>
            <w:tcW w:w="10200" w:type="dxa"/>
            <w:vAlign w:val="top"/>
          </w:tcPr>
          <w:p>
            <w:pPr>
              <w:spacing w:after="60"/>
            </w:pPr>
            <w:r>
              <w:rPr>
                <w:sz w:val="18"/>
                <w:szCs w:val="18"/>
              </w:rPr>
              <w:t xml:space="preserve">By December 31, 2028, a community-wide collaboration system supports updated resource directories, referral/case-management awareness, more aligned intake where feasible, and cross-sector relationship-building and training.</w:t>
            </w:r>
          </w:p>
        </w:tc>
      </w:tr>
    </w:tbl>
    <w:p>
      <w:pPr>
        <w:pStyle w:val="Heading1"/>
        <w:spacing w:after="120"/>
      </w:pPr>
      <w:r>
        <w:rPr>
          <w:b/>
          <w:sz w:val="26"/>
          <w:szCs w:val="26"/>
        </w:rPr>
        <w:t xml:space="preserve">Quarterly Action Plan</w:t>
      </w:r>
    </w:p>
    <w:tbl>
      <w:tblPr>
        <w:tblStyle w:val="TableGrid"/>
        <w:tblW w:w="0" w:type="auto"/>
        <w:tblLook w:firstRow="1" w:noHBand="0" w:noVBand="1"/>
      </w:tblPr>
      <w:tblGrid>
        <w:gridCol w:w="1500"/>
        <w:gridCol w:w="2600"/>
        <w:gridCol w:w="2500"/>
        <w:gridCol w:w="1500"/>
        <w:gridCol w:w="4100"/>
        <w:gridCol w:w="3000"/>
        <w:gridCol w:w="3500"/>
      </w:tblGrid>
      <w:tr>
        <w:tc>
          <w:tcPr>
            <w:tcW w:w="1500" w:type="dxa"/>
            <w:vAlign w:val="top"/>
            <w:shd w:fill="D9EAF7"/>
          </w:tcPr>
          <w:p>
            <w:pPr>
              <w:spacing w:after="60"/>
            </w:pPr>
            <w:r>
              <w:rPr>
                <w:b/>
                <w:sz w:val="18"/>
                <w:szCs w:val="18"/>
              </w:rPr>
              <w:t xml:space="preserve">Quarter</w:t>
            </w:r>
          </w:p>
        </w:tc>
        <w:tc>
          <w:tcPr>
            <w:tcW w:w="2600" w:type="dxa"/>
            <w:vAlign w:val="top"/>
            <w:shd w:fill="D9EAF7"/>
          </w:tcPr>
          <w:p>
            <w:pPr>
              <w:spacing w:after="60"/>
            </w:pPr>
            <w:r>
              <w:rPr>
                <w:b/>
                <w:sz w:val="18"/>
                <w:szCs w:val="18"/>
              </w:rPr>
              <w:t xml:space="preserve">Action to take</w:t>
            </w:r>
          </w:p>
        </w:tc>
        <w:tc>
          <w:tcPr>
            <w:tcW w:w="2500" w:type="dxa"/>
            <w:vAlign w:val="top"/>
            <w:shd w:fill="D9EAF7"/>
          </w:tcPr>
          <w:p>
            <w:pPr>
              <w:spacing w:after="60"/>
            </w:pPr>
            <w:r>
              <w:rPr>
                <w:b/>
                <w:sz w:val="18"/>
                <w:szCs w:val="18"/>
              </w:rPr>
              <w:t xml:space="preserve">Responsible party(s)</w:t>
            </w:r>
          </w:p>
        </w:tc>
        <w:tc>
          <w:tcPr>
            <w:tcW w:w="1500" w:type="dxa"/>
            <w:vAlign w:val="top"/>
            <w:shd w:fill="D9EAF7"/>
          </w:tcPr>
          <w:p>
            <w:pPr>
              <w:spacing w:after="60"/>
            </w:pPr>
            <w:r>
              <w:rPr>
                <w:b/>
                <w:sz w:val="18"/>
                <w:szCs w:val="18"/>
              </w:rPr>
              <w:t xml:space="preserve">Timeline</w:t>
            </w:r>
          </w:p>
        </w:tc>
        <w:tc>
          <w:tcPr>
            <w:tcW w:w="4100" w:type="dxa"/>
            <w:vAlign w:val="top"/>
            <w:shd w:fill="D9EAF7"/>
          </w:tcPr>
          <w:p>
            <w:pPr>
              <w:spacing w:after="60"/>
            </w:pPr>
            <w:r>
              <w:rPr>
                <w:b/>
                <w:sz w:val="18"/>
                <w:szCs w:val="18"/>
              </w:rPr>
              <w:t xml:space="preserve">Key tasks</w:t>
            </w:r>
          </w:p>
        </w:tc>
        <w:tc>
          <w:tcPr>
            <w:tcW w:w="3000" w:type="dxa"/>
            <w:vAlign w:val="top"/>
            <w:shd w:fill="D9EAF7"/>
          </w:tcPr>
          <w:p>
            <w:pPr>
              <w:spacing w:after="60"/>
            </w:pPr>
            <w:r>
              <w:rPr>
                <w:b/>
                <w:sz w:val="18"/>
                <w:szCs w:val="18"/>
              </w:rPr>
              <w:t xml:space="preserve">Resources</w:t>
            </w:r>
          </w:p>
        </w:tc>
        <w:tc>
          <w:tcPr>
            <w:tcW w:w="3500" w:type="dxa"/>
            <w:vAlign w:val="top"/>
            <w:shd w:fill="D9EAF7"/>
          </w:tcPr>
          <w:p>
            <w:pPr>
              <w:spacing w:after="60"/>
            </w:pPr>
            <w:r>
              <w:rPr>
                <w:b/>
                <w:sz w:val="18"/>
                <w:szCs w:val="18"/>
              </w:rPr>
              <w:t xml:space="preserve">Success indicators</w:t>
            </w:r>
          </w:p>
        </w:tc>
      </w:tr>
      <w:tr>
        <w:tc>
          <w:tcPr>
            <w:tcW w:w="1500" w:type="dxa"/>
            <w:vAlign w:val="top"/>
          </w:tcPr>
          <w:p>
            <w:pPr>
              <w:spacing w:after="60"/>
            </w:pPr>
            <w:r>
              <w:rPr>
                <w:sz w:val="18"/>
                <w:szCs w:val="18"/>
              </w:rPr>
              <w:t xml:space="preserve">Q1: Jul-Sep 2026</w:t>
            </w:r>
          </w:p>
        </w:tc>
        <w:tc>
          <w:tcPr>
            <w:tcW w:w="2600" w:type="dxa"/>
            <w:vAlign w:val="top"/>
          </w:tcPr>
          <w:p>
            <w:pPr>
              <w:spacing w:after="60"/>
            </w:pPr>
            <w:r>
              <w:rPr>
                <w:sz w:val="18"/>
                <w:szCs w:val="18"/>
              </w:rPr>
              <w:t xml:space="preserve">Establish the integrated Health Sector core team and charter.</w:t>
            </w:r>
          </w:p>
        </w:tc>
        <w:tc>
          <w:tcPr>
            <w:tcW w:w="2500" w:type="dxa"/>
            <w:vAlign w:val="top"/>
          </w:tcPr>
          <w:p>
            <w:pPr>
              <w:spacing w:after="60"/>
            </w:pPr>
            <w:r>
              <w:rPr>
                <w:sz w:val="18"/>
                <w:szCs w:val="18"/>
              </w:rPr>
              <w:t xml:space="preserve">BHCPH lead; PCHC, MercyOne, UnityPoint; Pathways invited.</w:t>
            </w:r>
          </w:p>
        </w:tc>
        <w:tc>
          <w:tcPr>
            <w:tcW w:w="1500" w:type="dxa"/>
            <w:vAlign w:val="top"/>
          </w:tcPr>
          <w:p>
            <w:pPr>
              <w:spacing w:after="60"/>
            </w:pPr>
            <w:r>
              <w:rPr>
                <w:sz w:val="18"/>
                <w:szCs w:val="18"/>
              </w:rPr>
              <w:t xml:space="preserve">Jul-Sep 2026</w:t>
            </w:r>
          </w:p>
        </w:tc>
        <w:tc>
          <w:tcPr>
            <w:tcW w:w="4100" w:type="dxa"/>
            <w:vAlign w:val="top"/>
          </w:tcPr>
          <w:p>
            <w:pPr>
              <w:spacing w:after="60"/>
            </w:pPr>
            <w:r>
              <w:rPr>
                <w:sz w:val="18"/>
                <w:szCs w:val="18"/>
              </w:rPr>
              <w:t xml:space="preserve">Confirm monthly meeting rhythm; approve combined Objectives 1-3 scope; identify PIO/communications contacts; invite Pathways, school district contacts, health educators, care management, CHWs, Thrive/resource mapping, TAC, and housing/transportation liaisons as needed.</w:t>
            </w:r>
          </w:p>
        </w:tc>
        <w:tc>
          <w:tcPr>
            <w:tcW w:w="3000" w:type="dxa"/>
            <w:vAlign w:val="top"/>
          </w:tcPr>
          <w:p>
            <w:pPr>
              <w:spacing w:after="60"/>
            </w:pPr>
            <w:r>
              <w:rPr>
                <w:sz w:val="18"/>
                <w:szCs w:val="18"/>
              </w:rPr>
              <w:t xml:space="preserve">Staff time for convening, agendas, facilitation, and partner outreach.</w:t>
            </w:r>
          </w:p>
        </w:tc>
        <w:tc>
          <w:tcPr>
            <w:tcW w:w="3500" w:type="dxa"/>
            <w:vAlign w:val="top"/>
          </w:tcPr>
          <w:p>
            <w:pPr>
              <w:spacing w:after="60"/>
            </w:pPr>
            <w:r>
              <w:rPr>
                <w:sz w:val="18"/>
                <w:szCs w:val="18"/>
              </w:rPr>
              <w:t xml:space="preserve">Core team confirms charter, meeting schedule, roles, and 5+ partner organizations to engage.</w:t>
            </w:r>
          </w:p>
        </w:tc>
      </w:tr>
      <w:tr>
        <w:tc>
          <w:tcPr>
            <w:tcW w:w="1500" w:type="dxa"/>
            <w:vAlign w:val="top"/>
          </w:tcPr>
          <w:p>
            <w:pPr>
              <w:spacing w:after="60"/>
            </w:pPr>
            <w:r>
              <w:rPr>
                <w:sz w:val="18"/>
                <w:szCs w:val="18"/>
              </w:rPr>
              <w:t xml:space="preserve">Q1: Jul-Sep 2026</w:t>
            </w:r>
          </w:p>
        </w:tc>
        <w:tc>
          <w:tcPr>
            <w:tcW w:w="2600" w:type="dxa"/>
            <w:vAlign w:val="top"/>
          </w:tcPr>
          <w:p>
            <w:pPr>
              <w:spacing w:after="60"/>
            </w:pPr>
            <w:r>
              <w:rPr>
                <w:sz w:val="18"/>
                <w:szCs w:val="18"/>
              </w:rPr>
              <w:t xml:space="preserve">Complete a focused landscape and data review.</w:t>
            </w:r>
          </w:p>
        </w:tc>
        <w:tc>
          <w:tcPr>
            <w:tcW w:w="2500" w:type="dxa"/>
            <w:vAlign w:val="top"/>
          </w:tcPr>
          <w:p>
            <w:pPr>
              <w:spacing w:after="60"/>
            </w:pPr>
            <w:r>
              <w:rPr>
                <w:sz w:val="18"/>
                <w:szCs w:val="18"/>
              </w:rPr>
              <w:t xml:space="preserve">BHCPH data/convening; health systems support.</w:t>
            </w:r>
          </w:p>
        </w:tc>
        <w:tc>
          <w:tcPr>
            <w:tcW w:w="1500" w:type="dxa"/>
            <w:vAlign w:val="top"/>
          </w:tcPr>
          <w:p>
            <w:pPr>
              <w:spacing w:after="60"/>
            </w:pPr>
            <w:r>
              <w:rPr>
                <w:sz w:val="18"/>
                <w:szCs w:val="18"/>
              </w:rPr>
              <w:t xml:space="preserve">Jul-Sep 2026</w:t>
            </w:r>
          </w:p>
        </w:tc>
        <w:tc>
          <w:tcPr>
            <w:tcW w:w="4100" w:type="dxa"/>
            <w:vAlign w:val="top"/>
          </w:tcPr>
          <w:p>
            <w:pPr>
              <w:spacing w:after="60"/>
            </w:pPr>
            <w:r>
              <w:rPr>
                <w:sz w:val="18"/>
                <w:szCs w:val="18"/>
              </w:rPr>
              <w:t xml:space="preserve">Review local cancer/chronic disease burden; prioritize breast and prostate awareness; connect prevention messages to tobacco cessation, radon testing, vaccination, and downstream screening; identify areas and people not currently reached.</w:t>
            </w:r>
          </w:p>
        </w:tc>
        <w:tc>
          <w:tcPr>
            <w:tcW w:w="3000" w:type="dxa"/>
            <w:vAlign w:val="top"/>
          </w:tcPr>
          <w:p>
            <w:pPr>
              <w:spacing w:after="60"/>
            </w:pPr>
            <w:r>
              <w:rPr>
                <w:sz w:val="18"/>
                <w:szCs w:val="18"/>
              </w:rPr>
              <w:t xml:space="preserve">Staff data time; existing CHA/CHIP data; partner screening and utilization knowledge.</w:t>
            </w:r>
          </w:p>
        </w:tc>
        <w:tc>
          <w:tcPr>
            <w:tcW w:w="3500" w:type="dxa"/>
            <w:vAlign w:val="top"/>
          </w:tcPr>
          <w:p>
            <w:pPr>
              <w:spacing w:after="60"/>
            </w:pPr>
            <w:r>
              <w:rPr>
                <w:sz w:val="18"/>
                <w:szCs w:val="18"/>
              </w:rPr>
              <w:t xml:space="preserve">Priority geography/population focus and first-year screening focus are documented.</w:t>
            </w:r>
          </w:p>
        </w:tc>
      </w:tr>
      <w:tr>
        <w:tc>
          <w:tcPr>
            <w:tcW w:w="1500" w:type="dxa"/>
            <w:vAlign w:val="top"/>
          </w:tcPr>
          <w:p>
            <w:pPr>
              <w:spacing w:after="60"/>
            </w:pPr>
            <w:r>
              <w:rPr>
                <w:sz w:val="18"/>
                <w:szCs w:val="18"/>
              </w:rPr>
              <w:t xml:space="preserve">Q2: Oct-Dec 2026</w:t>
            </w:r>
          </w:p>
        </w:tc>
        <w:tc>
          <w:tcPr>
            <w:tcW w:w="2600" w:type="dxa"/>
            <w:vAlign w:val="top"/>
          </w:tcPr>
          <w:p>
            <w:pPr>
              <w:spacing w:after="60"/>
            </w:pPr>
            <w:r>
              <w:rPr>
                <w:sz w:val="18"/>
                <w:szCs w:val="18"/>
              </w:rPr>
              <w:t xml:space="preserve">Build a shared cancer prevention and screening message framework.</w:t>
            </w:r>
          </w:p>
        </w:tc>
        <w:tc>
          <w:tcPr>
            <w:tcW w:w="2500" w:type="dxa"/>
            <w:vAlign w:val="top"/>
          </w:tcPr>
          <w:p>
            <w:pPr>
              <w:spacing w:after="60"/>
            </w:pPr>
            <w:r>
              <w:rPr>
                <w:sz w:val="18"/>
                <w:szCs w:val="18"/>
              </w:rPr>
              <w:t xml:space="preserve">BHCPH communications; PIOs from PCHC, MercyOne, UnityPoint.</w:t>
            </w:r>
          </w:p>
        </w:tc>
        <w:tc>
          <w:tcPr>
            <w:tcW w:w="1500" w:type="dxa"/>
            <w:vAlign w:val="top"/>
          </w:tcPr>
          <w:p>
            <w:pPr>
              <w:spacing w:after="60"/>
            </w:pPr>
            <w:r>
              <w:rPr>
                <w:sz w:val="18"/>
                <w:szCs w:val="18"/>
              </w:rPr>
              <w:t xml:space="preserve">Oct-Dec 2026</w:t>
            </w:r>
          </w:p>
        </w:tc>
        <w:tc>
          <w:tcPr>
            <w:tcW w:w="4100" w:type="dxa"/>
            <w:vAlign w:val="top"/>
          </w:tcPr>
          <w:p>
            <w:pPr>
              <w:spacing w:after="60"/>
            </w:pPr>
            <w:r>
              <w:rPr>
                <w:sz w:val="18"/>
                <w:szCs w:val="18"/>
              </w:rPr>
              <w:t xml:space="preserve">Create common message points for breast/prostate cancer awareness, tobacco cessation, radon, vaccination, and screening; inventory existing campaigns such as Your Life Iowa, Iowa Cancer Consortium, Iowa Immunization Coalition, ALA/ACS resources; avoid duplicating existing campaigns.</w:t>
            </w:r>
          </w:p>
        </w:tc>
        <w:tc>
          <w:tcPr>
            <w:tcW w:w="3000" w:type="dxa"/>
            <w:vAlign w:val="top"/>
          </w:tcPr>
          <w:p>
            <w:pPr>
              <w:spacing w:after="60"/>
            </w:pPr>
            <w:r>
              <w:rPr>
                <w:sz w:val="18"/>
                <w:szCs w:val="18"/>
              </w:rPr>
              <w:t xml:space="preserve">PIO staff time; existing campaign materials; limited design, translation, and plain-language review if needed.</w:t>
            </w:r>
          </w:p>
        </w:tc>
        <w:tc>
          <w:tcPr>
            <w:tcW w:w="3500" w:type="dxa"/>
            <w:vAlign w:val="top"/>
          </w:tcPr>
          <w:p>
            <w:pPr>
              <w:spacing w:after="60"/>
            </w:pPr>
            <w:r>
              <w:rPr>
                <w:sz w:val="18"/>
                <w:szCs w:val="18"/>
              </w:rPr>
              <w:t xml:space="preserve">Shared message toolkit draft completed and approved by communications partners.</w:t>
            </w:r>
          </w:p>
        </w:tc>
      </w:tr>
      <w:tr>
        <w:tc>
          <w:tcPr>
            <w:tcW w:w="1500" w:type="dxa"/>
            <w:vAlign w:val="top"/>
          </w:tcPr>
          <w:p>
            <w:pPr>
              <w:spacing w:after="60"/>
            </w:pPr>
            <w:r>
              <w:rPr>
                <w:sz w:val="18"/>
                <w:szCs w:val="18"/>
              </w:rPr>
              <w:t xml:space="preserve">Q2: Oct-Dec 2026</w:t>
            </w:r>
          </w:p>
        </w:tc>
        <w:tc>
          <w:tcPr>
            <w:tcW w:w="2600" w:type="dxa"/>
            <w:vAlign w:val="top"/>
          </w:tcPr>
          <w:p>
            <w:pPr>
              <w:spacing w:after="60"/>
            </w:pPr>
            <w:r>
              <w:rPr>
                <w:sz w:val="18"/>
                <w:szCs w:val="18"/>
              </w:rPr>
              <w:t xml:space="preserve">Map screening, referral, and follow-up workflows.</w:t>
            </w:r>
          </w:p>
        </w:tc>
        <w:tc>
          <w:tcPr>
            <w:tcW w:w="2500" w:type="dxa"/>
            <w:vAlign w:val="top"/>
          </w:tcPr>
          <w:p>
            <w:pPr>
              <w:spacing w:after="60"/>
            </w:pPr>
            <w:r>
              <w:rPr>
                <w:sz w:val="18"/>
                <w:szCs w:val="18"/>
              </w:rPr>
              <w:t xml:space="preserve">PCHC clinical workflow lead; MercyOne, UnityPoint, BHCPH mobile clinic/care navigation support.</w:t>
            </w:r>
          </w:p>
        </w:tc>
        <w:tc>
          <w:tcPr>
            <w:tcW w:w="1500" w:type="dxa"/>
            <w:vAlign w:val="top"/>
          </w:tcPr>
          <w:p>
            <w:pPr>
              <w:spacing w:after="60"/>
            </w:pPr>
            <w:r>
              <w:rPr>
                <w:sz w:val="18"/>
                <w:szCs w:val="18"/>
              </w:rPr>
              <w:t xml:space="preserve">Oct-Dec 2026</w:t>
            </w:r>
          </w:p>
        </w:tc>
        <w:tc>
          <w:tcPr>
            <w:tcW w:w="4100" w:type="dxa"/>
            <w:vAlign w:val="top"/>
          </w:tcPr>
          <w:p>
            <w:pPr>
              <w:spacing w:after="60"/>
            </w:pPr>
            <w:r>
              <w:rPr>
                <w:sz w:val="18"/>
                <w:szCs w:val="18"/>
              </w:rPr>
              <w:t xml:space="preserve">Map mammogram, prostate, colorectal, cervical, and lung-screening education pathways; document billing/funding barriers; clarify next steps after positive screening; identify PCP/medical home handoffs and specialist notification needs.</w:t>
            </w:r>
          </w:p>
        </w:tc>
        <w:tc>
          <w:tcPr>
            <w:tcW w:w="3000" w:type="dxa"/>
            <w:vAlign w:val="top"/>
          </w:tcPr>
          <w:p>
            <w:pPr>
              <w:spacing w:after="60"/>
            </w:pPr>
            <w:r>
              <w:rPr>
                <w:sz w:val="18"/>
                <w:szCs w:val="18"/>
              </w:rPr>
              <w:t xml:space="preserve">Clinical and care management staff time; billing input; possible meeting time with specialists.</w:t>
            </w:r>
          </w:p>
        </w:tc>
        <w:tc>
          <w:tcPr>
            <w:tcW w:w="3500" w:type="dxa"/>
            <w:vAlign w:val="top"/>
          </w:tcPr>
          <w:p>
            <w:pPr>
              <w:spacing w:after="60"/>
            </w:pPr>
            <w:r>
              <w:rPr>
                <w:sz w:val="18"/>
                <w:szCs w:val="18"/>
              </w:rPr>
              <w:t xml:space="preserve">Draft workflow map completed for at least breast/prostate and one additional screening pathway.</w:t>
            </w:r>
          </w:p>
        </w:tc>
      </w:tr>
      <w:tr>
        <w:tc>
          <w:tcPr>
            <w:tcW w:w="1500" w:type="dxa"/>
            <w:vAlign w:val="top"/>
          </w:tcPr>
          <w:p>
            <w:pPr>
              <w:spacing w:after="60"/>
            </w:pPr>
            <w:r>
              <w:rPr>
                <w:sz w:val="18"/>
                <w:szCs w:val="18"/>
              </w:rPr>
              <w:t xml:space="preserve">Q3: Jan-Mar 2027</w:t>
            </w:r>
          </w:p>
        </w:tc>
        <w:tc>
          <w:tcPr>
            <w:tcW w:w="2600" w:type="dxa"/>
            <w:vAlign w:val="top"/>
          </w:tcPr>
          <w:p>
            <w:pPr>
              <w:spacing w:after="60"/>
            </w:pPr>
            <w:r>
              <w:rPr>
                <w:sz w:val="18"/>
                <w:szCs w:val="18"/>
              </w:rPr>
              <w:t xml:space="preserve">Launch coordinated awareness campaign phase 1.</w:t>
            </w:r>
          </w:p>
        </w:tc>
        <w:tc>
          <w:tcPr>
            <w:tcW w:w="2500" w:type="dxa"/>
            <w:vAlign w:val="top"/>
          </w:tcPr>
          <w:p>
            <w:pPr>
              <w:spacing w:after="60"/>
            </w:pPr>
            <w:r>
              <w:rPr>
                <w:sz w:val="18"/>
                <w:szCs w:val="18"/>
              </w:rPr>
              <w:t xml:space="preserve">BHCPH PIO lead; partner PIOs amplify.</w:t>
            </w:r>
          </w:p>
        </w:tc>
        <w:tc>
          <w:tcPr>
            <w:tcW w:w="1500" w:type="dxa"/>
            <w:vAlign w:val="top"/>
          </w:tcPr>
          <w:p>
            <w:pPr>
              <w:spacing w:after="60"/>
            </w:pPr>
            <w:r>
              <w:rPr>
                <w:sz w:val="18"/>
                <w:szCs w:val="18"/>
              </w:rPr>
              <w:t xml:space="preserve">Jan-Mar 2027</w:t>
            </w:r>
          </w:p>
        </w:tc>
        <w:tc>
          <w:tcPr>
            <w:tcW w:w="4100" w:type="dxa"/>
            <w:vAlign w:val="top"/>
          </w:tcPr>
          <w:p>
            <w:pPr>
              <w:spacing w:after="60"/>
            </w:pPr>
            <w:r>
              <w:rPr>
                <w:sz w:val="18"/>
                <w:szCs w:val="18"/>
              </w:rPr>
              <w:t xml:space="preserve">Release aligned messages through partner channels; emphasize breast/prostate awareness, smoking cessation connection, radon testing, vaccination, and age/risk-appropriate screening; coordinate message timing across organizations.</w:t>
            </w:r>
          </w:p>
        </w:tc>
        <w:tc>
          <w:tcPr>
            <w:tcW w:w="3000" w:type="dxa"/>
            <w:vAlign w:val="top"/>
          </w:tcPr>
          <w:p>
            <w:pPr>
              <w:spacing w:after="60"/>
            </w:pPr>
            <w:r>
              <w:rPr>
                <w:sz w:val="18"/>
                <w:szCs w:val="18"/>
              </w:rPr>
              <w:t xml:space="preserve">Communications staff time; printing/social media costs if used; existing partner channels.</w:t>
            </w:r>
          </w:p>
        </w:tc>
        <w:tc>
          <w:tcPr>
            <w:tcW w:w="3500" w:type="dxa"/>
            <w:vAlign w:val="top"/>
          </w:tcPr>
          <w:p>
            <w:pPr>
              <w:spacing w:after="60"/>
            </w:pPr>
            <w:r>
              <w:rPr>
                <w:sz w:val="18"/>
                <w:szCs w:val="18"/>
              </w:rPr>
              <w:t xml:space="preserve">At least 4 organizations share aligned messages; reach/engagement is tracked quarterly.</w:t>
            </w:r>
          </w:p>
        </w:tc>
      </w:tr>
      <w:tr>
        <w:tc>
          <w:tcPr>
            <w:tcW w:w="1500" w:type="dxa"/>
            <w:vAlign w:val="top"/>
          </w:tcPr>
          <w:p>
            <w:pPr>
              <w:spacing w:after="60"/>
            </w:pPr>
            <w:r>
              <w:rPr>
                <w:sz w:val="18"/>
                <w:szCs w:val="18"/>
              </w:rPr>
              <w:t xml:space="preserve">Q3: Jan-Mar 2027</w:t>
            </w:r>
          </w:p>
        </w:tc>
        <w:tc>
          <w:tcPr>
            <w:tcW w:w="2600" w:type="dxa"/>
            <w:vAlign w:val="top"/>
          </w:tcPr>
          <w:p>
            <w:pPr>
              <w:spacing w:after="60"/>
            </w:pPr>
            <w:r>
              <w:rPr>
                <w:sz w:val="18"/>
                <w:szCs w:val="18"/>
              </w:rPr>
              <w:t xml:space="preserve">Design a small collaborative screening and barrier-reduction pilot.</w:t>
            </w:r>
          </w:p>
        </w:tc>
        <w:tc>
          <w:tcPr>
            <w:tcW w:w="2500" w:type="dxa"/>
            <w:vAlign w:val="top"/>
          </w:tcPr>
          <w:p>
            <w:pPr>
              <w:spacing w:after="60"/>
            </w:pPr>
            <w:r>
              <w:rPr>
                <w:sz w:val="18"/>
                <w:szCs w:val="18"/>
              </w:rPr>
              <w:t xml:space="preserve">PCHC, MercyOne, UnityPoint; BHCPH mobile clinic support as feasible.</w:t>
            </w:r>
          </w:p>
        </w:tc>
        <w:tc>
          <w:tcPr>
            <w:tcW w:w="1500" w:type="dxa"/>
            <w:vAlign w:val="top"/>
          </w:tcPr>
          <w:p>
            <w:pPr>
              <w:spacing w:after="60"/>
            </w:pPr>
            <w:r>
              <w:rPr>
                <w:sz w:val="18"/>
                <w:szCs w:val="18"/>
              </w:rPr>
              <w:t xml:space="preserve">Jan-Mar 2027</w:t>
            </w:r>
          </w:p>
        </w:tc>
        <w:tc>
          <w:tcPr>
            <w:tcW w:w="4100" w:type="dxa"/>
            <w:vAlign w:val="top"/>
          </w:tcPr>
          <w:p>
            <w:pPr>
              <w:spacing w:after="60"/>
            </w:pPr>
            <w:r>
              <w:rPr>
                <w:sz w:val="18"/>
                <w:szCs w:val="18"/>
              </w:rPr>
              <w:t xml:space="preserve">Choose one small pilot approach based on data and feasibility; define target location/audience; confirm staffing, billing, supplies, incentives, transportation supports, charity care/discount education, and follow-up process.</w:t>
            </w:r>
          </w:p>
        </w:tc>
        <w:tc>
          <w:tcPr>
            <w:tcW w:w="3000" w:type="dxa"/>
            <w:vAlign w:val="top"/>
          </w:tcPr>
          <w:p>
            <w:pPr>
              <w:spacing w:after="60"/>
            </w:pPr>
            <w:r>
              <w:rPr>
                <w:sz w:val="18"/>
                <w:szCs w:val="18"/>
              </w:rPr>
              <w:t xml:space="preserve">Staff planning time; possible test/supply costs; possible gas cards/incentives; transportation partner time.</w:t>
            </w:r>
          </w:p>
        </w:tc>
        <w:tc>
          <w:tcPr>
            <w:tcW w:w="3500" w:type="dxa"/>
            <w:vAlign w:val="top"/>
          </w:tcPr>
          <w:p>
            <w:pPr>
              <w:spacing w:after="60"/>
            </w:pPr>
            <w:r>
              <w:rPr>
                <w:sz w:val="18"/>
                <w:szCs w:val="18"/>
              </w:rPr>
              <w:t xml:space="preserve">Pilot plan approved, including follow-up workflow and resource needs.</w:t>
            </w:r>
          </w:p>
        </w:tc>
      </w:tr>
      <w:tr>
        <w:tc>
          <w:tcPr>
            <w:tcW w:w="1500" w:type="dxa"/>
            <w:vAlign w:val="top"/>
          </w:tcPr>
          <w:p>
            <w:pPr>
              <w:spacing w:after="60"/>
            </w:pPr>
            <w:r>
              <w:rPr>
                <w:sz w:val="18"/>
                <w:szCs w:val="18"/>
              </w:rPr>
              <w:t xml:space="preserve">Q4: Apr-Jun 2027</w:t>
            </w:r>
          </w:p>
        </w:tc>
        <w:tc>
          <w:tcPr>
            <w:tcW w:w="2600" w:type="dxa"/>
            <w:vAlign w:val="top"/>
          </w:tcPr>
          <w:p>
            <w:pPr>
              <w:spacing w:after="60"/>
            </w:pPr>
            <w:r>
              <w:rPr>
                <w:sz w:val="18"/>
                <w:szCs w:val="18"/>
              </w:rPr>
              <w:t xml:space="preserve">Complete campaign phase 1 by June 2027 and shift to ongoing shared communications system.</w:t>
            </w:r>
          </w:p>
        </w:tc>
        <w:tc>
          <w:tcPr>
            <w:tcW w:w="2500" w:type="dxa"/>
            <w:vAlign w:val="top"/>
          </w:tcPr>
          <w:p>
            <w:pPr>
              <w:spacing w:after="60"/>
            </w:pPr>
            <w:r>
              <w:rPr>
                <w:sz w:val="18"/>
                <w:szCs w:val="18"/>
              </w:rPr>
              <w:t xml:space="preserve">BHCPH and partner PIOs.</w:t>
            </w:r>
          </w:p>
        </w:tc>
        <w:tc>
          <w:tcPr>
            <w:tcW w:w="1500" w:type="dxa"/>
            <w:vAlign w:val="top"/>
          </w:tcPr>
          <w:p>
            <w:pPr>
              <w:spacing w:after="60"/>
            </w:pPr>
            <w:r>
              <w:rPr>
                <w:sz w:val="18"/>
                <w:szCs w:val="18"/>
              </w:rPr>
              <w:t xml:space="preserve">Apr-Jun 2027</w:t>
            </w:r>
          </w:p>
        </w:tc>
        <w:tc>
          <w:tcPr>
            <w:tcW w:w="4100" w:type="dxa"/>
            <w:vAlign w:val="top"/>
          </w:tcPr>
          <w:p>
            <w:pPr>
              <w:spacing w:after="60"/>
            </w:pPr>
            <w:r>
              <w:rPr>
                <w:sz w:val="18"/>
                <w:szCs w:val="18"/>
              </w:rPr>
              <w:t xml:space="preserve">Run final phase of initial awareness campaign; document lessons learned; set process for future shared topics so PIOs can coordinate beyond one campaign.</w:t>
            </w:r>
          </w:p>
        </w:tc>
        <w:tc>
          <w:tcPr>
            <w:tcW w:w="3000" w:type="dxa"/>
            <w:vAlign w:val="top"/>
          </w:tcPr>
          <w:p>
            <w:pPr>
              <w:spacing w:after="60"/>
            </w:pPr>
            <w:r>
              <w:rPr>
                <w:sz w:val="18"/>
                <w:szCs w:val="18"/>
              </w:rPr>
              <w:t xml:space="preserve">PIO staff time; evaluation support; possible design/printing costs.</w:t>
            </w:r>
          </w:p>
        </w:tc>
        <w:tc>
          <w:tcPr>
            <w:tcW w:w="3500" w:type="dxa"/>
            <w:vAlign w:val="top"/>
          </w:tcPr>
          <w:p>
            <w:pPr>
              <w:spacing w:after="60"/>
            </w:pPr>
            <w:r>
              <w:rPr>
                <w:sz w:val="18"/>
                <w:szCs w:val="18"/>
              </w:rPr>
              <w:t xml:space="preserve">Campaign summary completed; standing shared-communications process adopted.</w:t>
            </w:r>
          </w:p>
        </w:tc>
      </w:tr>
      <w:tr>
        <w:tc>
          <w:tcPr>
            <w:tcW w:w="1500" w:type="dxa"/>
            <w:vAlign w:val="top"/>
          </w:tcPr>
          <w:p>
            <w:pPr>
              <w:spacing w:after="60"/>
            </w:pPr>
            <w:r>
              <w:rPr>
                <w:sz w:val="18"/>
                <w:szCs w:val="18"/>
              </w:rPr>
              <w:t xml:space="preserve">Q4: Apr-Jun 2027</w:t>
            </w:r>
          </w:p>
        </w:tc>
        <w:tc>
          <w:tcPr>
            <w:tcW w:w="2600" w:type="dxa"/>
            <w:vAlign w:val="top"/>
          </w:tcPr>
          <w:p>
            <w:pPr>
              <w:spacing w:after="60"/>
            </w:pPr>
            <w:r>
              <w:rPr>
                <w:sz w:val="18"/>
                <w:szCs w:val="18"/>
              </w:rPr>
              <w:t xml:space="preserve">Implement first small screening/barrier-reduction pilot.</w:t>
            </w:r>
          </w:p>
        </w:tc>
        <w:tc>
          <w:tcPr>
            <w:tcW w:w="2500" w:type="dxa"/>
            <w:vAlign w:val="top"/>
          </w:tcPr>
          <w:p>
            <w:pPr>
              <w:spacing w:after="60"/>
            </w:pPr>
            <w:r>
              <w:rPr>
                <w:sz w:val="18"/>
                <w:szCs w:val="18"/>
              </w:rPr>
              <w:t xml:space="preserve">Clinical partners lead; BHCPH and community partners support.</w:t>
            </w:r>
          </w:p>
        </w:tc>
        <w:tc>
          <w:tcPr>
            <w:tcW w:w="1500" w:type="dxa"/>
            <w:vAlign w:val="top"/>
          </w:tcPr>
          <w:p>
            <w:pPr>
              <w:spacing w:after="60"/>
            </w:pPr>
            <w:r>
              <w:rPr>
                <w:sz w:val="18"/>
                <w:szCs w:val="18"/>
              </w:rPr>
              <w:t xml:space="preserve">Apr-Jun 2027</w:t>
            </w:r>
          </w:p>
        </w:tc>
        <w:tc>
          <w:tcPr>
            <w:tcW w:w="4100" w:type="dxa"/>
            <w:vAlign w:val="top"/>
          </w:tcPr>
          <w:p>
            <w:pPr>
              <w:spacing w:after="60"/>
            </w:pPr>
            <w:r>
              <w:rPr>
                <w:sz w:val="18"/>
                <w:szCs w:val="18"/>
              </w:rPr>
              <w:t xml:space="preserve">Conduct pilot outreach or screening activity; track attendance, first-time screenings where possible, referral completion, barriers identified, and follow-up needs; connect participants to PCP/medical home when feasible.</w:t>
            </w:r>
          </w:p>
        </w:tc>
        <w:tc>
          <w:tcPr>
            <w:tcW w:w="3000" w:type="dxa"/>
            <w:vAlign w:val="top"/>
          </w:tcPr>
          <w:p>
            <w:pPr>
              <w:spacing w:after="60"/>
            </w:pPr>
            <w:r>
              <w:rPr>
                <w:sz w:val="18"/>
                <w:szCs w:val="18"/>
              </w:rPr>
              <w:t xml:space="preserve">Clinical staffing; screening supplies/tests; mobile clinic if used; incentives/transportation support if available.</w:t>
            </w:r>
          </w:p>
        </w:tc>
        <w:tc>
          <w:tcPr>
            <w:tcW w:w="3500" w:type="dxa"/>
            <w:vAlign w:val="top"/>
          </w:tcPr>
          <w:p>
            <w:pPr>
              <w:spacing w:after="60"/>
            </w:pPr>
            <w:r>
              <w:rPr>
                <w:sz w:val="18"/>
                <w:szCs w:val="18"/>
              </w:rPr>
              <w:t xml:space="preserve">Pilot completed; participant count, first-time screening count, and follow-up needs documented.</w:t>
            </w:r>
          </w:p>
        </w:tc>
      </w:tr>
      <w:tr>
        <w:tc>
          <w:tcPr>
            <w:tcW w:w="1500" w:type="dxa"/>
            <w:vAlign w:val="top"/>
          </w:tcPr>
          <w:p>
            <w:pPr>
              <w:spacing w:after="60"/>
            </w:pPr>
            <w:r>
              <w:rPr>
                <w:sz w:val="18"/>
                <w:szCs w:val="18"/>
              </w:rPr>
              <w:t xml:space="preserve">Q5: Jul-Sep 2027</w:t>
            </w:r>
          </w:p>
        </w:tc>
        <w:tc>
          <w:tcPr>
            <w:tcW w:w="2600" w:type="dxa"/>
            <w:vAlign w:val="top"/>
          </w:tcPr>
          <w:p>
            <w:pPr>
              <w:spacing w:after="60"/>
            </w:pPr>
            <w:r>
              <w:rPr>
                <w:sz w:val="18"/>
                <w:szCs w:val="18"/>
              </w:rPr>
              <w:t xml:space="preserve">Refine campaign and pilot based on results.</w:t>
            </w:r>
          </w:p>
        </w:tc>
        <w:tc>
          <w:tcPr>
            <w:tcW w:w="2500" w:type="dxa"/>
            <w:vAlign w:val="top"/>
          </w:tcPr>
          <w:p>
            <w:pPr>
              <w:spacing w:after="60"/>
            </w:pPr>
            <w:r>
              <w:rPr>
                <w:sz w:val="18"/>
                <w:szCs w:val="18"/>
              </w:rPr>
              <w:t xml:space="preserve">Core team; PIOs; clinical workflow leads.</w:t>
            </w:r>
          </w:p>
        </w:tc>
        <w:tc>
          <w:tcPr>
            <w:tcW w:w="1500" w:type="dxa"/>
            <w:vAlign w:val="top"/>
          </w:tcPr>
          <w:p>
            <w:pPr>
              <w:spacing w:after="60"/>
            </w:pPr>
            <w:r>
              <w:rPr>
                <w:sz w:val="18"/>
                <w:szCs w:val="18"/>
              </w:rPr>
              <w:t xml:space="preserve">Jul-Sep 2027</w:t>
            </w:r>
          </w:p>
        </w:tc>
        <w:tc>
          <w:tcPr>
            <w:tcW w:w="4100" w:type="dxa"/>
            <w:vAlign w:val="top"/>
          </w:tcPr>
          <w:p>
            <w:pPr>
              <w:spacing w:after="60"/>
            </w:pPr>
            <w:r>
              <w:rPr>
                <w:sz w:val="18"/>
                <w:szCs w:val="18"/>
              </w:rPr>
              <w:t xml:space="preserve">Review campaign metrics and pilot data; adjust messages, locations, referral steps, and partner roles; decide whether to add radon kit distribution, tobacco referral prompts, or vaccine education touchpoints.</w:t>
            </w:r>
          </w:p>
        </w:tc>
        <w:tc>
          <w:tcPr>
            <w:tcW w:w="3000" w:type="dxa"/>
            <w:vAlign w:val="top"/>
          </w:tcPr>
          <w:p>
            <w:pPr>
              <w:spacing w:after="60"/>
            </w:pPr>
            <w:r>
              <w:rPr>
                <w:sz w:val="18"/>
                <w:szCs w:val="18"/>
              </w:rPr>
              <w:t xml:space="preserve">Staff analysis time; meeting facilitation; existing program materials.</w:t>
            </w:r>
          </w:p>
        </w:tc>
        <w:tc>
          <w:tcPr>
            <w:tcW w:w="3500" w:type="dxa"/>
            <w:vAlign w:val="top"/>
          </w:tcPr>
          <w:p>
            <w:pPr>
              <w:spacing w:after="60"/>
            </w:pPr>
            <w:r>
              <w:rPr>
                <w:sz w:val="18"/>
                <w:szCs w:val="18"/>
              </w:rPr>
              <w:t xml:space="preserve">Core team approves revised Year 2 implementation approach.</w:t>
            </w:r>
          </w:p>
        </w:tc>
      </w:tr>
      <w:tr>
        <w:tc>
          <w:tcPr>
            <w:tcW w:w="1500" w:type="dxa"/>
            <w:vAlign w:val="top"/>
          </w:tcPr>
          <w:p>
            <w:pPr>
              <w:spacing w:after="60"/>
            </w:pPr>
            <w:r>
              <w:rPr>
                <w:sz w:val="18"/>
                <w:szCs w:val="18"/>
              </w:rPr>
              <w:t xml:space="preserve">Q5: Jul-Sep 2027</w:t>
            </w:r>
          </w:p>
        </w:tc>
        <w:tc>
          <w:tcPr>
            <w:tcW w:w="2600" w:type="dxa"/>
            <w:vAlign w:val="top"/>
          </w:tcPr>
          <w:p>
            <w:pPr>
              <w:spacing w:after="60"/>
            </w:pPr>
            <w:r>
              <w:rPr>
                <w:sz w:val="18"/>
                <w:szCs w:val="18"/>
              </w:rPr>
              <w:t xml:space="preserve">Strengthen tobacco cessation and radon referral pathways.</w:t>
            </w:r>
          </w:p>
        </w:tc>
        <w:tc>
          <w:tcPr>
            <w:tcW w:w="2500" w:type="dxa"/>
            <w:vAlign w:val="top"/>
          </w:tcPr>
          <w:p>
            <w:pPr>
              <w:spacing w:after="60"/>
            </w:pPr>
            <w:r>
              <w:rPr>
                <w:sz w:val="18"/>
                <w:szCs w:val="18"/>
              </w:rPr>
              <w:t xml:space="preserve">Pathways, BHCPH, PCHC, MercyOne, UnityPoint.</w:t>
            </w:r>
          </w:p>
        </w:tc>
        <w:tc>
          <w:tcPr>
            <w:tcW w:w="1500" w:type="dxa"/>
            <w:vAlign w:val="top"/>
          </w:tcPr>
          <w:p>
            <w:pPr>
              <w:spacing w:after="60"/>
            </w:pPr>
            <w:r>
              <w:rPr>
                <w:sz w:val="18"/>
                <w:szCs w:val="18"/>
              </w:rPr>
              <w:t xml:space="preserve">Jul-Sep 2027</w:t>
            </w:r>
          </w:p>
        </w:tc>
        <w:tc>
          <w:tcPr>
            <w:tcW w:w="4100" w:type="dxa"/>
            <w:vAlign w:val="top"/>
          </w:tcPr>
          <w:p>
            <w:pPr>
              <w:spacing w:after="60"/>
            </w:pPr>
            <w:r>
              <w:rPr>
                <w:sz w:val="18"/>
                <w:szCs w:val="18"/>
              </w:rPr>
              <w:t xml:space="preserve">Clarify Iowa Quitline/cessation referral process; identify low/no-cost supports and MCO coverage; connect radon education/testing to lung cancer awareness; define referral tracking options within existing workflows.</w:t>
            </w:r>
          </w:p>
        </w:tc>
        <w:tc>
          <w:tcPr>
            <w:tcW w:w="3000" w:type="dxa"/>
            <w:vAlign w:val="top"/>
          </w:tcPr>
          <w:p>
            <w:pPr>
              <w:spacing w:after="60"/>
            </w:pPr>
            <w:r>
              <w:rPr>
                <w:sz w:val="18"/>
                <w:szCs w:val="18"/>
              </w:rPr>
              <w:t xml:space="preserve">Staff workflow time; Pathways expertise; radon kit resources; MCO information.</w:t>
            </w:r>
          </w:p>
        </w:tc>
        <w:tc>
          <w:tcPr>
            <w:tcW w:w="3500" w:type="dxa"/>
            <w:vAlign w:val="top"/>
          </w:tcPr>
          <w:p>
            <w:pPr>
              <w:spacing w:after="60"/>
            </w:pPr>
            <w:r>
              <w:rPr>
                <w:sz w:val="18"/>
                <w:szCs w:val="18"/>
              </w:rPr>
              <w:t xml:space="preserve">Standard cessation/radon referral guide completed for partner use.</w:t>
            </w:r>
          </w:p>
        </w:tc>
      </w:tr>
      <w:tr>
        <w:tc>
          <w:tcPr>
            <w:tcW w:w="1500" w:type="dxa"/>
            <w:vAlign w:val="top"/>
          </w:tcPr>
          <w:p>
            <w:pPr>
              <w:spacing w:after="60"/>
            </w:pPr>
            <w:r>
              <w:rPr>
                <w:sz w:val="18"/>
                <w:szCs w:val="18"/>
              </w:rPr>
              <w:t xml:space="preserve">Q6: Oct-Dec 2027</w:t>
            </w:r>
          </w:p>
        </w:tc>
        <w:tc>
          <w:tcPr>
            <w:tcW w:w="2600" w:type="dxa"/>
            <w:vAlign w:val="top"/>
          </w:tcPr>
          <w:p>
            <w:pPr>
              <w:spacing w:after="60"/>
            </w:pPr>
            <w:r>
              <w:rPr>
                <w:sz w:val="18"/>
                <w:szCs w:val="18"/>
              </w:rPr>
              <w:t xml:space="preserve">Expand outreach and barrier-reduction strategies.</w:t>
            </w:r>
          </w:p>
        </w:tc>
        <w:tc>
          <w:tcPr>
            <w:tcW w:w="2500" w:type="dxa"/>
            <w:vAlign w:val="top"/>
          </w:tcPr>
          <w:p>
            <w:pPr>
              <w:spacing w:after="60"/>
            </w:pPr>
            <w:r>
              <w:rPr>
                <w:sz w:val="18"/>
                <w:szCs w:val="18"/>
              </w:rPr>
              <w:t xml:space="preserve">Core team; community partners; care managers/CHWs.</w:t>
            </w:r>
          </w:p>
        </w:tc>
        <w:tc>
          <w:tcPr>
            <w:tcW w:w="1500" w:type="dxa"/>
            <w:vAlign w:val="top"/>
          </w:tcPr>
          <w:p>
            <w:pPr>
              <w:spacing w:after="60"/>
            </w:pPr>
            <w:r>
              <w:rPr>
                <w:sz w:val="18"/>
                <w:szCs w:val="18"/>
              </w:rPr>
              <w:t xml:space="preserve">Oct-Dec 2027</w:t>
            </w:r>
          </w:p>
        </w:tc>
        <w:tc>
          <w:tcPr>
            <w:tcW w:w="4100" w:type="dxa"/>
            <w:vAlign w:val="top"/>
          </w:tcPr>
          <w:p>
            <w:pPr>
              <w:spacing w:after="60"/>
            </w:pPr>
            <w:r>
              <w:rPr>
                <w:sz w:val="18"/>
                <w:szCs w:val="18"/>
              </w:rPr>
              <w:t xml:space="preserve">Expand to additional site or partner channel; include transportation, appointment availability, cost, charity care/discount awareness, and follow-up support; coordinate with TAC/housing/food partners when barriers overlap.</w:t>
            </w:r>
          </w:p>
        </w:tc>
        <w:tc>
          <w:tcPr>
            <w:tcW w:w="3000" w:type="dxa"/>
            <w:vAlign w:val="top"/>
          </w:tcPr>
          <w:p>
            <w:pPr>
              <w:spacing w:after="60"/>
            </w:pPr>
            <w:r>
              <w:rPr>
                <w:sz w:val="18"/>
                <w:szCs w:val="18"/>
              </w:rPr>
              <w:t xml:space="preserve">Staff time; transportation coordination; possible incentives; possible local foundation/grant exploration.</w:t>
            </w:r>
          </w:p>
        </w:tc>
        <w:tc>
          <w:tcPr>
            <w:tcW w:w="3500" w:type="dxa"/>
            <w:vAlign w:val="top"/>
          </w:tcPr>
          <w:p>
            <w:pPr>
              <w:spacing w:after="60"/>
            </w:pPr>
            <w:r>
              <w:rPr>
                <w:sz w:val="18"/>
                <w:szCs w:val="18"/>
              </w:rPr>
              <w:t xml:space="preserve">At least 2 barrier-reduction strategies are active and tracked.</w:t>
            </w:r>
          </w:p>
        </w:tc>
      </w:tr>
      <w:tr>
        <w:tc>
          <w:tcPr>
            <w:tcW w:w="1500" w:type="dxa"/>
            <w:vAlign w:val="top"/>
          </w:tcPr>
          <w:p>
            <w:pPr>
              <w:spacing w:after="60"/>
            </w:pPr>
            <w:r>
              <w:rPr>
                <w:sz w:val="18"/>
                <w:szCs w:val="18"/>
              </w:rPr>
              <w:t xml:space="preserve">Q6: Oct-Dec 2027</w:t>
            </w:r>
          </w:p>
        </w:tc>
        <w:tc>
          <w:tcPr>
            <w:tcW w:w="2600" w:type="dxa"/>
            <w:vAlign w:val="top"/>
          </w:tcPr>
          <w:p>
            <w:pPr>
              <w:spacing w:after="60"/>
            </w:pPr>
            <w:r>
              <w:rPr>
                <w:sz w:val="18"/>
                <w:szCs w:val="18"/>
              </w:rPr>
              <w:t xml:space="preserve">Compare resource directories and navigation tools.</w:t>
            </w:r>
          </w:p>
        </w:tc>
        <w:tc>
          <w:tcPr>
            <w:tcW w:w="2500" w:type="dxa"/>
            <w:vAlign w:val="top"/>
          </w:tcPr>
          <w:p>
            <w:pPr>
              <w:spacing w:after="60"/>
            </w:pPr>
            <w:r>
              <w:rPr>
                <w:sz w:val="18"/>
                <w:szCs w:val="18"/>
              </w:rPr>
              <w:t xml:space="preserve">BHCPH, Thrive, BHC social work, PCHC, MercyOne, UnityPoint.</w:t>
            </w:r>
          </w:p>
        </w:tc>
        <w:tc>
          <w:tcPr>
            <w:tcW w:w="1500" w:type="dxa"/>
            <w:vAlign w:val="top"/>
          </w:tcPr>
          <w:p>
            <w:pPr>
              <w:spacing w:after="60"/>
            </w:pPr>
            <w:r>
              <w:rPr>
                <w:sz w:val="18"/>
                <w:szCs w:val="18"/>
              </w:rPr>
              <w:t xml:space="preserve">Oct-Dec 2027</w:t>
            </w:r>
          </w:p>
        </w:tc>
        <w:tc>
          <w:tcPr>
            <w:tcW w:w="4100" w:type="dxa"/>
            <w:vAlign w:val="top"/>
          </w:tcPr>
          <w:p>
            <w:pPr>
              <w:spacing w:after="60"/>
            </w:pPr>
            <w:r>
              <w:rPr>
                <w:sz w:val="18"/>
                <w:szCs w:val="18"/>
              </w:rPr>
              <w:t xml:space="preserve">Compare Thrive, 211, FindHelp, internal care-management lists, and partner referral processes; identify duplication, gaps, update responsibilities, and barriers when resources are unavailable or waitlisted.</w:t>
            </w:r>
          </w:p>
        </w:tc>
        <w:tc>
          <w:tcPr>
            <w:tcW w:w="3000" w:type="dxa"/>
            <w:vAlign w:val="top"/>
          </w:tcPr>
          <w:p>
            <w:pPr>
              <w:spacing w:after="60"/>
            </w:pPr>
            <w:r>
              <w:rPr>
                <w:sz w:val="18"/>
                <w:szCs w:val="18"/>
              </w:rPr>
              <w:t xml:space="preserve">Staff time; resource/navigation platform access; liaison participation.</w:t>
            </w:r>
          </w:p>
        </w:tc>
        <w:tc>
          <w:tcPr>
            <w:tcW w:w="3500" w:type="dxa"/>
            <w:vAlign w:val="top"/>
          </w:tcPr>
          <w:p>
            <w:pPr>
              <w:spacing w:after="60"/>
            </w:pPr>
            <w:r>
              <w:rPr>
                <w:sz w:val="18"/>
                <w:szCs w:val="18"/>
              </w:rPr>
              <w:t xml:space="preserve">Directory/referral gap summary completed with recommended shared update process.</w:t>
            </w:r>
          </w:p>
        </w:tc>
      </w:tr>
      <w:tr>
        <w:tc>
          <w:tcPr>
            <w:tcW w:w="1500" w:type="dxa"/>
            <w:vAlign w:val="top"/>
          </w:tcPr>
          <w:p>
            <w:pPr>
              <w:spacing w:after="60"/>
            </w:pPr>
            <w:r>
              <w:rPr>
                <w:sz w:val="18"/>
                <w:szCs w:val="18"/>
              </w:rPr>
              <w:t xml:space="preserve">Q7: Jan-Mar 2028</w:t>
            </w:r>
          </w:p>
        </w:tc>
        <w:tc>
          <w:tcPr>
            <w:tcW w:w="2600" w:type="dxa"/>
            <w:vAlign w:val="top"/>
          </w:tcPr>
          <w:p>
            <w:pPr>
              <w:spacing w:after="60"/>
            </w:pPr>
            <w:r>
              <w:rPr>
                <w:sz w:val="18"/>
                <w:szCs w:val="18"/>
              </w:rPr>
              <w:t xml:space="preserve">Implement shared resource and referral coordination improvements.</w:t>
            </w:r>
          </w:p>
        </w:tc>
        <w:tc>
          <w:tcPr>
            <w:tcW w:w="2500" w:type="dxa"/>
            <w:vAlign w:val="top"/>
          </w:tcPr>
          <w:p>
            <w:pPr>
              <w:spacing w:after="60"/>
            </w:pPr>
            <w:r>
              <w:rPr>
                <w:sz w:val="18"/>
                <w:szCs w:val="18"/>
              </w:rPr>
              <w:t xml:space="preserve">BHCPH convenes; Thrive/resource partners and clinical partners support.</w:t>
            </w:r>
          </w:p>
        </w:tc>
        <w:tc>
          <w:tcPr>
            <w:tcW w:w="1500" w:type="dxa"/>
            <w:vAlign w:val="top"/>
          </w:tcPr>
          <w:p>
            <w:pPr>
              <w:spacing w:after="60"/>
            </w:pPr>
            <w:r>
              <w:rPr>
                <w:sz w:val="18"/>
                <w:szCs w:val="18"/>
              </w:rPr>
              <w:t xml:space="preserve">Jan-Mar 2028</w:t>
            </w:r>
          </w:p>
        </w:tc>
        <w:tc>
          <w:tcPr>
            <w:tcW w:w="4100" w:type="dxa"/>
            <w:vAlign w:val="top"/>
          </w:tcPr>
          <w:p>
            <w:pPr>
              <w:spacing w:after="60"/>
            </w:pPr>
            <w:r>
              <w:rPr>
                <w:sz w:val="18"/>
                <w:szCs w:val="18"/>
              </w:rPr>
              <w:t xml:space="preserve">Pilot a shared update process for priority cancer-related social/economic resources; clarify intake information needed by partners; create training topic list for CHWs, care managers, and navigators.</w:t>
            </w:r>
          </w:p>
        </w:tc>
        <w:tc>
          <w:tcPr>
            <w:tcW w:w="3000" w:type="dxa"/>
            <w:vAlign w:val="top"/>
          </w:tcPr>
          <w:p>
            <w:pPr>
              <w:spacing w:after="60"/>
            </w:pPr>
            <w:r>
              <w:rPr>
                <w:sz w:val="18"/>
                <w:szCs w:val="18"/>
              </w:rPr>
              <w:t xml:space="preserve">Staff coordination time; possible training materials; technology/platform meeting time.</w:t>
            </w:r>
          </w:p>
        </w:tc>
        <w:tc>
          <w:tcPr>
            <w:tcW w:w="3500" w:type="dxa"/>
            <w:vAlign w:val="top"/>
          </w:tcPr>
          <w:p>
            <w:pPr>
              <w:spacing w:after="60"/>
            </w:pPr>
            <w:r>
              <w:rPr>
                <w:sz w:val="18"/>
                <w:szCs w:val="18"/>
              </w:rPr>
              <w:t xml:space="preserve">Shared update process piloted; training plan drafted.</w:t>
            </w:r>
          </w:p>
        </w:tc>
      </w:tr>
      <w:tr>
        <w:tc>
          <w:tcPr>
            <w:tcW w:w="1500" w:type="dxa"/>
            <w:vAlign w:val="top"/>
          </w:tcPr>
          <w:p>
            <w:pPr>
              <w:spacing w:after="60"/>
            </w:pPr>
            <w:r>
              <w:rPr>
                <w:sz w:val="18"/>
                <w:szCs w:val="18"/>
              </w:rPr>
              <w:t xml:space="preserve">Q7: Jan-Mar 2028</w:t>
            </w:r>
          </w:p>
        </w:tc>
        <w:tc>
          <w:tcPr>
            <w:tcW w:w="2600" w:type="dxa"/>
            <w:vAlign w:val="top"/>
          </w:tcPr>
          <w:p>
            <w:pPr>
              <w:spacing w:after="60"/>
            </w:pPr>
            <w:r>
              <w:rPr>
                <w:sz w:val="18"/>
                <w:szCs w:val="18"/>
              </w:rPr>
              <w:t xml:space="preserve">Continue coordinated prevention/screening communications.</w:t>
            </w:r>
          </w:p>
        </w:tc>
        <w:tc>
          <w:tcPr>
            <w:tcW w:w="2500" w:type="dxa"/>
            <w:vAlign w:val="top"/>
          </w:tcPr>
          <w:p>
            <w:pPr>
              <w:spacing w:after="60"/>
            </w:pPr>
            <w:r>
              <w:rPr>
                <w:sz w:val="18"/>
                <w:szCs w:val="18"/>
              </w:rPr>
              <w:t xml:space="preserve">Partner PIO group.</w:t>
            </w:r>
          </w:p>
        </w:tc>
        <w:tc>
          <w:tcPr>
            <w:tcW w:w="1500" w:type="dxa"/>
            <w:vAlign w:val="top"/>
          </w:tcPr>
          <w:p>
            <w:pPr>
              <w:spacing w:after="60"/>
            </w:pPr>
            <w:r>
              <w:rPr>
                <w:sz w:val="18"/>
                <w:szCs w:val="18"/>
              </w:rPr>
              <w:t xml:space="preserve">Jan-Mar 2028</w:t>
            </w:r>
          </w:p>
        </w:tc>
        <w:tc>
          <w:tcPr>
            <w:tcW w:w="4100" w:type="dxa"/>
            <w:vAlign w:val="top"/>
          </w:tcPr>
          <w:p>
            <w:pPr>
              <w:spacing w:after="60"/>
            </w:pPr>
            <w:r>
              <w:rPr>
                <w:sz w:val="18"/>
                <w:szCs w:val="18"/>
              </w:rPr>
              <w:t xml:space="preserve">Use shared communications system for cancer prevention, tobacco cessation, radon testing, vaccination, and screening reminders; adapt message channels based on reach data.</w:t>
            </w:r>
          </w:p>
        </w:tc>
        <w:tc>
          <w:tcPr>
            <w:tcW w:w="3000" w:type="dxa"/>
            <w:vAlign w:val="top"/>
          </w:tcPr>
          <w:p>
            <w:pPr>
              <w:spacing w:after="60"/>
            </w:pPr>
            <w:r>
              <w:rPr>
                <w:sz w:val="18"/>
                <w:szCs w:val="18"/>
              </w:rPr>
              <w:t xml:space="preserve">PIO time; existing channels; limited paid/printed outreach if available.</w:t>
            </w:r>
          </w:p>
        </w:tc>
        <w:tc>
          <w:tcPr>
            <w:tcW w:w="3500" w:type="dxa"/>
            <w:vAlign w:val="top"/>
          </w:tcPr>
          <w:p>
            <w:pPr>
              <w:spacing w:after="60"/>
            </w:pPr>
            <w:r>
              <w:rPr>
                <w:sz w:val="18"/>
                <w:szCs w:val="18"/>
              </w:rPr>
              <w:t xml:space="preserve">Quarterly message calendar completed and used by multiple partners.</w:t>
            </w:r>
          </w:p>
        </w:tc>
      </w:tr>
      <w:tr>
        <w:tc>
          <w:tcPr>
            <w:tcW w:w="1500" w:type="dxa"/>
            <w:vAlign w:val="top"/>
          </w:tcPr>
          <w:p>
            <w:pPr>
              <w:spacing w:after="60"/>
            </w:pPr>
            <w:r>
              <w:rPr>
                <w:sz w:val="18"/>
                <w:szCs w:val="18"/>
              </w:rPr>
              <w:t xml:space="preserve">Q8: Apr-Jun 2028</w:t>
            </w:r>
          </w:p>
        </w:tc>
        <w:tc>
          <w:tcPr>
            <w:tcW w:w="2600" w:type="dxa"/>
            <w:vAlign w:val="top"/>
          </w:tcPr>
          <w:p>
            <w:pPr>
              <w:spacing w:after="60"/>
            </w:pPr>
            <w:r>
              <w:rPr>
                <w:sz w:val="18"/>
                <w:szCs w:val="18"/>
              </w:rPr>
              <w:t xml:space="preserve">Expand screening/referral model to additional setting or screening focus.</w:t>
            </w:r>
          </w:p>
        </w:tc>
        <w:tc>
          <w:tcPr>
            <w:tcW w:w="2500" w:type="dxa"/>
            <w:vAlign w:val="top"/>
          </w:tcPr>
          <w:p>
            <w:pPr>
              <w:spacing w:after="60"/>
            </w:pPr>
            <w:r>
              <w:rPr>
                <w:sz w:val="18"/>
                <w:szCs w:val="18"/>
              </w:rPr>
              <w:t xml:space="preserve">Clinical partners; BHCPH mobile clinic support as feasible.</w:t>
            </w:r>
          </w:p>
        </w:tc>
        <w:tc>
          <w:tcPr>
            <w:tcW w:w="1500" w:type="dxa"/>
            <w:vAlign w:val="top"/>
          </w:tcPr>
          <w:p>
            <w:pPr>
              <w:spacing w:after="60"/>
            </w:pPr>
            <w:r>
              <w:rPr>
                <w:sz w:val="18"/>
                <w:szCs w:val="18"/>
              </w:rPr>
              <w:t xml:space="preserve">Apr-Jun 2028</w:t>
            </w:r>
          </w:p>
        </w:tc>
        <w:tc>
          <w:tcPr>
            <w:tcW w:w="4100" w:type="dxa"/>
            <w:vAlign w:val="top"/>
          </w:tcPr>
          <w:p>
            <w:pPr>
              <w:spacing w:after="60"/>
            </w:pPr>
            <w:r>
              <w:rPr>
                <w:sz w:val="18"/>
                <w:szCs w:val="18"/>
              </w:rPr>
              <w:t xml:space="preserve">Add one additional screening outreach, education, or referral focus based on prior results; notify specialists and PCP partners; continue tracking first-time screenings and follow-up completion.</w:t>
            </w:r>
          </w:p>
        </w:tc>
        <w:tc>
          <w:tcPr>
            <w:tcW w:w="3000" w:type="dxa"/>
            <w:vAlign w:val="top"/>
          </w:tcPr>
          <w:p>
            <w:pPr>
              <w:spacing w:after="60"/>
            </w:pPr>
            <w:r>
              <w:rPr>
                <w:sz w:val="18"/>
                <w:szCs w:val="18"/>
              </w:rPr>
              <w:t xml:space="preserve">Clinical staffing; supplies/testing; possible mobile clinic staffing; incentives/transportation support.</w:t>
            </w:r>
          </w:p>
        </w:tc>
        <w:tc>
          <w:tcPr>
            <w:tcW w:w="3500" w:type="dxa"/>
            <w:vAlign w:val="top"/>
          </w:tcPr>
          <w:p>
            <w:pPr>
              <w:spacing w:after="60"/>
            </w:pPr>
            <w:r>
              <w:rPr>
                <w:sz w:val="18"/>
                <w:szCs w:val="18"/>
              </w:rPr>
              <w:t xml:space="preserve">At least 3 collaborative outreach/barrier-reduction strategies have been implemented or are underway.</w:t>
            </w:r>
          </w:p>
        </w:tc>
      </w:tr>
      <w:tr>
        <w:tc>
          <w:tcPr>
            <w:tcW w:w="1500" w:type="dxa"/>
            <w:vAlign w:val="top"/>
          </w:tcPr>
          <w:p>
            <w:pPr>
              <w:spacing w:after="60"/>
            </w:pPr>
            <w:r>
              <w:rPr>
                <w:sz w:val="18"/>
                <w:szCs w:val="18"/>
              </w:rPr>
              <w:t xml:space="preserve">Q8: Apr-Jun 2028</w:t>
            </w:r>
          </w:p>
        </w:tc>
        <w:tc>
          <w:tcPr>
            <w:tcW w:w="2600" w:type="dxa"/>
            <w:vAlign w:val="top"/>
          </w:tcPr>
          <w:p>
            <w:pPr>
              <w:spacing w:after="60"/>
            </w:pPr>
            <w:r>
              <w:rPr>
                <w:sz w:val="18"/>
                <w:szCs w:val="18"/>
              </w:rPr>
              <w:t xml:space="preserve">Hold cross-sector training/relationship-building session.</w:t>
            </w:r>
          </w:p>
        </w:tc>
        <w:tc>
          <w:tcPr>
            <w:tcW w:w="2500" w:type="dxa"/>
            <w:vAlign w:val="top"/>
          </w:tcPr>
          <w:p>
            <w:pPr>
              <w:spacing w:after="60"/>
            </w:pPr>
            <w:r>
              <w:rPr>
                <w:sz w:val="18"/>
                <w:szCs w:val="18"/>
              </w:rPr>
              <w:t xml:space="preserve">BHCPH convenes; CHWs, care managers, TAC, housing/food/resource partners participate.</w:t>
            </w:r>
          </w:p>
        </w:tc>
        <w:tc>
          <w:tcPr>
            <w:tcW w:w="1500" w:type="dxa"/>
            <w:vAlign w:val="top"/>
          </w:tcPr>
          <w:p>
            <w:pPr>
              <w:spacing w:after="60"/>
            </w:pPr>
            <w:r>
              <w:rPr>
                <w:sz w:val="18"/>
                <w:szCs w:val="18"/>
              </w:rPr>
              <w:t xml:space="preserve">Apr-Jun 2028</w:t>
            </w:r>
          </w:p>
        </w:tc>
        <w:tc>
          <w:tcPr>
            <w:tcW w:w="4100" w:type="dxa"/>
            <w:vAlign w:val="top"/>
          </w:tcPr>
          <w:p>
            <w:pPr>
              <w:spacing w:after="60"/>
            </w:pPr>
            <w:r>
              <w:rPr>
                <w:sz w:val="18"/>
                <w:szCs w:val="18"/>
              </w:rPr>
              <w:t xml:space="preserve">Train partners on screening referral pathways, resource navigation, transportation supports, financial assistance/charity care information, and handoffs after positive screenings.</w:t>
            </w:r>
          </w:p>
        </w:tc>
        <w:tc>
          <w:tcPr>
            <w:tcW w:w="3000" w:type="dxa"/>
            <w:vAlign w:val="top"/>
          </w:tcPr>
          <w:p>
            <w:pPr>
              <w:spacing w:after="60"/>
            </w:pPr>
            <w:r>
              <w:rPr>
                <w:sz w:val="18"/>
                <w:szCs w:val="18"/>
              </w:rPr>
              <w:t xml:space="preserve">Staff time; meeting space/virtual platform; training materials.</w:t>
            </w:r>
          </w:p>
        </w:tc>
        <w:tc>
          <w:tcPr>
            <w:tcW w:w="3500" w:type="dxa"/>
            <w:vAlign w:val="top"/>
          </w:tcPr>
          <w:p>
            <w:pPr>
              <w:spacing w:after="60"/>
            </w:pPr>
            <w:r>
              <w:rPr>
                <w:sz w:val="18"/>
                <w:szCs w:val="18"/>
              </w:rPr>
              <w:t xml:space="preserve">Training held with participation from health and community-resource partners.</w:t>
            </w:r>
          </w:p>
        </w:tc>
      </w:tr>
      <w:tr>
        <w:tc>
          <w:tcPr>
            <w:tcW w:w="1500" w:type="dxa"/>
            <w:vAlign w:val="top"/>
          </w:tcPr>
          <w:p>
            <w:pPr>
              <w:spacing w:after="60"/>
            </w:pPr>
            <w:r>
              <w:rPr>
                <w:sz w:val="18"/>
                <w:szCs w:val="18"/>
              </w:rPr>
              <w:t xml:space="preserve">Q9: Jul-Sep 2028</w:t>
            </w:r>
          </w:p>
        </w:tc>
        <w:tc>
          <w:tcPr>
            <w:tcW w:w="2600" w:type="dxa"/>
            <w:vAlign w:val="top"/>
          </w:tcPr>
          <w:p>
            <w:pPr>
              <w:spacing w:after="60"/>
            </w:pPr>
            <w:r>
              <w:rPr>
                <w:sz w:val="18"/>
                <w:szCs w:val="18"/>
              </w:rPr>
              <w:t xml:space="preserve">Formalize sustainability plan.</w:t>
            </w:r>
          </w:p>
        </w:tc>
        <w:tc>
          <w:tcPr>
            <w:tcW w:w="2500" w:type="dxa"/>
            <w:vAlign w:val="top"/>
          </w:tcPr>
          <w:p>
            <w:pPr>
              <w:spacing w:after="60"/>
            </w:pPr>
            <w:r>
              <w:rPr>
                <w:sz w:val="18"/>
                <w:szCs w:val="18"/>
              </w:rPr>
              <w:t xml:space="preserve">BHCPH, PCHC, MercyOne, UnityPoint; Advancing Together leadership.</w:t>
            </w:r>
          </w:p>
        </w:tc>
        <w:tc>
          <w:tcPr>
            <w:tcW w:w="1500" w:type="dxa"/>
            <w:vAlign w:val="top"/>
          </w:tcPr>
          <w:p>
            <w:pPr>
              <w:spacing w:after="60"/>
            </w:pPr>
            <w:r>
              <w:rPr>
                <w:sz w:val="18"/>
                <w:szCs w:val="18"/>
              </w:rPr>
              <w:t xml:space="preserve">Jul-Sep 2028</w:t>
            </w:r>
          </w:p>
        </w:tc>
        <w:tc>
          <w:tcPr>
            <w:tcW w:w="4100" w:type="dxa"/>
            <w:vAlign w:val="top"/>
          </w:tcPr>
          <w:p>
            <w:pPr>
              <w:spacing w:after="60"/>
            </w:pPr>
            <w:r>
              <w:rPr>
                <w:sz w:val="18"/>
                <w:szCs w:val="18"/>
              </w:rPr>
              <w:t xml:space="preserve">Decide which workflows continue after 2028; document owners for PIO coordination, referral guides, resource directory updates, screening outreach, and quarterly reporting; identify funding needs.</w:t>
            </w:r>
          </w:p>
        </w:tc>
        <w:tc>
          <w:tcPr>
            <w:tcW w:w="3000" w:type="dxa"/>
            <w:vAlign w:val="top"/>
          </w:tcPr>
          <w:p>
            <w:pPr>
              <w:spacing w:after="60"/>
            </w:pPr>
            <w:r>
              <w:rPr>
                <w:sz w:val="18"/>
                <w:szCs w:val="18"/>
              </w:rPr>
              <w:t xml:space="preserve">Leadership/staff time; possible grant/foundation exploration; partner commitments.</w:t>
            </w:r>
          </w:p>
        </w:tc>
        <w:tc>
          <w:tcPr>
            <w:tcW w:w="3500" w:type="dxa"/>
            <w:vAlign w:val="top"/>
          </w:tcPr>
          <w:p>
            <w:pPr>
              <w:spacing w:after="60"/>
            </w:pPr>
            <w:r>
              <w:rPr>
                <w:sz w:val="18"/>
                <w:szCs w:val="18"/>
              </w:rPr>
              <w:t xml:space="preserve">Sustainability owners and resource needs documented.</w:t>
            </w:r>
          </w:p>
        </w:tc>
      </w:tr>
      <w:tr>
        <w:tc>
          <w:tcPr>
            <w:tcW w:w="1500" w:type="dxa"/>
            <w:vAlign w:val="top"/>
          </w:tcPr>
          <w:p>
            <w:pPr>
              <w:spacing w:after="60"/>
            </w:pPr>
            <w:r>
              <w:rPr>
                <w:sz w:val="18"/>
                <w:szCs w:val="18"/>
              </w:rPr>
              <w:t xml:space="preserve">Q9: Jul-Sep 2028</w:t>
            </w:r>
          </w:p>
        </w:tc>
        <w:tc>
          <w:tcPr>
            <w:tcW w:w="2600" w:type="dxa"/>
            <w:vAlign w:val="top"/>
          </w:tcPr>
          <w:p>
            <w:pPr>
              <w:spacing w:after="60"/>
            </w:pPr>
            <w:r>
              <w:rPr>
                <w:sz w:val="18"/>
                <w:szCs w:val="18"/>
              </w:rPr>
              <w:t xml:space="preserve">Prepare year-end outcome review.</w:t>
            </w:r>
          </w:p>
        </w:tc>
        <w:tc>
          <w:tcPr>
            <w:tcW w:w="2500" w:type="dxa"/>
            <w:vAlign w:val="top"/>
          </w:tcPr>
          <w:p>
            <w:pPr>
              <w:spacing w:after="60"/>
            </w:pPr>
            <w:r>
              <w:rPr>
                <w:sz w:val="18"/>
                <w:szCs w:val="18"/>
              </w:rPr>
              <w:t xml:space="preserve">BHCPH data lead; core partners provide data.</w:t>
            </w:r>
          </w:p>
        </w:tc>
        <w:tc>
          <w:tcPr>
            <w:tcW w:w="1500" w:type="dxa"/>
            <w:vAlign w:val="top"/>
          </w:tcPr>
          <w:p>
            <w:pPr>
              <w:spacing w:after="60"/>
            </w:pPr>
            <w:r>
              <w:rPr>
                <w:sz w:val="18"/>
                <w:szCs w:val="18"/>
              </w:rPr>
              <w:t xml:space="preserve">Jul-Sep 2028</w:t>
            </w:r>
          </w:p>
        </w:tc>
        <w:tc>
          <w:tcPr>
            <w:tcW w:w="4100" w:type="dxa"/>
            <w:vAlign w:val="top"/>
          </w:tcPr>
          <w:p>
            <w:pPr>
              <w:spacing w:after="60"/>
            </w:pPr>
            <w:r>
              <w:rPr>
                <w:sz w:val="18"/>
                <w:szCs w:val="18"/>
              </w:rPr>
              <w:t xml:space="preserve">Compile partner participation, campaign reach, screening outreach, first-time screening counts where available, referral pathway adoption, barrier themes, and resource coordination progress.</w:t>
            </w:r>
          </w:p>
        </w:tc>
        <w:tc>
          <w:tcPr>
            <w:tcW w:w="3000" w:type="dxa"/>
            <w:vAlign w:val="top"/>
          </w:tcPr>
          <w:p>
            <w:pPr>
              <w:spacing w:after="60"/>
            </w:pPr>
            <w:r>
              <w:rPr>
                <w:sz w:val="18"/>
                <w:szCs w:val="18"/>
              </w:rPr>
              <w:t xml:space="preserve">Data/reporting staff time; partner data sharing.</w:t>
            </w:r>
          </w:p>
        </w:tc>
        <w:tc>
          <w:tcPr>
            <w:tcW w:w="3500" w:type="dxa"/>
            <w:vAlign w:val="top"/>
          </w:tcPr>
          <w:p>
            <w:pPr>
              <w:spacing w:after="60"/>
            </w:pPr>
            <w:r>
              <w:rPr>
                <w:sz w:val="18"/>
                <w:szCs w:val="18"/>
              </w:rPr>
              <w:t xml:space="preserve">Draft outcome dashboard or summary completed.</w:t>
            </w:r>
          </w:p>
        </w:tc>
      </w:tr>
      <w:tr>
        <w:tc>
          <w:tcPr>
            <w:tcW w:w="1500" w:type="dxa"/>
            <w:vAlign w:val="top"/>
          </w:tcPr>
          <w:p>
            <w:pPr>
              <w:spacing w:after="60"/>
            </w:pPr>
            <w:r>
              <w:rPr>
                <w:sz w:val="18"/>
                <w:szCs w:val="18"/>
              </w:rPr>
              <w:t xml:space="preserve">Q10: Oct-Dec 2028</w:t>
            </w:r>
          </w:p>
        </w:tc>
        <w:tc>
          <w:tcPr>
            <w:tcW w:w="2600" w:type="dxa"/>
            <w:vAlign w:val="top"/>
          </w:tcPr>
          <w:p>
            <w:pPr>
              <w:spacing w:after="60"/>
            </w:pPr>
            <w:r>
              <w:rPr>
                <w:sz w:val="18"/>
                <w:szCs w:val="18"/>
              </w:rPr>
              <w:t xml:space="preserve">Complete final implementation and transition to next CHIP cycle.</w:t>
            </w:r>
          </w:p>
        </w:tc>
        <w:tc>
          <w:tcPr>
            <w:tcW w:w="2500" w:type="dxa"/>
            <w:vAlign w:val="top"/>
          </w:tcPr>
          <w:p>
            <w:pPr>
              <w:spacing w:after="60"/>
            </w:pPr>
            <w:r>
              <w:rPr>
                <w:sz w:val="18"/>
                <w:szCs w:val="18"/>
              </w:rPr>
              <w:t xml:space="preserve">Core team and Advancing Together.</w:t>
            </w:r>
          </w:p>
        </w:tc>
        <w:tc>
          <w:tcPr>
            <w:tcW w:w="1500" w:type="dxa"/>
            <w:vAlign w:val="top"/>
          </w:tcPr>
          <w:p>
            <w:pPr>
              <w:spacing w:after="60"/>
            </w:pPr>
            <w:r>
              <w:rPr>
                <w:sz w:val="18"/>
                <w:szCs w:val="18"/>
              </w:rPr>
              <w:t xml:space="preserve">Oct-Dec 2028</w:t>
            </w:r>
          </w:p>
        </w:tc>
        <w:tc>
          <w:tcPr>
            <w:tcW w:w="4100" w:type="dxa"/>
            <w:vAlign w:val="top"/>
          </w:tcPr>
          <w:p>
            <w:pPr>
              <w:spacing w:after="60"/>
            </w:pPr>
            <w:r>
              <w:rPr>
                <w:sz w:val="18"/>
                <w:szCs w:val="18"/>
              </w:rPr>
              <w:t xml:space="preserve">Confirm objective outcomes; identify what should be sustained, scaled, adapted, or stopped; prepare recommendations for the next planning cycle.</w:t>
            </w:r>
          </w:p>
        </w:tc>
        <w:tc>
          <w:tcPr>
            <w:tcW w:w="3000" w:type="dxa"/>
            <w:vAlign w:val="top"/>
          </w:tcPr>
          <w:p>
            <w:pPr>
              <w:spacing w:after="60"/>
            </w:pPr>
            <w:r>
              <w:rPr>
                <w:sz w:val="18"/>
                <w:szCs w:val="18"/>
              </w:rPr>
              <w:t xml:space="preserve">Staff time; final reporting/design support.</w:t>
            </w:r>
          </w:p>
        </w:tc>
        <w:tc>
          <w:tcPr>
            <w:tcW w:w="3500" w:type="dxa"/>
            <w:vAlign w:val="top"/>
          </w:tcPr>
          <w:p>
            <w:pPr>
              <w:spacing w:after="60"/>
            </w:pPr>
            <w:r>
              <w:rPr>
                <w:sz w:val="18"/>
                <w:szCs w:val="18"/>
              </w:rPr>
              <w:t xml:space="preserve">Final 2026-2028 action summary completed and shared with partners.</w:t>
            </w:r>
          </w:p>
        </w:tc>
      </w:tr>
      <w:tr>
        <w:tc>
          <w:tcPr>
            <w:tcW w:w="1500" w:type="dxa"/>
            <w:vAlign w:val="top"/>
          </w:tcPr>
          <w:p>
            <w:pPr>
              <w:spacing w:after="60"/>
            </w:pPr>
            <w:r>
              <w:rPr>
                <w:sz w:val="18"/>
                <w:szCs w:val="18"/>
              </w:rPr>
              <w:t xml:space="preserve">Q10: Oct-Dec 2028</w:t>
            </w:r>
          </w:p>
        </w:tc>
        <w:tc>
          <w:tcPr>
            <w:tcW w:w="2600" w:type="dxa"/>
            <w:vAlign w:val="top"/>
          </w:tcPr>
          <w:p>
            <w:pPr>
              <w:spacing w:after="60"/>
            </w:pPr>
            <w:r>
              <w:rPr>
                <w:sz w:val="18"/>
                <w:szCs w:val="18"/>
              </w:rPr>
              <w:t xml:space="preserve">Maintain coordinated messaging through closeout.</w:t>
            </w:r>
          </w:p>
        </w:tc>
        <w:tc>
          <w:tcPr>
            <w:tcW w:w="2500" w:type="dxa"/>
            <w:vAlign w:val="top"/>
          </w:tcPr>
          <w:p>
            <w:pPr>
              <w:spacing w:after="60"/>
            </w:pPr>
            <w:r>
              <w:rPr>
                <w:sz w:val="18"/>
                <w:szCs w:val="18"/>
              </w:rPr>
              <w:t xml:space="preserve">PIO group.</w:t>
            </w:r>
          </w:p>
        </w:tc>
        <w:tc>
          <w:tcPr>
            <w:tcW w:w="1500" w:type="dxa"/>
            <w:vAlign w:val="top"/>
          </w:tcPr>
          <w:p>
            <w:pPr>
              <w:spacing w:after="60"/>
            </w:pPr>
            <w:r>
              <w:rPr>
                <w:sz w:val="18"/>
                <w:szCs w:val="18"/>
              </w:rPr>
              <w:t xml:space="preserve">Oct-Dec 2028</w:t>
            </w:r>
          </w:p>
        </w:tc>
        <w:tc>
          <w:tcPr>
            <w:tcW w:w="4100" w:type="dxa"/>
            <w:vAlign w:val="top"/>
          </w:tcPr>
          <w:p>
            <w:pPr>
              <w:spacing w:after="60"/>
            </w:pPr>
            <w:r>
              <w:rPr>
                <w:sz w:val="18"/>
                <w:szCs w:val="18"/>
              </w:rPr>
              <w:t xml:space="preserve">Continue united-front communications on cancer prevention, screening, cessation, radon, vaccination, and resource navigation; document reusable templates and annual calendar opportunities.</w:t>
            </w:r>
          </w:p>
        </w:tc>
        <w:tc>
          <w:tcPr>
            <w:tcW w:w="3000" w:type="dxa"/>
            <w:vAlign w:val="top"/>
          </w:tcPr>
          <w:p>
            <w:pPr>
              <w:spacing w:after="60"/>
            </w:pPr>
            <w:r>
              <w:rPr>
                <w:sz w:val="18"/>
                <w:szCs w:val="18"/>
              </w:rPr>
              <w:t xml:space="preserve">PIO staff time; existing communication channels.</w:t>
            </w:r>
          </w:p>
        </w:tc>
        <w:tc>
          <w:tcPr>
            <w:tcW w:w="3500" w:type="dxa"/>
            <w:vAlign w:val="top"/>
          </w:tcPr>
          <w:p>
            <w:pPr>
              <w:spacing w:after="60"/>
            </w:pPr>
            <w:r>
              <w:rPr>
                <w:sz w:val="18"/>
                <w:szCs w:val="18"/>
              </w:rPr>
              <w:t xml:space="preserve">Shared communications system is ready to continue beyond 2028.</w:t>
            </w:r>
          </w:p>
        </w:tc>
      </w:tr>
    </w:tbl>
    <w:p>
      <w:pPr>
        <w:pStyle w:val="Heading1"/>
        <w:spacing w:after="120"/>
      </w:pPr>
      <w:r>
        <w:rPr>
          <w:b/>
          <w:sz w:val="26"/>
          <w:szCs w:val="26"/>
        </w:rPr>
        <w:t xml:space="preserve">Assumptions and Implementation Notes</w:t>
      </w:r>
    </w:p>
    <w:p>
      <w:pPr>
        <w:spacing w:after="80"/>
      </w:pPr>
      <w:r>
        <w:rPr>
          <w:sz w:val="20"/>
          <w:szCs w:val="20"/>
        </w:rPr>
        <w:t xml:space="preserve">- The CHIP action plan uses July 1, 2026 as Q1, so Q1 is Jul-Sep 2026 and Q10 is Oct-Dec 2028.</w:t>
      </w:r>
    </w:p>
    <w:p>
      <w:pPr>
        <w:spacing w:after="80"/>
      </w:pPr>
      <w:r>
        <w:rPr>
          <w:sz w:val="20"/>
          <w:szCs w:val="20"/>
        </w:rPr>
        <w:t xml:space="preserve">- Objective 1 combines Strategies 3 and 7, with Strategy 4/5/8 elements included where they support the shared cancer-risk communication and referral approach.</w:t>
      </w:r>
    </w:p>
    <w:p>
      <w:pPr>
        <w:spacing w:after="80"/>
      </w:pPr>
      <w:r>
        <w:rPr>
          <w:sz w:val="20"/>
          <w:szCs w:val="20"/>
        </w:rPr>
        <w:t xml:space="preserve">- The initial awareness campaign phase ends June 2027, but the shared communications structure continues for future cancer prevention, screening, and resource-navigation topics.</w:t>
      </w:r>
    </w:p>
    <w:p>
      <w:pPr>
        <w:spacing w:after="80"/>
      </w:pPr>
      <w:r>
        <w:rPr>
          <w:sz w:val="20"/>
          <w:szCs w:val="20"/>
        </w:rPr>
        <w:t xml:space="preserve">- The first focus is breast/prostate awareness connected to smoking cessation, radon testing, vaccination, and age/risk-appropriate screening.</w:t>
      </w:r>
    </w:p>
    <w:p>
      <w:pPr>
        <w:spacing w:after="80"/>
      </w:pPr>
      <w:r>
        <w:rPr>
          <w:sz w:val="20"/>
          <w:szCs w:val="20"/>
        </w:rPr>
        <w:t xml:space="preserve">- Advancing Together convenes, aligns, supports, and tracks; direct implementation remains shared across BHCPH, healthcare partners, Pathways, CHWs/care managers, and community-resource partners.</w:t>
      </w:r>
    </w:p>
    <w:p>
      <w:pPr>
        <w:spacing w:after="80"/>
      </w:pPr>
      <w:r>
        <w:rPr>
          <w:sz w:val="20"/>
          <w:szCs w:val="20"/>
        </w:rPr>
        <w:t xml:space="preserve">- The plan uses population-focused language such as areas with higher burden, barriers to care, and people not currently reached.</w:t>
      </w:r>
    </w:p>
    <w:p>
      <w:pPr>
        <w:pStyle w:val="Heading1"/>
        <w:spacing w:after="120"/>
      </w:pPr>
      <w:r>
        <w:rPr>
          <w:b/>
          <w:sz w:val="26"/>
          <w:szCs w:val="26"/>
        </w:rPr>
        <w:t xml:space="preserve">Sources Used</w:t>
      </w:r>
    </w:p>
    <w:p>
      <w:pPr>
        <w:spacing w:after="120"/>
      </w:pPr>
      <w:r>
        <w:rPr>
          <w:sz w:val="20"/>
          <w:szCs w:val="20"/>
        </w:rPr>
        <w:t xml:space="preserve">Local Health Sector Objective 1-3 worksheets; Community Health Improvement Roadmap Summary (CHA &amp; 2026-2028 CHIP); Iowa HF 856 enrolled bill text.</w:t>
      </w:r>
    </w:p>
    <w:sectPr>
      <w:pgSz w:w="15840" w:h="12240" w:orient="landscape"/>
      <w:pgMar w:top="720" w:right="720" w:bottom="720" w:left="720" w:header="720" w:footer="720" w:gutter="0"/>
    </w:sectPr>
  </w:body>
</w:document>
</file>

<file path=word/styles.xml><?xml version="1.0" encoding="utf-8"?>
<w:styles xmlns:w="http://schemas.openxmlformats.org/wordprocessingml/2006/main">
  <w:docDefaults>
    <w:rPrDefault>
      <w:rPr>
        <w:rFonts w:ascii="Aptos" w:hAnsi="Aptos"/>
        <w:sz w:val="20"/>
      </w:rPr>
    </w:rPrDefault>
  </w:docDefaults>
  <w:style w:type="paragraph" w:default="1" w:styleId="Normal">
    <w:name w:val="Normal"/>
    <w:qFormat/>
  </w:style>
  <w:style w:type="paragraph" w:styleId="Title">
    <w:name w:val="Title"/>
    <w:basedOn w:val="Normal"/>
    <w:qFormat/>
    <w:rPr>
      <w:b/>
      <w:sz w:val="32"/>
    </w:rPr>
  </w:style>
  <w:style w:type="paragraph" w:styleId="Subtitle">
    <w:name w:val="Subtitle"/>
    <w:basedOn w:val="Normal"/>
    <w:qFormat/>
    <w:rPr>
      <w:color w:val="44546A"/>
      <w:sz w:val="22"/>
    </w:rPr>
  </w:style>
  <w:style w:type="paragraph" w:styleId="Heading1">
    <w:name w:val="heading 1"/>
    <w:basedOn w:val="Normal"/>
    <w:next w:val="Normal"/>
    <w:qFormat/>
    <w:rPr>
      <w:b/>
      <w:color w:val="1F4E79"/>
      <w:sz w:val="26"/>
    </w:r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