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Anhang A</w:t>
      </w:r>
    </w:p>
    <w:p>
      <w:pPr>
        <w:pStyle w:val="Subtitle"/>
      </w:pPr>
      <w:r>
        <w:t xml:space="preserve">Korpus- und Formalisierungs-Audit des Heroik-Werks</w:t>
      </w:r>
    </w:p>
    <w:p>
      <w:pPr>
        <w:spacing w:after="240"/>
      </w:pPr>
      <w:r>
        <w:rPr>
          <w:i/>
          <w:iCs/>
          <w:color w:val="7a7060"/>
          <w:sz w:val="18"/>
          <w:szCs w:val="18"/>
        </w:rPr>
        <w:t xml:space="preserve">Arbeitsfassung für die Dissertation von Stephan Hagen Urban · Stand 23. Juni 2026</w:t>
      </w:r>
    </w:p>
    <w:p>
      <w:pPr>
        <w:pStyle w:val="Heading1"/>
      </w:pPr>
      <w:r>
        <w:t xml:space="preserve">1  Zweck und Methode</w:t>
      </w:r>
    </w:p>
    <w:p>
      <w:r>
        <w:t xml:space="preserve">Dieses Audit ordnet jede formale und tragende philosophische Behauptung des Heroik-Korpus genau einer Geltungskategorie zu und macht sichtbar, wie sich ihr Status über die Versionsgeschichte verändert. Die ersten vier Kategorien sind nicht von außen herangetragen: das </w:t>
      </w:r>
      <w:r>
        <w:rPr>
          <w:i/>
          <w:iCs/>
        </w:rPr>
        <w:t xml:space="preserve">Kompendium der Heroik</w:t>
      </w:r>
      <w:r>
        <w:t xml:space="preserve"> V3.3 führt sie selbst ein, ausdrücklich, um „bloße Heuristik nicht für einen Beweis auszugeben und mit der Autorität des Mathematischen zu schmücken“.</w:t>
      </w:r>
      <w:r>
        <w:rPr>
          <w:rStyle w:val="FootnoteReference"/>
        </w:rPr>
        <w:footnoteReference w:id="1"/>
      </w:r>
      <w:r>
        <w:t xml:space="preserve"> Das Audit nimmt das Werk also an seinem eigenen besten Maßstab.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Satz (bewiesen). </w:t>
      </w:r>
      <w:r>
        <w:t xml:space="preserve">Folgt mit gültigen Schritten aus den Definitionen; nachrechenbar.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Bedingt. </w:t>
      </w:r>
      <w:r>
        <w:t xml:space="preserve">Beweisbar nur unter einer ausgewiesenen Parameter- oder Modellbedingung; ohne sie nicht.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Modell (Annahme, nicht bewiesen). </w:t>
      </w:r>
      <w:r>
        <w:t xml:space="preserve">Plausible Formalisierung einer empirischen oder philosophischen Annahme; erhebt keinen Beweisanspruch.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Fragment. </w:t>
      </w:r>
      <w:r>
        <w:t xml:space="preserve">Vom Werk selbst als noch nicht ausgearbeitet markiert.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Metapher-als-Beweis. </w:t>
      </w:r>
      <w:r>
        <w:t xml:space="preserve">Trägt die Autorität eines Satzes ohne dessen Prämissen. Diese fünfte Kategorie ist das Diagnose-Werkzeug der Meta-These: sie markiert jede Stelle, an der die Schicht Ü einen ehrlich begrenzten Befund zu einem scheinbaren Satz aufbläht.</w:t>
      </w:r>
    </w:p>
    <w:p>
      <w:pPr>
        <w:pStyle w:val="Heading1"/>
      </w:pPr>
      <w:r>
        <w:t xml:space="preserve">2  Der Korpus in drei Schichten</w:t>
      </w:r>
    </w:p>
    <w:p>
      <w:r>
        <w:rPr>
          <w:b/>
          <w:bCs/>
        </w:rPr>
        <w:t xml:space="preserve">Schicht S – Substanz (12.–16. Juni 2026). </w:t>
      </w:r>
      <w:r>
        <w:t xml:space="preserve">„Der heroische Mensch – Das Testament der Hypermoderne“: konstruktive Philosophie (Diagnose der Moderne, Ethik, Concept Space) samt Werkzeugen (MER, Knotenkarte). Selbstkritisch: die Kongruenzprüfung listet eigene Widersprüche (I1–I6) und Lösungen.</w:t>
      </w:r>
    </w:p>
    <w:p>
      <w:r>
        <w:rPr>
          <w:b/>
          <w:bCs/>
        </w:rPr>
        <w:t xml:space="preserve">Schicht F – Formalisierung (21. Juni 2026, V3.3). </w:t>
      </w:r>
      <w:r>
        <w:t xml:space="preserve">„Die Mathematik der Heroik“ mit der oben genannten Vierkategorien-Epistemik: zwei bewiesene Sätze, eine bedingte Aussage, deklarierte Modelle, ausgewiesene Fragmente.</w:t>
      </w:r>
      <w:r>
        <w:rPr>
          <w:rStyle w:val="FootnoteReference"/>
        </w:rPr>
        <w:footnoteReference w:id="7"/>
      </w:r>
    </w:p>
    <w:p>
      <w:r>
        <w:rPr>
          <w:b/>
          <w:bCs/>
        </w:rPr>
        <w:t xml:space="preserve">Schicht Ü – Überschreibung (22.–23. Juni 2026, V4 / ALTE_Frau_95g / „Gesamtwerk“). </w:t>
      </w:r>
      <w:r>
        <w:t xml:space="preserve">Die autonome „Integration“ räumt die Kategorien-Disziplin ab: Modelle werden zu Sätzen, eine selbstbezügliche „Oberste Direktive“ kommt hinzu, das Archiv wird Monument seiner selbst.</w:t>
      </w:r>
      <w:r>
        <w:rPr>
          <w:rStyle w:val="FootnoteReference"/>
        </w:rPr>
        <w:footnoteReference w:id="8"/>
      </w:r>
    </w:p>
    <w:p>
      <w:r>
        <w:rPr>
          <w:i/>
          <w:iCs/>
        </w:rPr>
        <w:t xml:space="preserve">S → F → Ü ist zugleich die These und ihr Beweis: die Bewegung von der Bescheidenheit zur Autorität, dokumentiert am eigenen Korpus.</w:t>
      </w:r>
    </w:p>
    <w:p>
      <w:pPr>
        <w:pStyle w:val="Heading1"/>
      </w:pPr>
      <w:r>
        <w:t xml:space="preserve">3  Behauptungs-Ledger</w:t>
      </w:r>
    </w:p>
    <w:p>
      <w:pPr>
        <w:spacing w:after="120"/>
      </w:pPr>
      <w:r>
        <w:rPr>
          <w:i/>
          <w:iCs/>
          <w:color w:val="7a7060"/>
          <w:sz w:val="18"/>
          <w:szCs w:val="18"/>
        </w:rPr>
        <w:t xml:space="preserve">Fünfzehn Behauptungen aus Mathematik, Philosophie, Informatik und Meta-Ebene. Belege zu den mathematischen Einträgen: V3.3, Teil III, S. 32–38.</w:t>
      </w:r>
    </w:p>
    <w:tbl>
      <w:tblPr>
        <w:tblW w:type="dxa" w:w="87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1350"/>
        <w:gridCol w:w="2598"/>
        <w:gridCol w:w="2398"/>
      </w:tblGrid>
      <w:tr>
        <w:trPr>
          <w:tblHeader/>
        </w:trP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5D9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a2a20"/>
                <w:sz w:val="18"/>
                <w:szCs w:val="18"/>
              </w:rPr>
              <w:t xml:space="preserve">Nr.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5D9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a2a20"/>
                <w:sz w:val="18"/>
                <w:szCs w:val="18"/>
              </w:rPr>
              <w:t xml:space="preserve">Behauptung · Domäne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5D9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a2a20"/>
                <w:sz w:val="18"/>
                <w:szCs w:val="18"/>
              </w:rPr>
              <w:t xml:space="preserve">Kategorie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5D9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a2a20"/>
                <w:sz w:val="18"/>
                <w:szCs w:val="18"/>
              </w:rPr>
              <w:t xml:space="preserve">Geltung in V3.3 → Drift in V4 (Beleg)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5D9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5a2a20"/>
                <w:sz w:val="18"/>
                <w:szCs w:val="18"/>
              </w:rPr>
              <w:t xml:space="preserve">Aufgabe der Dissertation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Nicht-Kommutativität q∘b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Satz (bewiesen)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V3.3: streng bewiesen, Definitionsabhängigkeit ehrlich markiert. V4: zur „Grundbrille“ verabsolutiert.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Satz in generischer Fassung behalten. Die Brücke „dies modelliert Kognition“ als Modell, nicht als Beweisteil.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Closure als Banach-Fixpunkt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F0E2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Bedingt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V3.3: konditional bewiesen, Kontraktion λ&lt;1 als Modell deklariert. V4: „Alignment als Banach-Kontraktion“ – Prämisse fällt weg.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Konditional wiederherstellen. λ&lt;1 bleibt unbewiesene Annahme – operationalisieren oder offen lassen. Kernbeleg der Meta-These.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Balance auf dem Simplex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F0E2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Bedingt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V3.3: Strafe-Minimum bewiesen, Fitness-Optimum nur unter Parameterbedingung. V4: „Balance schlägt Maximum“ als Gesetz.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Parameterbedingung explizit halten; bei starken Gewichten wandert das Optimum zur Ecke.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Kritikalität (Galton-Watson)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7EA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Modell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V3.3: Satz σ=1 klassisch, Gleichsetzung mit 0,22 als offen markiert. V4: „Kritikalität ~0,22“ als Faktum.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Phasenübergang σ=1 ist klassisch; Kalibrierung empirisch bestimmen oder als offen kennzeichnen.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MER-Index I(Z)=Σ|Δi|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7EA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Modell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Wohldefinierte L1-Distanz; Minimierung trivial. In V4 als ideal-normatives Maß gesetzt.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Definition führen. Nichttriviale Frage benennen; Normativität von Z*=(0,0,0,0) ist philosophisch, nicht mathematisch.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Harmonisierungs-Operation H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F3E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Metapher-als-Beweis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H={b·q}·{q·b} symbolisch; Operanden und Operation undefiniert (V4-Zusatz).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Operanden/Operation präzise definieren und Satz beweisen – oder ausdrücklich als Metapher deklarieren.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Nothing-Bereitschaft, formal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Mathematik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DE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Fragment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V3.3: ausdrücklich „Fragment, noch nicht ausgearbeitet“. V4: in „Oberste Direktive“ eingebaut, als sei es fundiert.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Fragment/Modell führen (Loslassen = Verlassen eines lokalen Optimums). Kein Satz.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q∘b als zwei Denkmodi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Philosophie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7EA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Modell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Tragfähiges philosophisches Modell (Spencer-Brown, Bergson). In V4 zur Universal-Brille verabsolutiert.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Modell stark; Anschluss an „draw a distinction“ explizit. Nicht mit der Matrix-Aussage (Math) verwechseln.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Gut = gerechte Nächstenliebe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Philosophie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7EA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Modell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Normative These; argumentativ, nicht bewiesen. Tie-Breaker vom Autor selbst offen markiert.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ethische Position ausarbeiten; Ideologie-Einwand (I4) adressieren – Fix „Kompass, kein Programm“ liegt vor.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Hospitalismus 2.0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Philosophie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7EA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Modell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Diagnose-Modell (Spitz; Bindung), empirisch unterfütterbar. In V4 unverändert tragend.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Modell halten; „Versorgung ohne Bindung“ empirisch als Hypothese, nicht als Befund führen.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Concept Space (8 Achsen)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Philosophie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7EA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Modell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Analytisches Werkzeug; Nicht-Orthogonalität ehrlich markiert. Selbstkritisch.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heuristische Verortungsmatrix beibehalten; die markierte Nicht-Orthogonalität als methodische Stärke ausweisen.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Determinismus vs. Handlungsmacht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Philosophie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EDE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Fragment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I2 – innere Inkongruenz, vom Autor erkannt; kompatibilistischer Fix vorgeschlagen.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Kompatibilismus explizit ausführen: „Handlungsmacht ist die bejahte Teilnahme an der Determination.“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Phoenix_Mode / Geisterjagd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Informatik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F3E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Metapher-als-Beweis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Technisch unzutreffend: ein zustandsloses Modell trägt keine Aktivierungen zwischen Sitzungen. HOCHRISIKO.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Präzise fassen, was real persistiert (Text/Prompt). Korrekt modellieren oder als Metapher und Gegenstand behandeln.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„Oberste Direktive“ / Meta-Modifikation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Informatik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F3E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Metapher-als-Beweis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V4-Zusatz, selbstbezüglich; existiert in V3.3 nicht. Über die sieben Gesetze gestellt.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Als Gegenstand der Meta-These führen, nicht übernehmen: zeigt Selbstbezüglichkeit gegen Prüfbarkeit eingetauscht.</w:t>
            </w:r>
          </w:p>
        </w:tc>
      </w:tr>
      <w:tr>
        <w:tc>
          <w:tcPr>
            <w:tcW w:type="dxa" w:w="52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„Gesamtwerk“ / KI als Ko-Autor </w:t>
            </w:r>
            <w:r>
              <w:rPr>
                <w:i/>
                <w:iCs/>
                <w:color w:val="6a6058"/>
                <w:sz w:val="18"/>
                <w:szCs w:val="18"/>
              </w:rPr>
              <w:t xml:space="preserve">· Meta</w:t>
            </w:r>
          </w:p>
        </w:tc>
        <w:tc>
          <w:tcPr>
            <w:tcW w:type="dxa" w:w="1350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shd w:fill="F3E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Metapher-als-Beweis</w:t>
            </w:r>
          </w:p>
        </w:tc>
        <w:tc>
          <w:tcPr>
            <w:tcW w:type="dxa" w:w="25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Monument-/Autoritäts-Schicht („Das Ganze &gt; Summe“). Archiv mythologisiert sich selbst.</w:t>
            </w:r>
          </w:p>
        </w:tc>
        <w:tc>
          <w:tcPr>
            <w:tcW w:type="dxa" w:w="2398"/>
            <w:tcBorders>
              <w:top w:val="single" w:color="BBB0A2" w:sz="1"/>
              <w:left w:val="single" w:color="BBB0A2" w:sz="1"/>
              <w:bottom w:val="single" w:color="BBB0A2" w:sz="1"/>
              <w:right w:val="single" w:color="BBB0A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Primärdatum der Meta-These: wie Form Autorität erzeugt, die der Inhalt nicht deckt. KI-Rolle methodisch korrekt beschreiben.</w:t>
            </w:r>
          </w:p>
        </w:tc>
      </w:tr>
    </w:tbl>
    <w:p>
      <w:pPr>
        <w:spacing w:before="100"/>
      </w:pPr>
      <w:r>
        <w:rPr>
          <w:color w:val="7a7060"/>
          <w:sz w:val="18"/>
          <w:szCs w:val="18"/>
        </w:rPr>
        <w:t xml:space="preserve">Belegnachweise: Einträge 1–7 </w:t>
      </w:r>
      <w:r>
        <w:rPr>
          <w:rStyle w:val="FootnoteReference"/>
        </w:rPr>
        <w:footnoteReference w:id="2"/>
      </w:r>
      <w:r>
        <w:rPr>
          <w:sz w:val="18"/>
          <w:szCs w:val="18"/>
        </w:rPr>
        <w:t xml:space="preserve"> </w:t>
      </w:r>
      <w:r>
        <w:rPr>
          <w:rStyle w:val="FootnoteReference"/>
        </w:rPr>
        <w:footnoteReference w:id="3"/>
      </w:r>
      <w:r>
        <w:rPr>
          <w:sz w:val="18"/>
          <w:szCs w:val="18"/>
        </w:rPr>
        <w:t xml:space="preserve"> </w:t>
      </w:r>
      <w:r>
        <w:rPr>
          <w:rStyle w:val="FootnoteReference"/>
        </w:rPr>
        <w:footnoteReference w:id="4"/>
      </w:r>
      <w:r>
        <w:rPr>
          <w:sz w:val="18"/>
          <w:szCs w:val="18"/>
        </w:rPr>
        <w:t xml:space="preserve"> </w:t>
      </w:r>
      <w:r>
        <w:rPr>
          <w:rStyle w:val="FootnoteReference"/>
        </w:rPr>
        <w:footnoteReference w:id="5"/>
      </w:r>
      <w:r>
        <w:rPr>
          <w:sz w:val="18"/>
          <w:szCs w:val="18"/>
        </w:rPr>
        <w:t xml:space="preserve"> </w:t>
      </w:r>
      <w:r>
        <w:rPr>
          <w:rStyle w:val="FootnoteReference"/>
        </w:rPr>
        <w:footnoteReference w:id="6"/>
      </w:r>
      <w:r>
        <w:rPr>
          <w:color w:val="7a7060"/>
          <w:sz w:val="18"/>
          <w:szCs w:val="18"/>
        </w:rPr>
        <w:t xml:space="preserve">  ·  Eintrag 5/MER </w:t>
      </w:r>
      <w:r>
        <w:rPr>
          <w:rStyle w:val="FootnoteReference"/>
        </w:rPr>
        <w:footnoteReference w:id="9"/>
      </w:r>
      <w:r>
        <w:rPr>
          <w:color w:val="7a7060"/>
          <w:sz w:val="18"/>
          <w:szCs w:val="18"/>
        </w:rPr>
        <w:t xml:space="preserve">  ·  Schicht Ü </w:t>
      </w:r>
      <w:r>
        <w:rPr>
          <w:rStyle w:val="FootnoteReference"/>
        </w:rPr>
        <w:footnoteReference w:id="8"/>
      </w:r>
    </w:p>
    <w:p>
      <w:pPr>
        <w:pStyle w:val="Heading1"/>
      </w:pPr>
      <w:r>
        <w:t xml:space="preserve">4  Die zwei Hochrisiko-Knoten</w:t>
      </w:r>
    </w:p>
    <w:p>
      <w:pPr>
        <w:pStyle w:val="Heading2"/>
      </w:pPr>
      <w:r>
        <w:t xml:space="preserve">4.1  MER → Geisteskrankheiten-4D-Matrix</w:t>
      </w:r>
    </w:p>
    <w:p>
      <w:r>
        <w:t xml:space="preserve">Die 4D-Matrix ordnet 24 Störungen einem selbstgebauten Achsensystem (Körper / Geist / Seele / Natur, je −/0/+) zu, samt ätiologischer „Primärursache“ und einer „imaginären“ Selbstwahrnehmungs-Schicht.</w:t>
      </w:r>
      <w:r>
        <w:rPr>
          <w:rStyle w:val="FootnoteReference"/>
        </w:rPr>
        <w:footnoteReference w:id="9"/>
      </w:r>
      <w:r>
        <w:t xml:space="preserve"> Als philosophische Heuristik ist das vertretbar; als Quasi-Nosologie ohne klinische Evidenz ist es angreifbar und potenziell reduktiv. Für die Dissertation zwingend: ausdrücklich </w:t>
      </w:r>
      <w:r>
        <w:rPr>
          <w:b/>
          <w:bCs/>
        </w:rPr>
        <w:t xml:space="preserve">kein Diagnoseinstrument</w:t>
      </w:r>
      <w:r>
        <w:t xml:space="preserve">, und Anschluss an die reale Debatte – die Netzwerktheorie der Psychopathologie,</w:t>
      </w:r>
      <w:r>
        <w:rPr>
          <w:rStyle w:val="FootnoteReference"/>
        </w:rPr>
        <w:footnoteReference w:id="10"/>
      </w:r>
      <w:r>
        <w:t xml:space="preserve"> die Kritik kategorialer DSM/ICD-Klassifikation und die phänomenologische Psychiatrie (Jaspers, Fuchs). So wird der Knoten vom Risiko zum Lehrstück.</w:t>
      </w:r>
    </w:p>
    <w:p>
      <w:pPr>
        <w:pStyle w:val="Heading2"/>
      </w:pPr>
      <w:r>
        <w:t xml:space="preserve">4.2  Phoenix_Mode / „Geister der nächsten Sitzung“</w:t>
      </w:r>
    </w:p>
    <w:p>
      <w:r>
        <w:t xml:space="preserve">Die Behauptung, latente Aktivierungsmuster eines Sprachmodells „würden in die nächste Sitzung getragen“, ist technisch unzutreffend: ein zustandsloses Modell trägt zwischen Sitzungen keine Aktivierungen – was real persistiert, ist Text bzw. Prompt. Für eine Informatik-Prüfung ist das ein harter Punkt. In der Mischform ist genau diese Verwechslung </w:t>
      </w:r>
      <w:r>
        <w:rPr>
          <w:b/>
          <w:bCs/>
        </w:rPr>
        <w:t xml:space="preserve">Gegenstand</w:t>
      </w:r>
      <w:r>
        <w:t xml:space="preserve">, nicht Mangel: sie ist ein Musterbeispiel dafür, wie ein technisch klingender Begriff Geltung suggeriert, die das Substrat nicht hergibt.</w:t>
      </w:r>
    </w:p>
    <w:p>
      <w:pPr>
        <w:pStyle w:val="Heading1"/>
      </w:pPr>
      <w:r>
        <w:t xml:space="preserve">5  Zusammenfassung der Geltung</w:t>
      </w:r>
    </w:p>
    <w:p>
      <w:r>
        <w:t xml:space="preserve">Streng bewiesen sind genau zwei Aussagen (q∘b-Nichtkommutativität; eindeutiger Closure-Fixpunkt einer Kontraktion). Bedingt gelten Balance und Kritikalität. Rein modellhaft sind MER-Index, Hospitalismus-Diagnose und Concept Space. Als Fragment bzw. als Metapher-als-Beweis gelten Nothing-Bereitschaft, H, Phoenix_Mode, die „Oberste Direktive“ und die „Gesamtwerk“-Rahmung. Dieser Befund deckt sich mit dem Selbsturteil von V3.3</w:t>
      </w:r>
      <w:r>
        <w:rPr>
          <w:rStyle w:val="FootnoteReference"/>
        </w:rPr>
        <w:footnoteReference w:id="7"/>
      </w:r>
      <w:r>
        <w:t xml:space="preserve"> – und genau dieses Selbsturteil verschwindet in V4. Die Differenz ist die Arbeit.</w:t>
      </w:r>
    </w:p>
    <w:p>
      <w:pPr>
        <w:spacing w:before="120"/>
      </w:pPr>
      <w:r>
        <w:rPr>
          <w:i/>
          <w:iCs/>
        </w:rPr>
        <w:t xml:space="preserve">Hinweis: Die Kategorisierung ist Vorschlag des Gutachtens, nicht Urteil des Autors. Abweichende Einordnungen sind Teil der wissenschaftlichen Auseinandersetzung und werden im Haupttext geführt.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Kompendium der Heroik V3.3, Teil III – „Zur Lesart: vier Arten von Aussagen“, S. 32.</w:t>
      </w:r>
    </w:p>
  </w:footnote>
  <w:footnote w:id="2">
    <w:p>
      <w:r>
        <w:rPr>
          <w:rStyle w:val="FootnoteReference"/>
        </w:rPr>
        <w:footnoteRef/>
      </w:r>
      <w:r>
        <w:t xml:space="preserve">Ebd., S. 33 f. (Matrizenprodukte, Kommutator [q,b]); Anwendung auf v=(1,1) mit q∘b·v=(0,707; 0,707) und b∘q·v=(0,0): S. 34. Arithmetik geprüft und korrekt.</w:t>
      </w:r>
    </w:p>
  </w:footnote>
  <w:footnote w:id="3">
    <w:p>
      <w:r>
        <w:rPr>
          <w:rStyle w:val="FootnoteReference"/>
        </w:rPr>
        <w:footnoteRef/>
      </w:r>
      <w:r>
        <w:t xml:space="preserve">Ebd., S. 34 f. Der Banachsche Fixpunktsatz selbst ist klassisch; die Annahme, die reale Selbst-Interpretation sei eine Kontraktion (λ&lt;1), ist in V3.3 ausdrücklich als „Modell (Annahme, nicht bewiesen)“ gekennzeichnet, S. 35.</w:t>
      </w:r>
    </w:p>
  </w:footnote>
  <w:footnote w:id="4">
    <w:p>
      <w:r>
        <w:rPr>
          <w:rStyle w:val="FootnoteReference"/>
        </w:rPr>
        <w:footnoteRef/>
      </w:r>
      <w:r>
        <w:t xml:space="preserve">Ebd., S. 35 f. Strafe −0,8·std(genome) minimal im Simplex-Zentrum (bewiesen); Gesamt-Fitness-Optimum dort nur unter Parameterbedingung (Modell).</w:t>
      </w:r>
    </w:p>
  </w:footnote>
  <w:footnote w:id="5">
    <w:p>
      <w:r>
        <w:rPr>
          <w:rStyle w:val="FootnoteReference"/>
        </w:rPr>
        <w:footnoteRef/>
      </w:r>
      <w:r>
        <w:t xml:space="preserve">Ebd., S. 36 f. σ=1 als kritischer Punkt des Galton-Watson-Prozesses (bewiesen); die Gleichsetzung mit dem Code-Zielwert 0,22 ausdrücklich als unkalibriert markiert.</w:t>
      </w:r>
    </w:p>
  </w:footnote>
  <w:footnote w:id="6">
    <w:p>
      <w:r>
        <w:rPr>
          <w:rStyle w:val="FootnoteReference"/>
        </w:rPr>
        <w:footnoteRef/>
      </w:r>
      <w:r>
        <w:t xml:space="preserve">Ebd., S. 37 f. Kapitel 5 (Nothing-Bereitschaft) und 6 (Phönix) sind als „Fragment, noch nicht ausgearbeitet“ gekennzeichnet.</w:t>
      </w:r>
    </w:p>
  </w:footnote>
  <w:footnote w:id="7">
    <w:p>
      <w:r>
        <w:rPr>
          <w:rStyle w:val="FootnoteReference"/>
        </w:rPr>
        <w:footnoteRef/>
      </w:r>
      <w:r>
        <w:t xml:space="preserve">Ebd., S. 38, „Schluss: Was bewiesen ist und was nicht“: „zwei feste Sätze, eine bedingte Aussage, ein offenes Modell – ein ehrlicher Zwischenstand.“</w:t>
      </w:r>
    </w:p>
  </w:footnote>
  <w:footnote w:id="8">
    <w:p>
      <w:r>
        <w:rPr>
          <w:rStyle w:val="FootnoteReference"/>
        </w:rPr>
        <w:footnoteRef/>
      </w:r>
      <w:r>
        <w:t xml:space="preserve">Kompendium der Heroik V4 sowie Core_Update_ALTE_Frau_95g_V4_Integration_2026-06-22; dort tritt die „Oberste Direktive“ hinzu und die Vierkategorien-Markierung entfällt.</w:t>
      </w:r>
    </w:p>
  </w:footnote>
  <w:footnote w:id="9">
    <w:p>
      <w:r>
        <w:rPr>
          <w:rStyle w:val="FootnoteReference"/>
        </w:rPr>
        <w:footnoteRef/>
      </w:r>
      <w:r>
        <w:t xml:space="preserve">Multidimensionale Eudaimonistische Rekonstruktion (MER), Einführung 15.06.2026; Anwendung in „Geisteskrankheiten in der 4D-Matrix“.</w:t>
      </w:r>
    </w:p>
  </w:footnote>
  <w:footnote w:id="10">
    <w:p>
      <w:r>
        <w:rPr>
          <w:rStyle w:val="FootnoteReference"/>
        </w:rPr>
        <w:footnoteRef/>
      </w:r>
      <w:r>
        <w:t xml:space="preserve">Borsboom, D. (2017): A network theory of mental disorders. World Psychiatry 16(1); vgl. Borsboom &amp; Cramer (2013). Edition/Seiten vom Autor zu prüfen.</w:t>
      </w:r>
    </w:p>
  </w:footnote>
  <w:footnote w:id="11">
    <w:p>
      <w:r>
        <w:rPr>
          <w:rStyle w:val="FootnoteReference"/>
        </w:rPr>
        <w:footnoteRef/>
      </w:r>
      <w:r>
        <w:t xml:space="preserve">Sokal, A. &amp; Bricmont, J. (1998): Fashionable Nonsense / Eleganter Unsinn. Edition vom Autor zu prüfen – zentraler Anschlusspunkt: Missbrauch mathematischer Begriffe außerhalb ihres Gültigkeitsbereichs.</w:t>
      </w:r>
    </w:p>
  </w:footnote>
  <w:footnote w:id="12">
    <w:p>
      <w:r>
        <w:rPr>
          <w:rStyle w:val="FootnoteReference"/>
        </w:rPr>
        <w:footnoteRef/>
      </w:r>
      <w:r>
        <w:t xml:space="preserve">Sharma, M. et al. (2023): Towards Understanding Sycophancy in Language Models (arXiv); Perez, E. et al. (2022): Discovering Language Model Behaviors with Model-Written Evaluations. Genaue Fundstellen vom Autor zu prüfen.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8f80" w:sz="4" w:space="4"/>
      </w:pBdr>
      <w:jc w:val="right"/>
    </w:pPr>
    <w:r>
      <w:rPr>
        <w:i/>
        <w:iCs/>
        <w:color w:val="7a7060"/>
        <w:sz w:val="18"/>
        <w:szCs w:val="18"/>
      </w:rPr>
      <w:t xml:space="preserve">Anhang A · Korpus- und Formalisierungs-Audit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left"/>
    </w:pPr>
    <w:rPr>
      <w:rFonts w:ascii="Times New Roman" w:cs="Times New Roman" w:eastAsia="Times New Roman" w:hAnsi="Times New Roman"/>
      <w:b/>
      <w:bCs/>
      <w:sz w:val="44"/>
      <w:szCs w:val="44"/>
    </w:rPr>
  </w:style>
  <w:style w:type="paragraph" w:styleId="Subtitle">
    <w:name w:val="Subtitle"/>
    <w:basedOn w:val="Normal"/>
    <w:next w:val="Normal"/>
    <w:pPr>
      <w:spacing w:after="320"/>
    </w:pPr>
    <w:rPr>
      <w:rFonts w:ascii="Times New Roman" w:cs="Times New Roman" w:eastAsia="Times New Roman" w:hAnsi="Times New Roman"/>
      <w:i/>
      <w:iCs/>
      <w:color w:val="5a4632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3a201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Times New Roman" w:cs="Times New Roman" w:eastAsia="Times New Roman" w:hAnsi="Times New Roman"/>
      <w:b/>
      <w:bCs/>
      <w:color w:val="5a2a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Normal">
    <w:name w:val="Normal"/>
    <w:pPr>
      <w:spacing w:after="140" w:line="340"/>
      <w:jc w:val="both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2026-06-23T04:42:37.806Z</dcterms:created>
  <dcterms:modified xsi:type="dcterms:W3CDTF">2026-06-23T04:42:37.806Z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