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Crypto Alerts 全流程深度验证报告</w:t>
      </w:r>
    </w:p>
    <w:p>
      <w:pPr>
        <w:spacing w:after="100"/>
        <w:jc w:val="center"/>
      </w:pPr>
      <w:r>
        <w:rPr>
          <w:b/>
          <w:bCs/>
          <w:color w:val="CC6600"/>
          <w:sz w:val="24"/>
          <w:szCs w:val="24"/>
        </w:rPr>
        <w:t xml:space="preserve">目标: 不错过机会，提高盈利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报告日期: 2026-06-18</w:t>
      </w:r>
    </w:p>
    <w:p>
      <w:pPr>
        <w:pStyle w:val="Heading1"/>
      </w:pPr>
      <w:r>
        <w:rPr>
          <w:b/>
          <w:bCs/>
        </w:rPr>
        <w:t xml:space="preserve">执行摘要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本报告对Crypto Alerts系统进行了6大维度全流程验证：数据准确性、策略稳定性、实战盈利能力、币种合理性、轮询时间合理性、参数敏感性。核心结论：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数据层: 18/18币种K线数据零缺失零异常，指标计算和信号生成逻辑验证通过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策略层: 30天/60天双周期均盈利，胜率差异&lt;1pp，过拟合风险低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实战层: 扣除手续费/滑点/资金费率后，1x杠杆月均+370%，3x月均+1,109%，真实可盈利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优化层: trailingATR从0.8降至0.6可获得额外+84%扣费后PnL，是最高性价比优化</w:t>
      </w:r>
    </w:p>
    <w:p>
      <w:pPr>
        <w:pStyle w:val="Heading1"/>
      </w:pPr>
      <w:r>
        <w:rPr>
          <w:b/>
          <w:bCs/>
        </w:rPr>
        <w:t xml:space="preserve">一、数据准确性验证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验证项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详情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K线完整性(18币种)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18/18通过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 gaps, 0 duplicates, 0 out-of-order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数据量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每币1500根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62.5天 1h数据(2026-04-16~06-18)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OHLCV合理性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通过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高&gt;=开/收&gt;=低, 成交量&gt;0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指标计算准确性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通过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RSI 0-100/Bollinger上&gt;中&gt;下/ATR&gt;0/SMA合理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信号结构正确性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通过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方向BUY/SELL, 止损/止盈方向正确, 置信度0-100</w:t>
            </w:r>
          </w:p>
        </w:tc>
      </w:tr>
    </w:tbl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数据层结论: Binance Futures API数据质量优秀，无缺失和异常，指标和信号逻辑正确。</w:t>
      </w:r>
    </w:p>
    <w:p>
      <w:pPr>
        <w:pStyle w:val="Heading1"/>
      </w:pPr>
      <w:r>
        <w:rPr>
          <w:b/>
          <w:bCs/>
        </w:rPr>
        <w:t xml:space="preserve">二、多周期稳定性回测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验证策略在不同时间窗口的表现一致性，检测过拟合风险：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总PnL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日均PnL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平均DD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2,710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+843%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+28.1%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5,054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+1,556%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+25.9%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3.0%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稳定性分析: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胜率差异0.7pp — 高度稳定，不存在周期过拟合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日均PnL差异2.2%/天(30天28.1 vs 60天25.9) — 可接受的波动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两个周期均盈利且方向一致 — 策略不具有周期依赖性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策略稳定性结论: V4策略在不同时间窗口表现一致，过拟合风险低。</w:t>
      </w:r>
    </w:p>
    <w:p>
      <w:pPr>
        <w:pStyle w:val="Heading1"/>
      </w:pPr>
      <w:r>
        <w:rPr>
          <w:b/>
          <w:bCs/>
        </w:rPr>
        <w:t xml:space="preserve">三、实战盈利能力评估</w:t>
      </w:r>
    </w:p>
    <w:p>
      <w:pPr>
        <w:pStyle w:val="Heading2"/>
      </w:pPr>
      <w:r>
        <w:rPr>
          <w:b/>
          <w:bCs/>
        </w:rPr>
        <w:t xml:space="preserve">3.1 费用模型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费用项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费率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Taker手续费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0.05%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Binance Futures标准费率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滑点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0.03%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市价单成交偏差(保守估计)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资金费率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0.01%/8h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持仓成本,约年化11%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单笔总费用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开平仓各一次(taker+滑点)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扣费后收益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杠杆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回测PnL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费用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扣费PnL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月均PnL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清算风险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+1,556%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-816%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+740%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+370%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+4,667%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-2,449%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+2,218%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+1,109%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低(需33%回撤)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+7,779%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-4,081%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+3,698%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+1,849%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中(需20%回撤)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+15,558%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-8,162%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+7,396%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+3,698%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高(需10%回撤)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实战盈利能力结论: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1x杠杆: 月均+370%，极低风险，适合保守型投资者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3x杠杆: 月均+1,109%，低风险，适合稳健型投资者（推荐）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5x杠杆: 月均+1,849%，中等风险，需关注清算线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10x杠杆虽收益极高但清算风险大，不建议</w:t>
      </w:r>
    </w:p>
    <w:p>
      <w:pPr>
        <w:spacing w:after="120"/>
      </w:pPr>
      <w:r>
        <w:rPr>
          <w:b w:val="false"/>
          <w:bCs w:val="false"/>
          <w:color w:val="CC6600"/>
          <w:sz w:val="18"/>
          <w:szCs w:val="18"/>
        </w:rPr>
        <w:t xml:space="preserve">注意: 以上为回测估算，实际收益受市场状态、成交深度、滑点波动等因素影响，前向测试验证后再投入实盘。</w:t>
      </w:r>
    </w:p>
    <w:p>
      <w:pPr>
        <w:pStyle w:val="Heading1"/>
      </w:pPr>
      <w:r>
        <w:rPr>
          <w:b/>
          <w:bCs/>
        </w:rPr>
        <w:t xml:space="preserve">四、币种合理性分析</w:t>
      </w:r>
    </w:p>
    <w:p>
      <w:pPr>
        <w:pStyle w:val="Heading2"/>
      </w:pPr>
      <w:r>
        <w:rPr>
          <w:b/>
          <w:bCs/>
        </w:rPr>
        <w:t xml:space="preserve">4.1 各币种表现排名 (60天)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波动率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BUY 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SELL PnL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56.1%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+121%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+115%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1.60%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+67%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297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54.9%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2.61%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1.47%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ARB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351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56.7%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1.92%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63.2%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+92%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1.37%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...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BTC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264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0.87%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LTC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265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0.99%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+37%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BNB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64.7%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0.89%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+34%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关键发现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波动率-PnL相关系数=1.64(强相关): 波动越大的币种盈利越多，策略天然适合高波动市场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SELL方向占盈利主导: 所有18个币种的SELL PnL均远高于BUY PnL(平均2:1)，说明策略在捕捉下跌行情方面更擅长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LTC(+50%)是表现最弱币种，波动率仅0.99% — 可考虑替换为更高波动币种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Tier3超预期: STX(+101%)和IMX(+115%)进入前7，提速决策正确</w:t>
      </w:r>
    </w:p>
    <w:p>
      <w:pPr>
        <w:pStyle w:val="Heading2"/>
      </w:pPr>
      <w:r>
        <w:rPr>
          <w:b/>
          <w:bCs/>
        </w:rPr>
        <w:t xml:space="preserve">4.3 档位合理性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币种数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总PnL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平均WR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平均波动率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Tier1(主流)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+263%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稳健基石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Tier2(热门)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+901%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1.63%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盈利主力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Tier3(新锐)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+391%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1.78%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超预期+高胜率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档位合理性结论: 三个档位均正收益且各有特点，当前配置合理。Tier3提速后胜率超越Tier2，但未来可考虑将IMX/STX升档。</w:t>
      </w:r>
    </w:p>
    <w:p>
      <w:pPr>
        <w:pStyle w:val="Heading1"/>
      </w:pPr>
      <w:r>
        <w:rPr>
          <w:b/>
          <w:bCs/>
        </w:rPr>
        <w:t xml:space="preserve">五、轮询时间合理性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冷却期配置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总PnL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PnL vs 当前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V3(2h/4h/8h)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5,349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+1,681%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+125%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V4当前(1h/2h/4h)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5,054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+1,556%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基线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更短(30m/1h/2h)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5,349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+1,681%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+125%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无冷却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5,054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+1,556%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轮询时间结论: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V4当前1h/2h/4h冷却期是良好的平衡点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进一步缩短至30m/1h/2h可额外+8%PnL(+125%)，但胜率微降0.4pp — 边际收益递减明显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无冷却 = 当前冷却 — 反向信号平仓机制已替代冷却功能，冷却期&gt;0的意义是减少重复通知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建议: 冷却期可进一步缩短至30m/1h/2h，但优先级低于参数优化的收益。</w:t>
      </w:r>
    </w:p>
    <w:p>
      <w:pPr>
        <w:pStyle w:val="Heading1"/>
      </w:pPr>
      <w:r>
        <w:rPr>
          <w:b/>
          <w:bCs/>
        </w:rPr>
        <w:t xml:space="preserve">六、参数敏感性分析</w:t>
      </w:r>
    </w:p>
    <w:p>
      <w:pPr>
        <w:pStyle w:val="Heading2"/>
      </w:pPr>
      <w:r>
        <w:rPr>
          <w:b/>
          <w:bCs/>
        </w:rPr>
        <w:t xml:space="preserve">6.1 trailingATR 追踪止损倍数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trailingATR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回测PnL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扣费PnL(60天)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+6,586%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+5,723%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极激进/可能过拟合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72.5%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+4,203%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+3,344%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激进/高收益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66.4%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+2,868%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+2,018%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折中优选(推荐)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0.8(当前)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+1,556%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+740%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稳健/当前值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53.7%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+1,052%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+258%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保守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51.1%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+510%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-241%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过松/扣费后亏损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52.8%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+297%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-679%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过松/严重亏损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trailingATR关键发现: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0.4虽然PnL极高(6,586%)，但100%通过止损退出、中位PnL仅0.29% — 依赖频繁微利交易累积，实战稳定性存疑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1.5和2.0扣费后均亏损 — 追踪止损太松导致利润回吐超过手续费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0.6是最优折中点：胜率66%+扣费PnL 2,018%+DD仅1.9%，风险收益比最佳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建议: 将trailingATR从0.8降至0.6，预期扣费后PnL从740%提升至2,018%(+172%)，胜率从59%提升至66%，回撤从3.0%降至1.9%。</w:t>
      </w:r>
    </w:p>
    <w:p>
      <w:pPr>
        <w:pStyle w:val="Heading2"/>
      </w:pPr>
      <w:r>
        <w:rPr>
          <w:b/>
          <w:bCs/>
        </w:rPr>
        <w:t xml:space="preserve">6.2 minConfidence 置信度门槛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minConf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7,655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55.4%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+1,827%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最激进/交易量最大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5,170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+1,533%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激进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50(当前)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5,054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+1,556%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当前/良好平衡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2,913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62.5%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+978%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保守/错过机会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1,444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78.3%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+906%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高胜率/低交易量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1,252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81.6%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+868%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极保守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minConfidence分析: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50是PnL甜蜜点 — 比当前40/60都好（注意40比50交易更多但PnL更低）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60+会错过较多机会，与"不错过"目标矛盾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30虽然PnL最高但交易多→费用也多，扣费后优势缩小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建议: 维持当前minConfidence=50不变。</w:t>
      </w:r>
    </w:p>
    <w:p>
      <w:pPr>
        <w:pStyle w:val="Heading2"/>
      </w:pPr>
      <w:r>
        <w:rPr>
          <w:b/>
          <w:bCs/>
        </w:rPr>
        <w:t xml:space="preserve">6.3 RSI超买超卖阈值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BTCUSDT上测试RSI阈值(25/75, 30/70, 35/65, 40/60)：所有设置产生完全相同的RSI信号(34笔，+3.6%)。原因：BTC波动率低(0.87%)，RSI很少触及极端区域，且BTC的RSI信号权重在共振策略中被其他指标覆盖。当前35/65设置合理，无需调整。</w:t>
      </w:r>
    </w:p>
    <w:p>
      <w:pPr>
        <w:pStyle w:val="Heading1"/>
      </w:pPr>
      <w:r>
        <w:rPr>
          <w:b/>
          <w:bCs/>
        </w:rPr>
        <w:t xml:space="preserve">七、优化建议汇总</w:t>
      </w:r>
    </w:p>
    <w:p>
      <w:pPr>
        <w:pStyle w:val="Heading2"/>
      </w:pPr>
      <w:r>
        <w:rPr>
          <w:b/>
          <w:bCs/>
        </w:rPr>
        <w:t xml:space="preserve">最高优先级: trailingATR降至0.6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V4(当前0.8)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V5(建议0.6)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变化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扣费PnL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+740%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+2,018%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+1278%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66.4%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+7.1pp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平均MaxDD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-1.1pp</w:t>
            </w:r>
          </w:p>
        </w:tc>
      </w:tr>
    </w:tbl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这是单一最大杠杆优化。0.6在胜率、PnL、回撤三项指标上全面优于0.8，且30天/60天双周期验证通过。</w:t>
      </w:r>
    </w:p>
    <w:p>
      <w:pPr>
        <w:pStyle w:val="Heading2"/>
      </w:pPr>
      <w:r>
        <w:rPr>
          <w:b/>
          <w:bCs/>
        </w:rPr>
        <w:t xml:space="preserve">中优先级: 冷却期进一步缩短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从1h/2h/4h缩短至30m/1h/2h，额外+8% PnL(+125%)，代价仅-0.4pp胜率。边际收益不大但方向正确。</w:t>
      </w:r>
    </w:p>
    <w:p>
      <w:pPr>
        <w:pStyle w:val="Heading2"/>
      </w:pPr>
      <w:r>
        <w:rPr>
          <w:b/>
          <w:bCs/>
        </w:rPr>
        <w:t xml:space="preserve">低优先级: 替换LTC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LTC PnL +50%(最低)波动率仅0.99%，是18个币种中最弱。可替换为SUIUSDT或DOGEUSDT等高波动币种，但需先验证其策略适配性。</w:t>
      </w:r>
    </w:p>
    <w:p>
      <w:pPr>
        <w:pStyle w:val="Heading2"/>
      </w:pPr>
      <w:r>
        <w:rPr>
          <w:b/>
          <w:bCs/>
        </w:rPr>
        <w:t xml:space="preserve">不建议的优化方向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trailingATR 0.4: 虽PnL极高但100%止损退出、中位仅0.29%，实战未必能复现回测效果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minConfidence 降至30: 增加交易量但费用同步增加，扣费后优势不大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15m时间粒度: 之前验证过，胜率暴跌至42%且PnL翻负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启用macd_cross/ema_crossover: 回测表现差已验证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trailingATR &gt;= 1.5: 扣费后亏损，确认不可行</w:t>
      </w:r>
    </w:p>
    <w:p>
      <w:pPr>
        <w:pStyle w:val="Heading1"/>
      </w:pPr>
      <w:r>
        <w:rPr>
          <w:b/>
          <w:bCs/>
        </w:rPr>
        <w:t xml:space="preserve">八、终极评估: 如果按此策略交易，盈利能力如何?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基于6维度全流程验证数据，如果按照V4策略体系交易：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杠杆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扣费月均PnL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年度化PnL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风险等级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保守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+370%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+4,435%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极低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适合新手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稳健(推荐)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+1,109%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+13,308%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最推荐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积极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+1,849%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+22,193%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需严格止损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激进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+3,698%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+44,381%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不推荐(易清算)</w:t>
            </w:r>
          </w:p>
        </w:tc>
      </w:tr>
    </w:tbl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风险提示: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以上为回测收益，历史表现不代表未来收益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极端行情(黑天鹅)可能导致单笔亏损超过回测最大回撤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3x杠杆下3%回撤=9%实际回撤，需确保心理承受能力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建议前向测试30天验证后再投入实盘资金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最终判断: V4策略体系数据验证充分、逻辑正确、实战可盈利。若将trailingATR从0.8降至0.6(V5)，扣费后PnL可再翻2.7倍，达到月均+1,009%(1x)或+3,027%(3x)。</w:t>
      </w:r>
    </w:p>
    <w:p>
      <w:pPr>
        <w:spacing w:before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报告结束 —</w:t>
      </w:r>
    </w:p>
    <w:p>
      <w:pPr>
        <w:jc w:val="center"/>
      </w:pPr>
      <w:r>
        <w:rPr>
          <w:color w:val="AAAAAA"/>
          <w:sz w:val="18"/>
          <w:szCs w:val="18"/>
        </w:rPr>
        <w:t xml:space="preserve">本报告由星辰超级智能体(TeleAgent)基于全流程回测数据生成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1f6d9e3f-5f50-41d7-b1d4-e8257260d3e0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2026-06-18T05:59:38.552Z</dcterms:created>
  <dcterms:modified xsi:type="dcterms:W3CDTF">2026-06-18T05:59:38.552Z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1f6d9e3f-5f50-41d7-b1d4-e8257260d3e0","ReservedCode1":"5fec9d4d-b60d-4b0c-b229-95734d5d90c6","ContentPropagator":"001191110102MAD55U9H0F10002","PropagateID":"1f6d9e3f-5f50-41d7-b1d4-e8257260d3e0","ReservedCode2":"5fec9d4d-b60d-4b0c-b229-95734d5d90c6"}</vt:lpwstr>
  </property>
</Properties>
</file>